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por-20260812.htm"/>
      <w:bookmarkStart w:id="1" w:name="kspor20260812"/>
      <w:bookmarkEnd w:id="0"/>
      <w:bookmarkEnd w:id="1"/>
      <w:r>
        <w:rPr/>
        <w:t> </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75" w:after="3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August 12, 2026</w:t>
      </w:r>
      <w:r>
        <w:rPr>
          <w:rFonts w:ascii="Times New Roman" w:hAnsi="Times New Roman"/>
          <w:color w:val="000000"/>
          <w:sz w:val="20"/>
        </w:rPr>
        <w:t xml:space="preserve"> </w:t>
      </w:r>
    </w:p>
    <w:p>
      <w:pPr>
        <w:pStyle w:val="TextBody"/>
        <w:bidi w:val="0"/>
        <w:jc w:val="center"/>
        <w:rPr/>
      </w:pPr>
      <w:r>
        <w:rPr/>
        <w:t> </w:t>
      </w:r>
    </w:p>
    <w:tbl>
      <w:tblPr>
        <w:tblW w:w="9600" w:type="dxa"/>
        <w:jc w:val="left"/>
        <w:tblInd w:w="0" w:type="dxa"/>
        <w:tblLayout w:type="fixed"/>
        <w:tblCellMar>
          <w:top w:w="28" w:type="dxa"/>
          <w:left w:w="28" w:type="dxa"/>
          <w:bottom w:w="28" w:type="dxa"/>
          <w:right w:w="28" w:type="dxa"/>
        </w:tblCellMar>
      </w:tblPr>
      <w:tblGrid>
        <w:gridCol w:w="3961"/>
        <w:gridCol w:w="2146"/>
        <w:gridCol w:w="3493"/>
      </w:tblGrid>
      <w:tr>
        <w:trPr/>
        <w:tc>
          <w:tcPr>
            <w:tcW w:w="396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44"/>
              </w:rPr>
            </w:pPr>
            <w:r>
              <w:rPr>
                <w:rFonts w:ascii="Times New Roman" w:hAnsi="Times New Roman"/>
                <w:b/>
                <w:color w:val="000000"/>
                <w:sz w:val="44"/>
              </w:rPr>
              <w:t>PORTLAND GENERAL ELECTRIC COMPANY</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r>
        <w:trPr/>
        <w:tc>
          <w:tcPr>
            <w:tcW w:w="396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Oregon</w:t>
            </w:r>
          </w:p>
        </w:tc>
        <w:tc>
          <w:tcPr>
            <w:tcW w:w="21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001-5532-99</w:t>
            </w:r>
          </w:p>
        </w:tc>
        <w:tc>
          <w:tcPr>
            <w:tcW w:w="349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93-0256820</w:t>
            </w:r>
          </w:p>
        </w:tc>
      </w:tr>
      <w:tr>
        <w:trPr/>
        <w:tc>
          <w:tcPr>
            <w:tcW w:w="396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of incorporation)</w:t>
            </w:r>
          </w:p>
        </w:tc>
        <w:tc>
          <w:tcPr>
            <w:tcW w:w="214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File Number)</w:t>
            </w:r>
          </w:p>
        </w:tc>
        <w:tc>
          <w:tcPr>
            <w:tcW w:w="3493" w:type="dxa"/>
            <w:tcBorders/>
            <w:tcMar>
              <w:top w:w="0" w:type="dxa"/>
              <w:left w:w="0" w:type="dxa"/>
              <w:bottom w:w="0" w:type="dxa"/>
              <w:right w:w="0" w:type="dxa"/>
            </w:tcMar>
            <w:vAlign w:val="center"/>
          </w:tcPr>
          <w:p>
            <w:pPr>
              <w:pStyle w:val="TableContents"/>
              <w:bidi w:val="0"/>
              <w:spacing w:before="75" w:after="283"/>
              <w:jc w:val="center"/>
              <w:rPr/>
            </w:pPr>
            <w:r>
              <w:rPr>
                <w:color w:val="000000"/>
              </w:rPr>
              <w:t>     </w:t>
            </w:r>
            <w:r>
              <w:rPr>
                <w:rFonts w:ascii="Times New Roman" w:hAnsi="Times New Roman"/>
                <w:b/>
                <w:color w:val="000000"/>
                <w:sz w:val="18"/>
              </w:rPr>
              <w:t>(I.R.S. Employer</w:t>
            </w:r>
            <w:r>
              <w:rPr>
                <w:rFonts w:ascii="Times New Roman" w:hAnsi="Times New Roman"/>
                <w:color w:val="000000"/>
                <w:sz w:val="18"/>
              </w:rPr>
              <w:t xml:space="preserve"> </w:t>
            </w:r>
          </w:p>
          <w:p>
            <w:pPr>
              <w:pStyle w:val="TableContents"/>
              <w:bidi w:val="0"/>
              <w:spacing w:before="0" w:after="30"/>
              <w:jc w:val="center"/>
              <w:rPr/>
            </w:pPr>
            <w:r>
              <w:rPr>
                <w:color w:val="000000"/>
              </w:rPr>
              <w:t>     </w:t>
            </w:r>
            <w:r>
              <w:rPr>
                <w:rFonts w:ascii="Times New Roman" w:hAnsi="Times New Roman"/>
                <w:b/>
                <w:color w:val="000000"/>
                <w:sz w:val="18"/>
              </w:rPr>
              <w:t>Identification No.)</w:t>
            </w:r>
            <w:r>
              <w:rPr>
                <w:rFonts w:ascii="Times New Roman" w:hAnsi="Times New Roman"/>
                <w:color w:val="000000"/>
                <w:sz w:val="18"/>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121 SW Salmon Street, Portland, Oregon</w:t>
      </w:r>
      <w:r>
        <w:rPr>
          <w:rFonts w:ascii="Times New Roman" w:hAnsi="Times New Roman"/>
          <w:color w:val="000000"/>
          <w:sz w:val="20"/>
        </w:rPr>
        <w:t xml:space="preserve"> </w:t>
      </w:r>
      <w:r>
        <w:rPr>
          <w:rFonts w:ascii="Times New Roman" w:hAnsi="Times New Roman"/>
          <w:b/>
          <w:color w:val="000000"/>
          <w:sz w:val="20"/>
        </w:rPr>
        <w:t>97204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(503) 464-8000</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28" w:type="dxa"/>
        <w:jc w:val="left"/>
        <w:tblInd w:w="0" w:type="dxa"/>
        <w:tblLayout w:type="fixed"/>
        <w:tblCellMar>
          <w:top w:w="28" w:type="dxa"/>
          <w:left w:w="28" w:type="dxa"/>
          <w:bottom w:w="28" w:type="dxa"/>
          <w:right w:w="28" w:type="dxa"/>
        </w:tblCellMar>
      </w:tblPr>
      <w:tblGrid>
        <w:gridCol w:w="2476"/>
        <w:gridCol w:w="1546"/>
        <w:gridCol w:w="3406"/>
      </w:tblGrid>
      <w:tr>
        <w:trPr/>
        <w:tc>
          <w:tcPr>
            <w:tcW w:w="24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 of class)</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(Trading Symbol)</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Common Stock, no par value</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POR</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Item 7.01 Regulation FD Disclosure.</w:t>
      </w:r>
    </w:p>
    <w:p>
      <w:pPr>
        <w:pStyle w:val="TextBody"/>
        <w:bidi w:val="0"/>
        <w:jc w:val="left"/>
        <w:rPr>
          <w:rFonts w:ascii="Times New Roman" w:hAnsi="Times New Roman"/>
          <w:sz w:val="20"/>
        </w:rPr>
      </w:pPr>
      <w:r>
        <w:rPr>
          <w:rFonts w:ascii="Times New Roman" w:hAnsi="Times New Roman"/>
          <w:color w:val="000000"/>
          <w:sz w:val="22"/>
        </w:rPr>
        <w:t>On August 12, 2026, Portland General Electric (PGE) and the Staff of the Public Utility Commission of Oregon (OPUC Staff) entered into a stipulation in OPUC Docket UM 2385 that recommends that the Public Utility Commission of Oregon (OPUC) approve PGE's application for a corporate reorganization to create a holding company structure. The stipulation resolves the issues in the proceeding among PGE and OPUC Staff, subject to the terms and conditions set forth in the stipulation and OPUC review and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stipulation between PGE and OPUC Staff includes a monetary commitment of $45 million, of which $40 million will be issued as a rate credit to customers over a three-year period, and $5 million will be used to fund community based renewable energy projects, arrearage management programs and workforce development for clean energy trades, as well as improving access to waterfalls and other natural features in Oregon. The stipulation includes a comprehensive set of enforceable commitments. PGE’s material commitments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commitment to refrain from seeking rate recovery of acquisition premiums, goodwill, transaction costs and other 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commitment to not provide funding or transfer assets over $1 million to any subsidiaries, excluding those to be funded or transferred to PGE and subsidiaries formed for purposes of the acquisition of assets in Washington, without OPUC approval under defined statutory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commitment to maintain service, safety, and reliability for customers and to provide regular reports on related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commitment for PGE and the holding company to maintain separate credit ratings;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 agreement for the holding company to maintain its subsidiary PGE’s common equity at a level of 45% or higher, with the provision that the dividend may be suspended in certain circumstances including for significant decreases in credit ratings, without an OPUC-approved remediation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commitment to maintain adequate interest coverage and a pool of qualified assets to maintain the ability to issue First Mortgage Bonds;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commitment to hold customers harmless from certain costs associated with the formation of the holding company, as well as from costs that may be incurred if the cost of debt becomes more costly as a result of the formation of the holding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establishment of a share of PGE preferred stock held by an independent third party (Golden Share) that will override all other outstanding shares in the event of bankruptcy of the holding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Access to PGE and holding company books and records;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 obligation to honor existing labor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procedural schedule calls for a final decision by the OPUC on August 25, 2026, but the terms of the stipulation remain subject to review by the OPUC. In the final order, the OPUC could approve, reject, or modify the stipulation, and if any such modification is material, parties have the ability to withdraw. FERC has already approved the proposed holding company structure. The formation of a holding company requires shareholder approval. PGE intends to hold a special meeting of shareholders as soon as possible in 2026 to seek shareholder approval.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More information about the stipulation and the holding company proceeding (Docket UM 2385) is available on the OPUC website at www.oregon.gov/puc.</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50" w:type="dxa"/>
        <w:jc w:val="left"/>
        <w:tblInd w:w="0" w:type="dxa"/>
        <w:tblLayout w:type="fixed"/>
        <w:tblCellMar>
          <w:top w:w="28" w:type="dxa"/>
          <w:left w:w="28" w:type="dxa"/>
          <w:bottom w:w="28" w:type="dxa"/>
          <w:right w:w="28" w:type="dxa"/>
        </w:tblCellMar>
      </w:tblPr>
      <w:tblGrid>
        <w:gridCol w:w="616"/>
        <w:gridCol w:w="1681"/>
        <w:gridCol w:w="146"/>
        <w:gridCol w:w="436"/>
        <w:gridCol w:w="4771"/>
      </w:tblGrid>
      <w:tr>
        <w:trPr/>
        <w:tc>
          <w:tcPr>
            <w:tcW w:w="6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PORTLAND GENERAL ELECTRIC COMPANY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(Registrant)</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Date:</w:t>
            </w:r>
          </w:p>
        </w:tc>
        <w:tc>
          <w:tcPr>
            <w:tcW w:w="168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August 12,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By:</w:t>
            </w:r>
          </w:p>
        </w:tc>
        <w:tc>
          <w:tcPr>
            <w:tcW w:w="47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sz w:val="22"/>
              </w:rPr>
            </w:pPr>
            <w:r>
              <w:rPr>
                <w:rFonts w:ascii="Times New Roman" w:hAnsi="Times New Roman"/>
                <w:i/>
                <w:color w:val="000000"/>
                <w:sz w:val="22"/>
              </w:rPr>
              <w:t>Senior Vice President, Finance</w:t>
            </w:r>
            <w:r>
              <w:rPr>
                <w:rFonts w:ascii="Times New Roman" w:hAnsi="Times New Roman"/>
                <w:color w:val="000000"/>
                <w:sz w:val="22"/>
              </w:rPr>
              <w:t xml:space="preserve"> </w:t>
            </w:r>
          </w:p>
          <w:p>
            <w:pPr>
              <w:pStyle w:val="TableContents"/>
              <w:bidi w:val="0"/>
              <w:spacing w:before="0" w:after="30"/>
              <w:jc w:val="center"/>
              <w:rPr>
                <w:rFonts w:ascii="Times New Roman" w:hAnsi="Times New Roman"/>
                <w:i/>
                <w:color w:val="000000"/>
                <w:sz w:val="22"/>
              </w:rPr>
            </w:pPr>
            <w:r>
              <w:rPr>
                <w:rFonts w:ascii="Times New Roman" w:hAnsi="Times New Roman"/>
                <w:i/>
                <w:color w:val="000000"/>
                <w:sz w:val="22"/>
              </w:rPr>
              <w:t>and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4735</Characters>
  <CharactersWithSpaces>5609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