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860" w:type="dxa"/>
            <w:vAlign w:val="bottom"/>
            <w:tcBorders>
              <w:top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20"/>
                <w:szCs w:val="20"/>
                <w:color w:val="auto"/>
                <w:w w:val="99"/>
              </w:rPr>
              <w:t>UNITED STATES</w:t>
            </w:r>
          </w:p>
        </w:tc>
        <w:tc>
          <w:tcPr>
            <w:tcW w:w="10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r>
      <w:tr>
        <w:trPr>
          <w:trHeight w:val="229"/>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4"/>
          </w:tcPr>
          <w:p>
            <w:pPr>
              <w:jc w:val="center"/>
              <w:ind w:left="951"/>
              <w:spacing w:after="0"/>
              <w:rPr>
                <w:sz w:val="20"/>
                <w:szCs w:val="20"/>
                <w:color w:val="auto"/>
              </w:rPr>
            </w:pPr>
            <w:r>
              <w:rPr>
                <w:rFonts w:ascii="Times New Roman" w:cs="Times New Roman" w:eastAsia="Times New Roman" w:hAnsi="Times New Roman"/>
                <w:sz w:val="20"/>
                <w:szCs w:val="20"/>
                <w:color w:val="auto"/>
                <w:w w:val="98"/>
              </w:rPr>
              <w:t>SECURITIES AND EXCHANGE COMMISSION</w:t>
            </w: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8"/>
        </w:trPr>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860" w:type="dxa"/>
            <w:vAlign w:val="bottom"/>
            <w:gridSpan w:val="3"/>
          </w:tcPr>
          <w:p>
            <w:pPr>
              <w:jc w:val="center"/>
              <w:ind w:right="390"/>
              <w:spacing w:after="0"/>
              <w:rPr>
                <w:sz w:val="20"/>
                <w:szCs w:val="20"/>
                <w:color w:val="auto"/>
              </w:rPr>
            </w:pPr>
            <w:r>
              <w:rPr>
                <w:rFonts w:ascii="Times New Roman" w:cs="Times New Roman" w:eastAsia="Times New Roman" w:hAnsi="Times New Roman"/>
                <w:sz w:val="20"/>
                <w:szCs w:val="20"/>
                <w:color w:val="auto"/>
                <w:w w:val="99"/>
              </w:rPr>
              <w:t>Washington, D.C. 20549</w:t>
            </w:r>
          </w:p>
        </w:tc>
        <w:tc>
          <w:tcPr>
            <w:tcW w:w="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515"/>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60" w:type="dxa"/>
            <w:vAlign w:val="bottom"/>
            <w:gridSpan w:val="3"/>
          </w:tcPr>
          <w:p>
            <w:pPr>
              <w:jc w:val="center"/>
              <w:ind w:right="450"/>
              <w:spacing w:after="0"/>
              <w:rPr>
                <w:sz w:val="20"/>
                <w:szCs w:val="20"/>
                <w:color w:val="auto"/>
              </w:rPr>
            </w:pPr>
            <w:r>
              <w:rPr>
                <w:rFonts w:ascii="Times New Roman" w:cs="Times New Roman" w:eastAsia="Times New Roman" w:hAnsi="Times New Roman"/>
                <w:sz w:val="25"/>
                <w:szCs w:val="25"/>
                <w:b w:val="1"/>
                <w:bCs w:val="1"/>
                <w:color w:val="auto"/>
              </w:rPr>
              <w:t>FORM 10-Q</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40" w:type="dxa"/>
            <w:vAlign w:val="bottom"/>
            <w:gridSpan w:val="7"/>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w:t>
            </w:r>
          </w:p>
        </w:tc>
      </w:tr>
      <w:tr>
        <w:trPr>
          <w:trHeight w:val="303"/>
        </w:trPr>
        <w:tc>
          <w:tcPr>
            <w:tcW w:w="39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63"/>
        </w:trPr>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860" w:type="dxa"/>
            <w:vAlign w:val="bottom"/>
            <w:gridSpan w:val="3"/>
          </w:tcPr>
          <w:p>
            <w:pPr>
              <w:jc w:val="center"/>
              <w:ind w:right="450"/>
              <w:spacing w:after="0"/>
              <w:rPr>
                <w:sz w:val="20"/>
                <w:szCs w:val="20"/>
                <w:color w:val="auto"/>
              </w:rPr>
            </w:pPr>
            <w:r>
              <w:rPr>
                <w:rFonts w:ascii="Times New Roman" w:cs="Times New Roman" w:eastAsia="Times New Roman" w:hAnsi="Times New Roman"/>
                <w:sz w:val="16"/>
                <w:szCs w:val="16"/>
                <w:color w:val="auto"/>
              </w:rPr>
              <w:t>For the quarterly period ended September 30, 2026</w:t>
            </w:r>
          </w:p>
        </w:tc>
        <w:tc>
          <w:tcPr>
            <w:tcW w:w="1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30"/>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gridSpan w:val="2"/>
          </w:tcPr>
          <w:p>
            <w:pPr>
              <w:jc w:val="center"/>
              <w:ind w:right="1430"/>
              <w:spacing w:after="0"/>
              <w:rPr>
                <w:sz w:val="20"/>
                <w:szCs w:val="20"/>
                <w:color w:val="auto"/>
              </w:rPr>
            </w:pPr>
            <w:r>
              <w:rPr>
                <w:rFonts w:ascii="Times New Roman" w:cs="Times New Roman" w:eastAsia="Times New Roman" w:hAnsi="Times New Roman"/>
                <w:sz w:val="18"/>
                <w:szCs w:val="18"/>
                <w:color w:val="auto"/>
              </w:rPr>
              <w:t>or</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3"/>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40" w:type="dxa"/>
            <w:vAlign w:val="bottom"/>
            <w:gridSpan w:val="7"/>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w:t>
            </w:r>
          </w:p>
        </w:tc>
      </w:tr>
      <w:tr>
        <w:trPr>
          <w:trHeight w:val="303"/>
        </w:trPr>
        <w:tc>
          <w:tcPr>
            <w:tcW w:w="39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1"/>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40" w:type="dxa"/>
            <w:vAlign w:val="bottom"/>
            <w:gridSpan w:val="7"/>
          </w:tcPr>
          <w:p>
            <w:pPr>
              <w:jc w:val="center"/>
              <w:ind w:right="238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w:t>
            </w:r>
          </w:p>
        </w:tc>
      </w:tr>
      <w:tr>
        <w:trPr>
          <w:trHeight w:val="418"/>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60" w:type="dxa"/>
            <w:vAlign w:val="bottom"/>
            <w:gridSpan w:val="3"/>
          </w:tcPr>
          <w:p>
            <w:pPr>
              <w:jc w:val="center"/>
              <w:ind w:right="45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001-5532-99</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9"/>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40" w:type="dxa"/>
            <w:vAlign w:val="bottom"/>
            <w:gridSpan w:val="7"/>
          </w:tcPr>
          <w:p>
            <w:pPr>
              <w:jc w:val="center"/>
              <w:ind w:right="2460"/>
              <w:spacing w:after="0"/>
              <w:rPr>
                <w:sz w:val="20"/>
                <w:szCs w:val="20"/>
                <w:color w:val="auto"/>
              </w:rPr>
            </w:pPr>
            <w:r>
              <w:rPr>
                <w:rFonts w:ascii="Times New Roman" w:cs="Times New Roman" w:eastAsia="Times New Roman" w:hAnsi="Times New Roman"/>
                <w:sz w:val="22"/>
                <w:szCs w:val="22"/>
                <w:b w:val="1"/>
                <w:bCs w:val="1"/>
                <w:color w:val="auto"/>
                <w:w w:val="98"/>
              </w:rPr>
              <w:t>PORTLAND GENERAL ELECTRIC COMPANY</w:t>
            </w:r>
          </w:p>
        </w:tc>
      </w:tr>
      <w:tr>
        <w:trPr>
          <w:trHeight w:val="238"/>
        </w:trPr>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60" w:type="dxa"/>
            <w:vAlign w:val="bottom"/>
            <w:gridSpan w:val="3"/>
          </w:tcPr>
          <w:p>
            <w:pPr>
              <w:jc w:val="center"/>
              <w:ind w:right="39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8"/>
        </w:trPr>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9"/>
              </w:rPr>
              <w:t>Oregon</w:t>
            </w: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2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93-0256820</w:t>
            </w:r>
          </w:p>
        </w:tc>
        <w:tc>
          <w:tcPr>
            <w:tcW w:w="420" w:type="dxa"/>
            <w:vAlign w:val="bottom"/>
          </w:tcPr>
          <w:p>
            <w:pPr>
              <w:spacing w:after="0"/>
              <w:rPr>
                <w:sz w:val="22"/>
                <w:szCs w:val="22"/>
                <w:color w:val="auto"/>
              </w:rPr>
            </w:pPr>
          </w:p>
        </w:tc>
      </w:tr>
      <w:tr>
        <w:trPr>
          <w:trHeight w:val="216"/>
        </w:trPr>
        <w:tc>
          <w:tcPr>
            <w:tcW w:w="1340" w:type="dxa"/>
            <w:vAlign w:val="bottom"/>
          </w:tcPr>
          <w:p>
            <w:pPr>
              <w:spacing w:after="0"/>
              <w:rPr>
                <w:sz w:val="18"/>
                <w:szCs w:val="18"/>
                <w:color w:val="auto"/>
              </w:rPr>
            </w:pPr>
          </w:p>
        </w:tc>
        <w:tc>
          <w:tcPr>
            <w:tcW w:w="2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340" w:type="dxa"/>
            <w:vAlign w:val="bottom"/>
          </w:tcPr>
          <w:p>
            <w:pPr>
              <w:spacing w:after="0"/>
              <w:rPr>
                <w:sz w:val="20"/>
                <w:szCs w:val="20"/>
                <w:color w:val="auto"/>
              </w:rPr>
            </w:pPr>
          </w:p>
        </w:tc>
        <w:tc>
          <w:tcPr>
            <w:tcW w:w="2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50"/>
        </w:trPr>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60" w:type="dxa"/>
            <w:vAlign w:val="bottom"/>
            <w:gridSpan w:val="3"/>
          </w:tcPr>
          <w:p>
            <w:pPr>
              <w:jc w:val="center"/>
              <w:ind w:right="450"/>
              <w:spacing w:after="0"/>
              <w:rPr>
                <w:sz w:val="20"/>
                <w:szCs w:val="20"/>
                <w:color w:val="auto"/>
              </w:rPr>
            </w:pPr>
            <w:r>
              <w:rPr>
                <w:rFonts w:ascii="Times New Roman" w:cs="Times New Roman" w:eastAsia="Times New Roman" w:hAnsi="Times New Roman"/>
                <w:sz w:val="16"/>
                <w:szCs w:val="16"/>
                <w:b w:val="1"/>
                <w:bCs w:val="1"/>
                <w:color w:val="auto"/>
              </w:rPr>
              <w:t>121 SW Salmon Street</w:t>
            </w: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60" w:type="dxa"/>
            <w:vAlign w:val="bottom"/>
            <w:gridSpan w:val="3"/>
          </w:tcPr>
          <w:p>
            <w:pPr>
              <w:jc w:val="center"/>
              <w:ind w:right="430"/>
              <w:spacing w:after="0"/>
              <w:rPr>
                <w:sz w:val="20"/>
                <w:szCs w:val="20"/>
                <w:color w:val="auto"/>
              </w:rPr>
            </w:pPr>
            <w:r>
              <w:rPr>
                <w:rFonts w:ascii="Times New Roman" w:cs="Times New Roman" w:eastAsia="Times New Roman" w:hAnsi="Times New Roman"/>
                <w:sz w:val="16"/>
                <w:szCs w:val="16"/>
                <w:b w:val="1"/>
                <w:bCs w:val="1"/>
                <w:color w:val="auto"/>
              </w:rPr>
              <w:t>Portland, Oregon 97204</w:t>
            </w: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20" w:type="dxa"/>
            <w:vAlign w:val="bottom"/>
            <w:gridSpan w:val="2"/>
          </w:tcPr>
          <w:p>
            <w:pPr>
              <w:jc w:val="center"/>
              <w:ind w:left="910"/>
              <w:spacing w:after="0"/>
              <w:rPr>
                <w:sz w:val="20"/>
                <w:szCs w:val="20"/>
                <w:color w:val="auto"/>
              </w:rPr>
            </w:pPr>
            <w:r>
              <w:rPr>
                <w:rFonts w:ascii="Times New Roman" w:cs="Times New Roman" w:eastAsia="Times New Roman" w:hAnsi="Times New Roman"/>
                <w:sz w:val="16"/>
                <w:szCs w:val="16"/>
                <w:b w:val="1"/>
                <w:bCs w:val="1"/>
                <w:color w:val="auto"/>
                <w:w w:val="99"/>
              </w:rPr>
              <w:t>(503) 464-8000</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0" w:type="dxa"/>
            <w:vAlign w:val="bottom"/>
            <w:gridSpan w:val="4"/>
          </w:tcPr>
          <w:p>
            <w:pPr>
              <w:jc w:val="center"/>
              <w:ind w:left="951"/>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 p</w:t>
            </w: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4"/>
          </w:tcPr>
          <w:p>
            <w:pPr>
              <w:jc w:val="center"/>
              <w:ind w:left="931"/>
              <w:spacing w:after="0"/>
              <w:rPr>
                <w:sz w:val="20"/>
                <w:szCs w:val="20"/>
                <w:color w:val="auto"/>
              </w:rPr>
            </w:pPr>
            <w:r>
              <w:rPr>
                <w:rFonts w:ascii="Times New Roman" w:cs="Times New Roman" w:eastAsia="Times New Roman" w:hAnsi="Times New Roman"/>
                <w:sz w:val="16"/>
                <w:szCs w:val="16"/>
                <w:color w:val="auto"/>
              </w:rPr>
              <w:t>and registrant’s telephone number, including area code)</w:t>
            </w: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6"/>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0" w:type="dxa"/>
            <w:vAlign w:val="bottom"/>
            <w:gridSpan w:val="4"/>
          </w:tcPr>
          <w:p>
            <w:pPr>
              <w:jc w:val="center"/>
              <w:ind w:left="97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9"/>
        </w:trPr>
        <w:tc>
          <w:tcPr>
            <w:tcW w:w="1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class)</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1540" w:type="dxa"/>
            <w:vAlign w:val="bottom"/>
          </w:tcPr>
          <w:p>
            <w:pPr>
              <w:spacing w:after="0"/>
              <w:rPr>
                <w:sz w:val="19"/>
                <w:szCs w:val="19"/>
                <w:color w:val="auto"/>
              </w:rPr>
            </w:pPr>
          </w:p>
        </w:tc>
        <w:tc>
          <w:tcPr>
            <w:tcW w:w="3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3940" w:type="dxa"/>
            <w:vAlign w:val="bottom"/>
            <w:gridSpan w:val="3"/>
          </w:tcPr>
          <w:p>
            <w:pPr>
              <w:jc w:val="center"/>
              <w:ind w:right="111"/>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20" w:type="dxa"/>
            <w:vAlign w:val="bottom"/>
          </w:tcPr>
          <w:p>
            <w:pPr>
              <w:spacing w:after="0"/>
              <w:rPr>
                <w:sz w:val="20"/>
                <w:szCs w:val="20"/>
                <w:color w:val="auto"/>
              </w:rPr>
            </w:pPr>
          </w:p>
        </w:tc>
        <w:tc>
          <w:tcPr>
            <w:tcW w:w="284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w w:val="96"/>
              </w:rPr>
              <w:t>POR</w:t>
            </w:r>
          </w:p>
        </w:tc>
        <w:tc>
          <w:tcPr>
            <w:tcW w:w="100" w:type="dxa"/>
            <w:vAlign w:val="bottom"/>
          </w:tcPr>
          <w:p>
            <w:pPr>
              <w:spacing w:after="0"/>
              <w:rPr>
                <w:sz w:val="20"/>
                <w:szCs w:val="20"/>
                <w:color w:val="auto"/>
              </w:rPr>
            </w:pPr>
          </w:p>
        </w:tc>
        <w:tc>
          <w:tcPr>
            <w:tcW w:w="3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85"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40"/>
          </w:cols>
          <w:pgMar w:left="320" w:top="221" w:right="339" w:bottom="1440" w:gutter="0" w:footer="0" w:header="0"/>
        </w:sectPr>
      </w:pP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[x] Yes </w:t>
      </w:r>
      <w:r>
        <w:rPr>
          <w:rFonts w:ascii="Times New Roman" w:cs="Times New Roman" w:eastAsia="Times New Roman" w:hAnsi="Times New Roman"/>
          <w:sz w:val="14"/>
          <w:szCs w:val="14"/>
          <w:color w:val="FFFFFF"/>
        </w:rPr>
        <w:t>x</w:t>
      </w:r>
      <w:r>
        <w:rPr>
          <w:rFonts w:ascii="Times New Roman" w:cs="Times New Roman" w:eastAsia="Times New Roman" w:hAnsi="Times New Roman"/>
          <w:sz w:val="14"/>
          <w:szCs w:val="14"/>
          <w:color w:val="auto"/>
        </w:rPr>
        <w:t xml:space="preserve"> [ ] No</w:t>
      </w:r>
    </w:p>
    <w:p>
      <w:pPr>
        <w:spacing w:after="0" w:line="42"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00"/>
        <w:spacing w:after="0" w:line="161" w:lineRule="exact"/>
        <w:tabs>
          <w:tab w:leader="none" w:pos="5380" w:val="left"/>
          <w:tab w:leader="none" w:pos="77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 w:lineRule="exact"/>
        <w:rPr>
          <w:sz w:val="24"/>
          <w:szCs w:val="24"/>
          <w:color w:val="auto"/>
        </w:rPr>
      </w:pPr>
    </w:p>
    <w:p>
      <w:pPr>
        <w:ind w:left="2040"/>
        <w:spacing w:after="0" w:line="161" w:lineRule="exact"/>
        <w:tabs>
          <w:tab w:leader="none" w:pos="5380" w:val="left"/>
          <w:tab w:leader="none" w:pos="74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21"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8" w:lineRule="exact"/>
        <w:rPr>
          <w:sz w:val="24"/>
          <w:szCs w:val="24"/>
          <w:color w:val="auto"/>
        </w:rPr>
      </w:pPr>
    </w:p>
    <w:p>
      <w:pPr>
        <w:sectPr>
          <w:pgSz w:w="11900" w:h="16838" w:orient="portrait"/>
          <w:cols w:equalWidth="0" w:num="2">
            <w:col w:w="10740" w:space="280"/>
            <w:col w:w="220"/>
          </w:cols>
          <w:pgMar w:left="320" w:top="221" w:right="339" w:bottom="1440" w:gutter="0" w:footer="0" w:header="0"/>
          <w:type w:val="continuous"/>
        </w:sect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 provided pursuant to Section 13(a) of the Exchange Act. [ ]</w:t>
      </w:r>
    </w:p>
    <w:p>
      <w:pPr>
        <w:ind w:right="3860"/>
        <w:spacing w:after="0" w:line="21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[x] No Number of shares of common stock outstanding as of October 22, 2026 is 119,102,096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FORM 10-Q</w:t>
      </w:r>
    </w:p>
    <w:p>
      <w:pPr>
        <w:jc w:val="center"/>
        <w:ind w:right="40"/>
        <w:spacing w:after="0"/>
        <w:rPr>
          <w:sz w:val="20"/>
          <w:szCs w:val="20"/>
          <w:color w:val="auto"/>
        </w:rPr>
      </w:pPr>
      <w:r>
        <w:rPr>
          <w:rFonts w:ascii="Times New Roman" w:cs="Times New Roman" w:eastAsia="Times New Roman" w:hAnsi="Times New Roman"/>
          <w:sz w:val="20"/>
          <w:szCs w:val="20"/>
          <w:b w:val="1"/>
          <w:bCs w:val="1"/>
          <w:color w:val="155CAB"/>
        </w:rPr>
        <w:t>FOR THE QUARTERLY PERIOD ENDED SEPTEMBER 30, 2026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0000FF"/>
              </w:rPr>
              <w:t>Definitions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0000FF"/>
                <w:w w:val="79"/>
              </w:rPr>
              <w:t>3</w:t>
            </w:r>
          </w:p>
        </w:tc>
      </w:tr>
      <w:tr>
        <w:trPr>
          <w:trHeight w:val="20"/>
        </w:trPr>
        <w:tc>
          <w:tcPr>
            <w:tcW w:w="6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60" w:type="dxa"/>
            <w:vAlign w:val="bottom"/>
            <w:shd w:val="clear" w:color="auto" w:fill="EFEFEF"/>
          </w:tcPr>
          <w:p>
            <w:pPr>
              <w:spacing w:after="0"/>
              <w:rPr>
                <w:sz w:val="18"/>
                <w:szCs w:val="18"/>
                <w:color w:val="auto"/>
              </w:rPr>
            </w:pPr>
          </w:p>
        </w:tc>
        <w:tc>
          <w:tcPr>
            <w:tcW w:w="880" w:type="dxa"/>
            <w:vAlign w:val="bottom"/>
            <w:shd w:val="clear" w:color="auto" w:fill="EFEFEF"/>
          </w:tcPr>
          <w:p>
            <w:pPr>
              <w:spacing w:after="0"/>
              <w:rPr>
                <w:sz w:val="18"/>
                <w:szCs w:val="18"/>
                <w:color w:val="auto"/>
              </w:rPr>
            </w:pPr>
          </w:p>
        </w:tc>
        <w:tc>
          <w:tcPr>
            <w:tcW w:w="10160" w:type="dxa"/>
            <w:vAlign w:val="bottom"/>
            <w:shd w:val="clear" w:color="auto" w:fill="EFEFEF"/>
          </w:tcPr>
          <w:p>
            <w:pPr>
              <w:spacing w:after="0"/>
              <w:rPr>
                <w:sz w:val="18"/>
                <w:szCs w:val="18"/>
                <w:color w:val="auto"/>
              </w:rPr>
            </w:pPr>
          </w:p>
        </w:tc>
        <w:tc>
          <w:tcPr>
            <w:tcW w:w="100" w:type="dxa"/>
            <w:vAlign w:val="bottom"/>
            <w:shd w:val="clear" w:color="auto" w:fill="EFEFEF"/>
          </w:tcPr>
          <w:p>
            <w:pPr>
              <w:spacing w:after="0"/>
              <w:rPr>
                <w:sz w:val="18"/>
                <w:szCs w:val="18"/>
                <w:color w:val="auto"/>
              </w:rPr>
            </w:pPr>
          </w:p>
        </w:tc>
        <w:tc>
          <w:tcPr>
            <w:tcW w:w="40" w:type="dxa"/>
            <w:vAlign w:val="bottom"/>
            <w:shd w:val="clear" w:color="auto" w:fill="EFEFEF"/>
          </w:tcPr>
          <w:p>
            <w:pPr>
              <w:spacing w:after="0"/>
              <w:rPr>
                <w:sz w:val="18"/>
                <w:szCs w:val="18"/>
                <w:color w:val="auto"/>
              </w:rPr>
            </w:pPr>
          </w:p>
        </w:tc>
      </w:tr>
    </w:tbl>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00FF"/>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-8255</wp:posOffset>
            </wp:positionV>
            <wp:extent cx="2289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Item 2.</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Item 3.</w:t>
      </w: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Item 4.</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1688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23" w:lineRule="exact"/>
        <w:rPr>
          <w:sz w:val="20"/>
          <w:szCs w:val="20"/>
          <w:color w:val="auto"/>
        </w:rPr>
      </w:pPr>
    </w:p>
    <w:p>
      <w:pPr>
        <w:ind w:right="3140"/>
        <w:spacing w:after="0" w:line="493" w:lineRule="auto"/>
        <w:rPr>
          <w:sz w:val="20"/>
          <w:szCs w:val="20"/>
          <w:color w:val="auto"/>
        </w:rPr>
      </w:pPr>
      <w:r>
        <w:rPr>
          <w:rFonts w:ascii="Times New Roman" w:cs="Times New Roman" w:eastAsia="Times New Roman" w:hAnsi="Times New Roman"/>
          <w:sz w:val="20"/>
          <w:szCs w:val="20"/>
          <w:u w:val="single" w:color="auto"/>
          <w:color w:val="0000FF"/>
        </w:rPr>
        <w:t>Condensed Consolidated Statements of Income and Comprehensive Income Condensed Consolidated Balance Sheets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-739140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-139065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-764540</wp:posOffset>
            </wp:positionV>
            <wp:extent cx="3820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207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-464820</wp:posOffset>
            </wp:positionV>
            <wp:extent cx="204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787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-164465</wp:posOffset>
            </wp:positionV>
            <wp:extent cx="259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27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2788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wp:posOffset>
            </wp:positionV>
            <wp:extent cx="4515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15485"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30422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1235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24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u w:val="single" w:color="auto"/>
          <w:color w:val="0000FF"/>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-8255</wp:posOffset>
            </wp:positionV>
            <wp:extent cx="2080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80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u w:val="single" w:color="auto"/>
          <w:color w:val="0000FF"/>
        </w:rPr>
        <w:t>4</w:t>
      </w:r>
    </w:p>
    <w:p>
      <w:pPr>
        <w:spacing w:after="0" w:line="24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u w:val="single" w:color="auto"/>
          <w:color w:val="0000FF"/>
        </w:rPr>
        <w:t>4</w:t>
      </w:r>
    </w:p>
    <w:p>
      <w:pPr>
        <w:spacing w:after="0" w:line="27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u w:val="single" w:color="auto"/>
          <w:color w:val="0000FF"/>
        </w:rPr>
        <w:t>5</w:t>
      </w:r>
    </w:p>
    <w:p>
      <w:pPr>
        <w:spacing w:after="0" w:line="24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u w:val="single" w:color="auto"/>
          <w:color w:val="0000FF"/>
        </w:rPr>
        <w:t>7</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0000FF"/>
        </w:rPr>
        <w:t>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35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68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68</w:t>
      </w:r>
    </w:p>
    <w:p>
      <w:pPr>
        <w:spacing w:after="0" w:line="695" w:lineRule="exact"/>
        <w:rPr>
          <w:sz w:val="20"/>
          <w:szCs w:val="20"/>
          <w:color w:val="auto"/>
        </w:rPr>
      </w:pPr>
    </w:p>
    <w:p>
      <w:pPr>
        <w:sectPr>
          <w:pgSz w:w="11900" w:h="16838" w:orient="portrait"/>
          <w:cols w:equalWidth="0" w:num="3">
            <w:col w:w="620" w:space="500"/>
            <w:col w:w="9160" w:space="720"/>
            <w:col w:w="240"/>
          </w:cols>
          <w:pgMar w:left="320" w:top="114" w:right="3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Item 1.</w:t>
            </w:r>
          </w:p>
        </w:tc>
        <w:tc>
          <w:tcPr>
            <w:tcW w:w="72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28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0000FF"/>
              </w:rPr>
              <w:t>69</w:t>
            </w: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20" w:type="dxa"/>
            <w:vAlign w:val="bottom"/>
            <w:shd w:val="clear" w:color="auto" w:fill="EFEFEF"/>
          </w:tcPr>
          <w:p>
            <w:pPr>
              <w:spacing w:after="0"/>
              <w:rPr>
                <w:sz w:val="18"/>
                <w:szCs w:val="18"/>
                <w:color w:val="auto"/>
              </w:rPr>
            </w:pPr>
          </w:p>
        </w:tc>
        <w:tc>
          <w:tcPr>
            <w:tcW w:w="660" w:type="dxa"/>
            <w:vAlign w:val="bottom"/>
            <w:shd w:val="clear" w:color="auto" w:fill="EFEFEF"/>
          </w:tcPr>
          <w:p>
            <w:pPr>
              <w:spacing w:after="0"/>
              <w:rPr>
                <w:sz w:val="18"/>
                <w:szCs w:val="18"/>
                <w:color w:val="auto"/>
              </w:rPr>
            </w:pPr>
          </w:p>
        </w:tc>
        <w:tc>
          <w:tcPr>
            <w:tcW w:w="340" w:type="dxa"/>
            <w:vAlign w:val="bottom"/>
            <w:shd w:val="clear" w:color="auto" w:fill="EFEFEF"/>
          </w:tcPr>
          <w:p>
            <w:pPr>
              <w:spacing w:after="0"/>
              <w:rPr>
                <w:sz w:val="18"/>
                <w:szCs w:val="18"/>
                <w:color w:val="auto"/>
              </w:rPr>
            </w:pPr>
          </w:p>
        </w:tc>
        <w:tc>
          <w:tcPr>
            <w:tcW w:w="440" w:type="dxa"/>
            <w:vAlign w:val="bottom"/>
            <w:shd w:val="clear" w:color="auto" w:fill="EFEFEF"/>
          </w:tcPr>
          <w:p>
            <w:pPr>
              <w:spacing w:after="0"/>
              <w:rPr>
                <w:sz w:val="18"/>
                <w:szCs w:val="18"/>
                <w:color w:val="auto"/>
              </w:rPr>
            </w:pPr>
          </w:p>
        </w:tc>
        <w:tc>
          <w:tcPr>
            <w:tcW w:w="20" w:type="dxa"/>
            <w:vAlign w:val="bottom"/>
            <w:shd w:val="clear" w:color="auto" w:fill="EFEFEF"/>
          </w:tcPr>
          <w:p>
            <w:pPr>
              <w:spacing w:after="0"/>
              <w:rPr>
                <w:sz w:val="18"/>
                <w:szCs w:val="18"/>
                <w:color w:val="auto"/>
              </w:rPr>
            </w:pPr>
          </w:p>
        </w:tc>
        <w:tc>
          <w:tcPr>
            <w:tcW w:w="1980" w:type="dxa"/>
            <w:vAlign w:val="bottom"/>
            <w:shd w:val="clear" w:color="auto" w:fill="EFEFEF"/>
          </w:tcPr>
          <w:p>
            <w:pPr>
              <w:spacing w:after="0"/>
              <w:rPr>
                <w:sz w:val="18"/>
                <w:szCs w:val="18"/>
                <w:color w:val="auto"/>
              </w:rPr>
            </w:pPr>
          </w:p>
        </w:tc>
        <w:tc>
          <w:tcPr>
            <w:tcW w:w="1180" w:type="dxa"/>
            <w:vAlign w:val="bottom"/>
            <w:shd w:val="clear" w:color="auto" w:fill="EFEFEF"/>
          </w:tcPr>
          <w:p>
            <w:pPr>
              <w:spacing w:after="0"/>
              <w:rPr>
                <w:sz w:val="18"/>
                <w:szCs w:val="18"/>
                <w:color w:val="auto"/>
              </w:rPr>
            </w:pPr>
          </w:p>
        </w:tc>
        <w:tc>
          <w:tcPr>
            <w:tcW w:w="2640" w:type="dxa"/>
            <w:vAlign w:val="bottom"/>
            <w:shd w:val="clear" w:color="auto" w:fill="EFEFEF"/>
          </w:tcPr>
          <w:p>
            <w:pPr>
              <w:spacing w:after="0"/>
              <w:rPr>
                <w:sz w:val="18"/>
                <w:szCs w:val="18"/>
                <w:color w:val="auto"/>
              </w:rPr>
            </w:pPr>
          </w:p>
        </w:tc>
        <w:tc>
          <w:tcPr>
            <w:tcW w:w="2620" w:type="dxa"/>
            <w:vAlign w:val="bottom"/>
            <w:shd w:val="clear" w:color="auto" w:fill="EFEFEF"/>
          </w:tcPr>
          <w:p>
            <w:pPr>
              <w:spacing w:after="0"/>
              <w:rPr>
                <w:sz w:val="18"/>
                <w:szCs w:val="18"/>
                <w:color w:val="auto"/>
              </w:rPr>
            </w:pPr>
          </w:p>
        </w:tc>
        <w:tc>
          <w:tcPr>
            <w:tcW w:w="200" w:type="dxa"/>
            <w:vAlign w:val="bottom"/>
            <w:shd w:val="clear" w:color="auto" w:fill="EFEFEF"/>
          </w:tcPr>
          <w:p>
            <w:pPr>
              <w:spacing w:after="0"/>
              <w:rPr>
                <w:sz w:val="18"/>
                <w:szCs w:val="18"/>
                <w:color w:val="auto"/>
              </w:rPr>
            </w:pPr>
          </w:p>
        </w:tc>
        <w:tc>
          <w:tcPr>
            <w:tcW w:w="40" w:type="dxa"/>
            <w:vAlign w:val="bottom"/>
            <w:shd w:val="clear" w:color="auto" w:fill="EFEFEF"/>
          </w:tcPr>
          <w:p>
            <w:pPr>
              <w:spacing w:after="0"/>
              <w:rPr>
                <w:sz w:val="18"/>
                <w:szCs w:val="18"/>
                <w:color w:val="auto"/>
              </w:rPr>
            </w:pPr>
          </w:p>
        </w:tc>
      </w:tr>
      <w:tr>
        <w:trPr>
          <w:trHeight w:val="216"/>
        </w:trPr>
        <w:tc>
          <w:tcPr>
            <w:tcW w:w="112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Item 1A.</w:t>
            </w:r>
          </w:p>
        </w:tc>
        <w:tc>
          <w:tcPr>
            <w:tcW w:w="7260" w:type="dxa"/>
            <w:vAlign w:val="bottom"/>
            <w:gridSpan w:val="7"/>
          </w:tcPr>
          <w:p>
            <w:pPr>
              <w:spacing w:after="0" w:line="216" w:lineRule="exact"/>
              <w:rPr>
                <w:sz w:val="20"/>
                <w:szCs w:val="20"/>
                <w:color w:val="auto"/>
              </w:rPr>
            </w:pPr>
            <w:r>
              <w:rPr>
                <w:rFonts w:ascii="Times New Roman" w:cs="Times New Roman" w:eastAsia="Times New Roman" w:hAnsi="Times New Roman"/>
                <w:sz w:val="20"/>
                <w:szCs w:val="20"/>
                <w:color w:val="0000FF"/>
              </w:rPr>
              <w:t>Risk Factors</w:t>
            </w:r>
          </w:p>
        </w:tc>
        <w:tc>
          <w:tcPr>
            <w:tcW w:w="2860" w:type="dxa"/>
            <w:vAlign w:val="bottom"/>
            <w:gridSpan w:val="3"/>
          </w:tcPr>
          <w:p>
            <w:pPr>
              <w:jc w:val="right"/>
              <w:ind w:right="40"/>
              <w:spacing w:after="0" w:line="216" w:lineRule="exact"/>
              <w:rPr>
                <w:sz w:val="20"/>
                <w:szCs w:val="20"/>
                <w:color w:val="auto"/>
              </w:rPr>
            </w:pPr>
            <w:r>
              <w:rPr>
                <w:rFonts w:ascii="Times New Roman" w:cs="Times New Roman" w:eastAsia="Times New Roman" w:hAnsi="Times New Roman"/>
                <w:sz w:val="20"/>
                <w:szCs w:val="20"/>
                <w:color w:val="0000FF"/>
              </w:rPr>
              <w:t>69</w:t>
            </w: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20" w:type="dxa"/>
            <w:vAlign w:val="bottom"/>
            <w:shd w:val="clear" w:color="auto" w:fill="EFEFEF"/>
          </w:tcPr>
          <w:p>
            <w:pPr>
              <w:spacing w:after="0"/>
              <w:rPr>
                <w:sz w:val="18"/>
                <w:szCs w:val="18"/>
                <w:color w:val="auto"/>
              </w:rPr>
            </w:pPr>
          </w:p>
        </w:tc>
        <w:tc>
          <w:tcPr>
            <w:tcW w:w="660" w:type="dxa"/>
            <w:vAlign w:val="bottom"/>
            <w:shd w:val="clear" w:color="auto" w:fill="EFEFEF"/>
          </w:tcPr>
          <w:p>
            <w:pPr>
              <w:spacing w:after="0"/>
              <w:rPr>
                <w:sz w:val="18"/>
                <w:szCs w:val="18"/>
                <w:color w:val="auto"/>
              </w:rPr>
            </w:pPr>
          </w:p>
        </w:tc>
        <w:tc>
          <w:tcPr>
            <w:tcW w:w="340" w:type="dxa"/>
            <w:vAlign w:val="bottom"/>
            <w:shd w:val="clear" w:color="auto" w:fill="EFEFEF"/>
          </w:tcPr>
          <w:p>
            <w:pPr>
              <w:spacing w:after="0"/>
              <w:rPr>
                <w:sz w:val="18"/>
                <w:szCs w:val="18"/>
                <w:color w:val="auto"/>
              </w:rPr>
            </w:pPr>
          </w:p>
        </w:tc>
        <w:tc>
          <w:tcPr>
            <w:tcW w:w="440" w:type="dxa"/>
            <w:vAlign w:val="bottom"/>
            <w:shd w:val="clear" w:color="auto" w:fill="EFEFEF"/>
          </w:tcPr>
          <w:p>
            <w:pPr>
              <w:spacing w:after="0"/>
              <w:rPr>
                <w:sz w:val="18"/>
                <w:szCs w:val="18"/>
                <w:color w:val="auto"/>
              </w:rPr>
            </w:pPr>
          </w:p>
        </w:tc>
        <w:tc>
          <w:tcPr>
            <w:tcW w:w="20" w:type="dxa"/>
            <w:vAlign w:val="bottom"/>
            <w:shd w:val="clear" w:color="auto" w:fill="EFEFEF"/>
          </w:tcPr>
          <w:p>
            <w:pPr>
              <w:spacing w:after="0"/>
              <w:rPr>
                <w:sz w:val="18"/>
                <w:szCs w:val="18"/>
                <w:color w:val="auto"/>
              </w:rPr>
            </w:pPr>
          </w:p>
        </w:tc>
        <w:tc>
          <w:tcPr>
            <w:tcW w:w="1980" w:type="dxa"/>
            <w:vAlign w:val="bottom"/>
            <w:shd w:val="clear" w:color="auto" w:fill="EFEFEF"/>
          </w:tcPr>
          <w:p>
            <w:pPr>
              <w:spacing w:after="0"/>
              <w:rPr>
                <w:sz w:val="18"/>
                <w:szCs w:val="18"/>
                <w:color w:val="auto"/>
              </w:rPr>
            </w:pPr>
          </w:p>
        </w:tc>
        <w:tc>
          <w:tcPr>
            <w:tcW w:w="1180" w:type="dxa"/>
            <w:vAlign w:val="bottom"/>
            <w:shd w:val="clear" w:color="auto" w:fill="EFEFEF"/>
          </w:tcPr>
          <w:p>
            <w:pPr>
              <w:spacing w:after="0"/>
              <w:rPr>
                <w:sz w:val="18"/>
                <w:szCs w:val="18"/>
                <w:color w:val="auto"/>
              </w:rPr>
            </w:pPr>
          </w:p>
        </w:tc>
        <w:tc>
          <w:tcPr>
            <w:tcW w:w="2640" w:type="dxa"/>
            <w:vAlign w:val="bottom"/>
            <w:shd w:val="clear" w:color="auto" w:fill="EFEFEF"/>
          </w:tcPr>
          <w:p>
            <w:pPr>
              <w:spacing w:after="0"/>
              <w:rPr>
                <w:sz w:val="18"/>
                <w:szCs w:val="18"/>
                <w:color w:val="auto"/>
              </w:rPr>
            </w:pPr>
          </w:p>
        </w:tc>
        <w:tc>
          <w:tcPr>
            <w:tcW w:w="2620" w:type="dxa"/>
            <w:vAlign w:val="bottom"/>
            <w:shd w:val="clear" w:color="auto" w:fill="EFEFEF"/>
          </w:tcPr>
          <w:p>
            <w:pPr>
              <w:spacing w:after="0"/>
              <w:rPr>
                <w:sz w:val="18"/>
                <w:szCs w:val="18"/>
                <w:color w:val="auto"/>
              </w:rPr>
            </w:pPr>
          </w:p>
        </w:tc>
        <w:tc>
          <w:tcPr>
            <w:tcW w:w="200" w:type="dxa"/>
            <w:vAlign w:val="bottom"/>
            <w:shd w:val="clear" w:color="auto" w:fill="EFEFEF"/>
          </w:tcPr>
          <w:p>
            <w:pPr>
              <w:spacing w:after="0"/>
              <w:rPr>
                <w:sz w:val="18"/>
                <w:szCs w:val="18"/>
                <w:color w:val="auto"/>
              </w:rPr>
            </w:pPr>
          </w:p>
        </w:tc>
        <w:tc>
          <w:tcPr>
            <w:tcW w:w="40" w:type="dxa"/>
            <w:vAlign w:val="bottom"/>
            <w:shd w:val="clear" w:color="auto" w:fill="EFEFEF"/>
          </w:tcPr>
          <w:p>
            <w:pPr>
              <w:spacing w:after="0"/>
              <w:rPr>
                <w:sz w:val="18"/>
                <w:szCs w:val="18"/>
                <w:color w:val="auto"/>
              </w:rPr>
            </w:pPr>
          </w:p>
        </w:tc>
      </w:tr>
      <w:tr>
        <w:trPr>
          <w:trHeight w:val="216"/>
        </w:trPr>
        <w:tc>
          <w:tcPr>
            <w:tcW w:w="112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Item 5.</w:t>
            </w:r>
          </w:p>
        </w:tc>
        <w:tc>
          <w:tcPr>
            <w:tcW w:w="7260" w:type="dxa"/>
            <w:vAlign w:val="bottom"/>
            <w:gridSpan w:val="7"/>
          </w:tcPr>
          <w:p>
            <w:pPr>
              <w:spacing w:after="0" w:line="216" w:lineRule="exact"/>
              <w:rPr>
                <w:sz w:val="20"/>
                <w:szCs w:val="20"/>
                <w:color w:val="auto"/>
              </w:rPr>
            </w:pPr>
            <w:r>
              <w:rPr>
                <w:rFonts w:ascii="Times New Roman" w:cs="Times New Roman" w:eastAsia="Times New Roman" w:hAnsi="Times New Roman"/>
                <w:sz w:val="20"/>
                <w:szCs w:val="20"/>
                <w:color w:val="0000FF"/>
              </w:rPr>
              <w:t>Other Information</w:t>
            </w:r>
          </w:p>
        </w:tc>
        <w:tc>
          <w:tcPr>
            <w:tcW w:w="2860" w:type="dxa"/>
            <w:vAlign w:val="bottom"/>
            <w:gridSpan w:val="3"/>
          </w:tcPr>
          <w:p>
            <w:pPr>
              <w:jc w:val="right"/>
              <w:ind w:right="40"/>
              <w:spacing w:after="0" w:line="216" w:lineRule="exact"/>
              <w:rPr>
                <w:sz w:val="20"/>
                <w:szCs w:val="20"/>
                <w:color w:val="auto"/>
              </w:rPr>
            </w:pPr>
            <w:r>
              <w:rPr>
                <w:rFonts w:ascii="Times New Roman" w:cs="Times New Roman" w:eastAsia="Times New Roman" w:hAnsi="Times New Roman"/>
                <w:sz w:val="20"/>
                <w:szCs w:val="20"/>
                <w:color w:val="0000FF"/>
              </w:rPr>
              <w:t>70</w:t>
            </w: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20" w:type="dxa"/>
            <w:vAlign w:val="bottom"/>
            <w:shd w:val="clear" w:color="auto" w:fill="EFEFEF"/>
          </w:tcPr>
          <w:p>
            <w:pPr>
              <w:spacing w:after="0"/>
              <w:rPr>
                <w:sz w:val="18"/>
                <w:szCs w:val="18"/>
                <w:color w:val="auto"/>
              </w:rPr>
            </w:pPr>
          </w:p>
        </w:tc>
        <w:tc>
          <w:tcPr>
            <w:tcW w:w="660" w:type="dxa"/>
            <w:vAlign w:val="bottom"/>
            <w:shd w:val="clear" w:color="auto" w:fill="EFEFEF"/>
          </w:tcPr>
          <w:p>
            <w:pPr>
              <w:spacing w:after="0"/>
              <w:rPr>
                <w:sz w:val="18"/>
                <w:szCs w:val="18"/>
                <w:color w:val="auto"/>
              </w:rPr>
            </w:pPr>
          </w:p>
        </w:tc>
        <w:tc>
          <w:tcPr>
            <w:tcW w:w="340" w:type="dxa"/>
            <w:vAlign w:val="bottom"/>
            <w:shd w:val="clear" w:color="auto" w:fill="EFEFEF"/>
          </w:tcPr>
          <w:p>
            <w:pPr>
              <w:spacing w:after="0"/>
              <w:rPr>
                <w:sz w:val="18"/>
                <w:szCs w:val="18"/>
                <w:color w:val="auto"/>
              </w:rPr>
            </w:pPr>
          </w:p>
        </w:tc>
        <w:tc>
          <w:tcPr>
            <w:tcW w:w="440" w:type="dxa"/>
            <w:vAlign w:val="bottom"/>
            <w:shd w:val="clear" w:color="auto" w:fill="EFEFEF"/>
          </w:tcPr>
          <w:p>
            <w:pPr>
              <w:spacing w:after="0"/>
              <w:rPr>
                <w:sz w:val="18"/>
                <w:szCs w:val="18"/>
                <w:color w:val="auto"/>
              </w:rPr>
            </w:pPr>
          </w:p>
        </w:tc>
        <w:tc>
          <w:tcPr>
            <w:tcW w:w="20" w:type="dxa"/>
            <w:vAlign w:val="bottom"/>
            <w:shd w:val="clear" w:color="auto" w:fill="EFEFEF"/>
          </w:tcPr>
          <w:p>
            <w:pPr>
              <w:spacing w:after="0"/>
              <w:rPr>
                <w:sz w:val="18"/>
                <w:szCs w:val="18"/>
                <w:color w:val="auto"/>
              </w:rPr>
            </w:pPr>
          </w:p>
        </w:tc>
        <w:tc>
          <w:tcPr>
            <w:tcW w:w="1980" w:type="dxa"/>
            <w:vAlign w:val="bottom"/>
            <w:shd w:val="clear" w:color="auto" w:fill="EFEFEF"/>
          </w:tcPr>
          <w:p>
            <w:pPr>
              <w:spacing w:after="0"/>
              <w:rPr>
                <w:sz w:val="18"/>
                <w:szCs w:val="18"/>
                <w:color w:val="auto"/>
              </w:rPr>
            </w:pPr>
          </w:p>
        </w:tc>
        <w:tc>
          <w:tcPr>
            <w:tcW w:w="1180" w:type="dxa"/>
            <w:vAlign w:val="bottom"/>
            <w:shd w:val="clear" w:color="auto" w:fill="EFEFEF"/>
          </w:tcPr>
          <w:p>
            <w:pPr>
              <w:spacing w:after="0"/>
              <w:rPr>
                <w:sz w:val="18"/>
                <w:szCs w:val="18"/>
                <w:color w:val="auto"/>
              </w:rPr>
            </w:pPr>
          </w:p>
        </w:tc>
        <w:tc>
          <w:tcPr>
            <w:tcW w:w="2640" w:type="dxa"/>
            <w:vAlign w:val="bottom"/>
            <w:shd w:val="clear" w:color="auto" w:fill="EFEFEF"/>
          </w:tcPr>
          <w:p>
            <w:pPr>
              <w:spacing w:after="0"/>
              <w:rPr>
                <w:sz w:val="18"/>
                <w:szCs w:val="18"/>
                <w:color w:val="auto"/>
              </w:rPr>
            </w:pPr>
          </w:p>
        </w:tc>
        <w:tc>
          <w:tcPr>
            <w:tcW w:w="2620" w:type="dxa"/>
            <w:vAlign w:val="bottom"/>
            <w:shd w:val="clear" w:color="auto" w:fill="EFEFEF"/>
          </w:tcPr>
          <w:p>
            <w:pPr>
              <w:spacing w:after="0"/>
              <w:rPr>
                <w:sz w:val="18"/>
                <w:szCs w:val="18"/>
                <w:color w:val="auto"/>
              </w:rPr>
            </w:pPr>
          </w:p>
        </w:tc>
        <w:tc>
          <w:tcPr>
            <w:tcW w:w="200" w:type="dxa"/>
            <w:vAlign w:val="bottom"/>
            <w:shd w:val="clear" w:color="auto" w:fill="EFEFEF"/>
          </w:tcPr>
          <w:p>
            <w:pPr>
              <w:spacing w:after="0"/>
              <w:rPr>
                <w:sz w:val="18"/>
                <w:szCs w:val="18"/>
                <w:color w:val="auto"/>
              </w:rPr>
            </w:pPr>
          </w:p>
        </w:tc>
        <w:tc>
          <w:tcPr>
            <w:tcW w:w="40" w:type="dxa"/>
            <w:vAlign w:val="bottom"/>
            <w:shd w:val="clear" w:color="auto" w:fill="EFEFEF"/>
          </w:tcPr>
          <w:p>
            <w:pPr>
              <w:spacing w:after="0"/>
              <w:rPr>
                <w:sz w:val="18"/>
                <w:szCs w:val="18"/>
                <w:color w:val="auto"/>
              </w:rPr>
            </w:pPr>
          </w:p>
        </w:tc>
      </w:tr>
      <w:tr>
        <w:trPr>
          <w:trHeight w:val="216"/>
        </w:trPr>
        <w:tc>
          <w:tcPr>
            <w:tcW w:w="112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Item 6.</w:t>
            </w:r>
          </w:p>
        </w:tc>
        <w:tc>
          <w:tcPr>
            <w:tcW w:w="7260" w:type="dxa"/>
            <w:vAlign w:val="bottom"/>
            <w:gridSpan w:val="7"/>
          </w:tcPr>
          <w:p>
            <w:pPr>
              <w:spacing w:after="0" w:line="216" w:lineRule="exact"/>
              <w:rPr>
                <w:sz w:val="20"/>
                <w:szCs w:val="20"/>
                <w:color w:val="auto"/>
              </w:rPr>
            </w:pPr>
            <w:r>
              <w:rPr>
                <w:rFonts w:ascii="Times New Roman" w:cs="Times New Roman" w:eastAsia="Times New Roman" w:hAnsi="Times New Roman"/>
                <w:sz w:val="20"/>
                <w:szCs w:val="20"/>
                <w:color w:val="0000FF"/>
              </w:rPr>
              <w:t>Exhibits</w:t>
            </w:r>
          </w:p>
        </w:tc>
        <w:tc>
          <w:tcPr>
            <w:tcW w:w="2860" w:type="dxa"/>
            <w:vAlign w:val="bottom"/>
            <w:gridSpan w:val="3"/>
          </w:tcPr>
          <w:p>
            <w:pPr>
              <w:jc w:val="right"/>
              <w:ind w:right="40"/>
              <w:spacing w:after="0" w:line="216" w:lineRule="exact"/>
              <w:rPr>
                <w:sz w:val="20"/>
                <w:szCs w:val="20"/>
                <w:color w:val="auto"/>
              </w:rPr>
            </w:pPr>
            <w:r>
              <w:rPr>
                <w:rFonts w:ascii="Times New Roman" w:cs="Times New Roman" w:eastAsia="Times New Roman" w:hAnsi="Times New Roman"/>
                <w:sz w:val="20"/>
                <w:szCs w:val="20"/>
                <w:color w:val="0000FF"/>
              </w:rPr>
              <w:t>70</w:t>
            </w: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20" w:type="dxa"/>
            <w:vAlign w:val="bottom"/>
            <w:shd w:val="clear" w:color="auto" w:fill="EFEFEF"/>
          </w:tcPr>
          <w:p>
            <w:pPr>
              <w:spacing w:after="0"/>
              <w:rPr>
                <w:sz w:val="18"/>
                <w:szCs w:val="18"/>
                <w:color w:val="auto"/>
              </w:rPr>
            </w:pPr>
          </w:p>
        </w:tc>
        <w:tc>
          <w:tcPr>
            <w:tcW w:w="660" w:type="dxa"/>
            <w:vAlign w:val="bottom"/>
            <w:shd w:val="clear" w:color="auto" w:fill="EFEFEF"/>
          </w:tcPr>
          <w:p>
            <w:pPr>
              <w:spacing w:after="0"/>
              <w:rPr>
                <w:sz w:val="18"/>
                <w:szCs w:val="18"/>
                <w:color w:val="auto"/>
              </w:rPr>
            </w:pPr>
          </w:p>
        </w:tc>
        <w:tc>
          <w:tcPr>
            <w:tcW w:w="340" w:type="dxa"/>
            <w:vAlign w:val="bottom"/>
            <w:shd w:val="clear" w:color="auto" w:fill="EFEFEF"/>
          </w:tcPr>
          <w:p>
            <w:pPr>
              <w:spacing w:after="0"/>
              <w:rPr>
                <w:sz w:val="18"/>
                <w:szCs w:val="18"/>
                <w:color w:val="auto"/>
              </w:rPr>
            </w:pPr>
          </w:p>
        </w:tc>
        <w:tc>
          <w:tcPr>
            <w:tcW w:w="440" w:type="dxa"/>
            <w:vAlign w:val="bottom"/>
            <w:shd w:val="clear" w:color="auto" w:fill="EFEFEF"/>
          </w:tcPr>
          <w:p>
            <w:pPr>
              <w:spacing w:after="0"/>
              <w:rPr>
                <w:sz w:val="18"/>
                <w:szCs w:val="18"/>
                <w:color w:val="auto"/>
              </w:rPr>
            </w:pPr>
          </w:p>
        </w:tc>
        <w:tc>
          <w:tcPr>
            <w:tcW w:w="20" w:type="dxa"/>
            <w:vAlign w:val="bottom"/>
            <w:shd w:val="clear" w:color="auto" w:fill="EFEFEF"/>
          </w:tcPr>
          <w:p>
            <w:pPr>
              <w:spacing w:after="0"/>
              <w:rPr>
                <w:sz w:val="18"/>
                <w:szCs w:val="18"/>
                <w:color w:val="auto"/>
              </w:rPr>
            </w:pPr>
          </w:p>
        </w:tc>
        <w:tc>
          <w:tcPr>
            <w:tcW w:w="1980" w:type="dxa"/>
            <w:vAlign w:val="bottom"/>
            <w:shd w:val="clear" w:color="auto" w:fill="EFEFEF"/>
          </w:tcPr>
          <w:p>
            <w:pPr>
              <w:spacing w:after="0"/>
              <w:rPr>
                <w:sz w:val="18"/>
                <w:szCs w:val="18"/>
                <w:color w:val="auto"/>
              </w:rPr>
            </w:pPr>
          </w:p>
        </w:tc>
        <w:tc>
          <w:tcPr>
            <w:tcW w:w="1180" w:type="dxa"/>
            <w:vAlign w:val="bottom"/>
            <w:shd w:val="clear" w:color="auto" w:fill="EFEFEF"/>
          </w:tcPr>
          <w:p>
            <w:pPr>
              <w:spacing w:after="0"/>
              <w:rPr>
                <w:sz w:val="18"/>
                <w:szCs w:val="18"/>
                <w:color w:val="auto"/>
              </w:rPr>
            </w:pPr>
          </w:p>
        </w:tc>
        <w:tc>
          <w:tcPr>
            <w:tcW w:w="2640" w:type="dxa"/>
            <w:vAlign w:val="bottom"/>
            <w:shd w:val="clear" w:color="auto" w:fill="EFEFEF"/>
          </w:tcPr>
          <w:p>
            <w:pPr>
              <w:spacing w:after="0"/>
              <w:rPr>
                <w:sz w:val="18"/>
                <w:szCs w:val="18"/>
                <w:color w:val="auto"/>
              </w:rPr>
            </w:pPr>
          </w:p>
        </w:tc>
        <w:tc>
          <w:tcPr>
            <w:tcW w:w="2620" w:type="dxa"/>
            <w:vAlign w:val="bottom"/>
            <w:shd w:val="clear" w:color="auto" w:fill="EFEFEF"/>
          </w:tcPr>
          <w:p>
            <w:pPr>
              <w:spacing w:after="0"/>
              <w:rPr>
                <w:sz w:val="18"/>
                <w:szCs w:val="18"/>
                <w:color w:val="auto"/>
              </w:rPr>
            </w:pPr>
          </w:p>
        </w:tc>
        <w:tc>
          <w:tcPr>
            <w:tcW w:w="200" w:type="dxa"/>
            <w:vAlign w:val="bottom"/>
            <w:shd w:val="clear" w:color="auto" w:fill="EFEFEF"/>
          </w:tcPr>
          <w:p>
            <w:pPr>
              <w:spacing w:after="0"/>
              <w:rPr>
                <w:sz w:val="18"/>
                <w:szCs w:val="18"/>
                <w:color w:val="auto"/>
              </w:rPr>
            </w:pPr>
          </w:p>
        </w:tc>
        <w:tc>
          <w:tcPr>
            <w:tcW w:w="40" w:type="dxa"/>
            <w:vAlign w:val="bottom"/>
            <w:shd w:val="clear" w:color="auto" w:fill="EFEFEF"/>
          </w:tcPr>
          <w:p>
            <w:pPr>
              <w:spacing w:after="0"/>
              <w:rPr>
                <w:sz w:val="18"/>
                <w:szCs w:val="18"/>
                <w:color w:val="auto"/>
              </w:rPr>
            </w:pPr>
          </w:p>
        </w:tc>
      </w:tr>
      <w:tr>
        <w:trPr>
          <w:trHeight w:val="257"/>
        </w:trPr>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SIGNATURE</w:t>
            </w:r>
          </w:p>
        </w:tc>
        <w:tc>
          <w:tcPr>
            <w:tcW w:w="2620" w:type="dxa"/>
            <w:vAlign w:val="bottom"/>
          </w:tcPr>
          <w:p>
            <w:pPr>
              <w:spacing w:after="0"/>
              <w:rPr>
                <w:sz w:val="22"/>
                <w:szCs w:val="22"/>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71</w:t>
            </w:r>
          </w:p>
        </w:tc>
        <w:tc>
          <w:tcPr>
            <w:tcW w:w="4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180" w:type="dxa"/>
            <w:vAlign w:val="bottom"/>
            <w:tcBorders>
              <w:bottom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1120" w:type="dxa"/>
            <w:vAlign w:val="bottom"/>
          </w:tcPr>
          <w:p>
            <w:pPr>
              <w:spacing w:after="0"/>
              <w:rPr>
                <w:sz w:val="24"/>
                <w:szCs w:val="24"/>
                <w:color w:val="auto"/>
              </w:rPr>
            </w:pPr>
          </w:p>
        </w:tc>
        <w:tc>
          <w:tcPr>
            <w:tcW w:w="4620" w:type="dxa"/>
            <w:vAlign w:val="bottom"/>
            <w:gridSpan w:val="6"/>
          </w:tcPr>
          <w:p>
            <w:pPr>
              <w:ind w:left="4460"/>
              <w:spacing w:after="0"/>
              <w:rPr>
                <w:sz w:val="20"/>
                <w:szCs w:val="20"/>
                <w:color w:val="auto"/>
              </w:rPr>
            </w:pPr>
            <w:r>
              <w:rPr>
                <w:rFonts w:ascii="Times New Roman" w:cs="Times New Roman" w:eastAsia="Times New Roman" w:hAnsi="Times New Roman"/>
                <w:sz w:val="18"/>
                <w:szCs w:val="18"/>
                <w:color w:val="auto"/>
              </w:rPr>
              <w:t>2</w:t>
            </w:r>
          </w:p>
        </w:tc>
        <w:tc>
          <w:tcPr>
            <w:tcW w:w="2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700" w:type="dxa"/>
            <w:vAlign w:val="bottom"/>
          </w:tcPr>
          <w:p>
            <w:pPr>
              <w:jc w:val="center"/>
              <w:ind w:right="2441"/>
              <w:spacing w:after="0"/>
              <w:rPr>
                <w:sz w:val="20"/>
                <w:szCs w:val="20"/>
                <w:color w:val="auto"/>
              </w:rPr>
            </w:pPr>
            <w:r>
              <w:rPr>
                <w:rFonts w:ascii="Times New Roman" w:cs="Times New Roman" w:eastAsia="Times New Roman" w:hAnsi="Times New Roman"/>
                <w:sz w:val="20"/>
                <w:szCs w:val="20"/>
                <w:b w:val="1"/>
                <w:bCs w:val="1"/>
                <w:color w:val="155CAB"/>
                <w:w w:val="99"/>
              </w:rPr>
              <w:t>DEFINITIONS</w:t>
            </w:r>
          </w:p>
        </w:tc>
      </w:tr>
      <w:tr>
        <w:trPr>
          <w:trHeight w:val="338"/>
        </w:trPr>
        <w:tc>
          <w:tcPr>
            <w:tcW w:w="11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following abbreviations and acronyms are used throughout this document:</w:t>
            </w:r>
          </w:p>
        </w:tc>
      </w:tr>
      <w:tr>
        <w:trPr>
          <w:trHeight w:val="51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55CAB"/>
              </w:rPr>
              <w:t>Abbreviation</w:t>
            </w:r>
          </w:p>
        </w:tc>
        <w:tc>
          <w:tcPr>
            <w:tcW w:w="26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270"/>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55CAB"/>
              </w:rPr>
              <w:t>or Acronym</w:t>
            </w:r>
          </w:p>
        </w:tc>
        <w:tc>
          <w:tcPr>
            <w:tcW w:w="260" w:type="dxa"/>
            <w:vAlign w:val="bottom"/>
          </w:tcPr>
          <w:p>
            <w:pPr>
              <w:spacing w:after="0"/>
              <w:rPr>
                <w:sz w:val="23"/>
                <w:szCs w:val="23"/>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55CAB"/>
              </w:rPr>
              <w:t>Definition</w:t>
            </w:r>
          </w:p>
        </w:tc>
      </w:tr>
      <w:tr>
        <w:trPr>
          <w:trHeight w:val="21"/>
        </w:trPr>
        <w:tc>
          <w:tcPr>
            <w:tcW w:w="2280" w:type="dxa"/>
            <w:vAlign w:val="bottom"/>
            <w:tcBorders>
              <w:bottom w:val="single" w:sz="8" w:color="155CAB"/>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Borders>
              <w:bottom w:val="single" w:sz="8" w:color="155CAB"/>
            </w:tcBorders>
          </w:tcPr>
          <w:p>
            <w:pPr>
              <w:spacing w:after="0" w:line="20" w:lineRule="exact"/>
              <w:rPr>
                <w:sz w:val="1"/>
                <w:szCs w:val="1"/>
                <w:color w:val="auto"/>
              </w:rPr>
            </w:pPr>
          </w:p>
        </w:tc>
      </w:tr>
      <w:tr>
        <w:trPr>
          <w:trHeight w:val="28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AFUDC</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AUT</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Annual Power Cost Update Tariff</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Clearwater</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Clearwater Wind Development</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Colstrip</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Colstrip Units 3 and 4 coal-fired generating plant</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EPA</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United States Environmental Protection Agency</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FERC</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Energy Regulatory Commission</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FMB</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First Mortgage Bond</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GAAP</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principles generally accepted in the United States of America</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GRC</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General Rate Case</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IRP</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Integrated Resource Plan</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ITC</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Federal investment tax credit</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Moody’s</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Moody’s Investors Service</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MW</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Megawatts</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MWh</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NVPC</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Net Variable Power Costs</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OPUC</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Public Utility Commission of Oregon</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PCAM</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Power cost adjustment mechanism</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PTC</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Production tax credit</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RAC</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Renewable Adjustment Clause</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RFP</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Request for Proposals</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RPS</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Renewable Portfolio Standard</w:t>
            </w:r>
          </w:p>
        </w:tc>
      </w:tr>
      <w:tr>
        <w:trPr>
          <w:trHeight w:val="303"/>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S&amp;P</w:t>
            </w:r>
          </w:p>
        </w:tc>
        <w:tc>
          <w:tcPr>
            <w:tcW w:w="260" w:type="dxa"/>
            <w:vAlign w:val="bottom"/>
          </w:tcPr>
          <w:p>
            <w:pPr>
              <w:spacing w:after="0"/>
              <w:rPr>
                <w:sz w:val="24"/>
                <w:szCs w:val="24"/>
                <w:color w:val="auto"/>
              </w:rPr>
            </w:pPr>
          </w:p>
        </w:tc>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S&amp;P Global Ratings</w:t>
            </w:r>
          </w:p>
        </w:tc>
      </w:tr>
      <w:tr>
        <w:trPr>
          <w:trHeight w:val="21"/>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04"/>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b w:val="1"/>
                <w:bCs w:val="1"/>
                <w:color w:val="auto"/>
              </w:rPr>
              <w:t>SEC</w:t>
            </w:r>
          </w:p>
        </w:tc>
        <w:tc>
          <w:tcPr>
            <w:tcW w:w="260" w:type="dxa"/>
            <w:vAlign w:val="bottom"/>
            <w:tcBorders>
              <w:bottom w:val="single" w:sz="8" w:color="EFEFEF"/>
            </w:tcBorders>
            <w:shd w:val="clear" w:color="auto" w:fill="EFEFEF"/>
          </w:tcPr>
          <w:p>
            <w:pPr>
              <w:spacing w:after="0"/>
              <w:rPr>
                <w:sz w:val="24"/>
                <w:szCs w:val="24"/>
                <w:color w:val="auto"/>
              </w:rPr>
            </w:pPr>
          </w:p>
        </w:tc>
        <w:tc>
          <w:tcPr>
            <w:tcW w:w="87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tc>
      </w:tr>
      <w:tr>
        <w:trPr>
          <w:trHeight w:val="230"/>
        </w:trPr>
        <w:tc>
          <w:tcPr>
            <w:tcW w:w="2280" w:type="dxa"/>
            <w:vAlign w:val="bottom"/>
            <w:tcBorders>
              <w:bottom w:val="single" w:sz="8" w:color="0066B5"/>
            </w:tcBorders>
          </w:tcPr>
          <w:p>
            <w:pPr>
              <w:spacing w:after="0"/>
              <w:rPr>
                <w:sz w:val="19"/>
                <w:szCs w:val="19"/>
                <w:color w:val="auto"/>
              </w:rPr>
            </w:pPr>
          </w:p>
        </w:tc>
        <w:tc>
          <w:tcPr>
            <w:tcW w:w="8960" w:type="dxa"/>
            <w:vAlign w:val="bottom"/>
            <w:tcBorders>
              <w:bottom w:val="single" w:sz="8" w:color="0066B5"/>
            </w:tcBorders>
            <w:gridSpan w:val="2"/>
          </w:tcPr>
          <w:p>
            <w:pPr>
              <w:spacing w:after="0"/>
              <w:rPr>
                <w:sz w:val="19"/>
                <w:szCs w:val="19"/>
                <w:color w:val="auto"/>
              </w:rPr>
            </w:pPr>
          </w:p>
        </w:tc>
      </w:tr>
      <w:tr>
        <w:trPr>
          <w:trHeight w:val="642"/>
        </w:trPr>
        <w:tc>
          <w:tcPr>
            <w:tcW w:w="2280" w:type="dxa"/>
            <w:vAlign w:val="bottom"/>
          </w:tcPr>
          <w:p>
            <w:pPr>
              <w:spacing w:after="0"/>
              <w:rPr>
                <w:sz w:val="24"/>
                <w:szCs w:val="24"/>
                <w:color w:val="auto"/>
              </w:rPr>
            </w:pPr>
          </w:p>
        </w:tc>
        <w:tc>
          <w:tcPr>
            <w:tcW w:w="8960" w:type="dxa"/>
            <w:vAlign w:val="bottom"/>
            <w:gridSpan w:val="2"/>
          </w:tcPr>
          <w:p>
            <w:pPr>
              <w:jc w:val="right"/>
              <w:ind w:right="5481"/>
              <w:spacing w:after="0"/>
              <w:rPr>
                <w:sz w:val="20"/>
                <w:szCs w:val="20"/>
                <w:color w:val="auto"/>
              </w:rPr>
            </w:pPr>
            <w:r>
              <w:rPr>
                <w:rFonts w:ascii="Times New Roman" w:cs="Times New Roman" w:eastAsia="Times New Roman" w:hAnsi="Times New Roman"/>
                <w:sz w:val="18"/>
                <w:szCs w:val="18"/>
                <w:color w:val="auto"/>
              </w:rPr>
              <w:t>3</w:t>
            </w:r>
          </w:p>
        </w:tc>
      </w:tr>
      <w:tr>
        <w:trPr>
          <w:trHeight w:val="358"/>
        </w:trPr>
        <w:tc>
          <w:tcPr>
            <w:tcW w:w="2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PART I — FINANCIAL INFORMATION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1. Financial Statements.</w:t>
      </w:r>
    </w:p>
    <w:p>
      <w:pPr>
        <w:spacing w:after="0" w:line="216" w:lineRule="exact"/>
        <w:rPr>
          <w:sz w:val="20"/>
          <w:szCs w:val="20"/>
          <w:color w:val="auto"/>
        </w:rPr>
      </w:pPr>
    </w:p>
    <w:p>
      <w:pPr>
        <w:jc w:val="center"/>
        <w:ind w:left="340" w:right="2500"/>
        <w:spacing w:after="0" w:line="248" w:lineRule="auto"/>
        <w:rPr>
          <w:sz w:val="20"/>
          <w:szCs w:val="20"/>
          <w:color w:val="auto"/>
        </w:rPr>
      </w:pPr>
      <w:r>
        <w:rPr>
          <w:rFonts w:ascii="Times New Roman" w:cs="Times New Roman" w:eastAsia="Times New Roman" w:hAnsi="Times New Roman"/>
          <w:sz w:val="20"/>
          <w:szCs w:val="20"/>
          <w:b w:val="1"/>
          <w:bCs w:val="1"/>
          <w:color w:val="155CAB"/>
        </w:rPr>
        <w:t>PORTLAND GENERAL ELECTRIC COMPANY AND SUBSIDIARIES CONDENSED CONSOLIDATED STATEMENTS OF INCOME AND COMPREHENSIVE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millions, except per share amounts)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right"/>
              <w:ind w:right="301"/>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b w:val="1"/>
                <w:bCs w:val="1"/>
                <w:color w:val="155CAB"/>
                <w:w w:val="98"/>
              </w:rPr>
              <w:t>Nine Months Ended</w:t>
            </w:r>
          </w:p>
        </w:tc>
      </w:tr>
      <w:tr>
        <w:trPr>
          <w:trHeight w:val="256"/>
        </w:trPr>
        <w:tc>
          <w:tcPr>
            <w:tcW w:w="5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20" w:type="dxa"/>
            <w:vAlign w:val="bottom"/>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b w:val="1"/>
                <w:bCs w:val="1"/>
                <w:color w:val="155CAB"/>
                <w:w w:val="98"/>
              </w:rPr>
              <w:t>September 30,</w:t>
            </w:r>
          </w:p>
        </w:tc>
      </w:tr>
      <w:tr>
        <w:trPr>
          <w:trHeight w:val="223"/>
        </w:trPr>
        <w:tc>
          <w:tcPr>
            <w:tcW w:w="5800" w:type="dxa"/>
            <w:vAlign w:val="bottom"/>
          </w:tcPr>
          <w:p>
            <w:pPr>
              <w:spacing w:after="0"/>
              <w:rPr>
                <w:sz w:val="19"/>
                <w:szCs w:val="19"/>
                <w:color w:val="auto"/>
              </w:rPr>
            </w:pPr>
          </w:p>
        </w:tc>
        <w:tc>
          <w:tcPr>
            <w:tcW w:w="220" w:type="dxa"/>
            <w:vAlign w:val="bottom"/>
            <w:tcBorders>
              <w:top w:val="single" w:sz="8" w:color="155CAB"/>
              <w:bottom w:val="single" w:sz="8" w:color="155CAB"/>
            </w:tcBorders>
          </w:tcPr>
          <w:p>
            <w:pPr>
              <w:spacing w:after="0"/>
              <w:rPr>
                <w:sz w:val="19"/>
                <w:szCs w:val="19"/>
                <w:color w:val="auto"/>
              </w:rPr>
            </w:pPr>
          </w:p>
        </w:tc>
        <w:tc>
          <w:tcPr>
            <w:tcW w:w="920" w:type="dxa"/>
            <w:vAlign w:val="bottom"/>
            <w:tcBorders>
              <w:top w:val="single" w:sz="8" w:color="155CAB"/>
              <w:bottom w:val="single" w:sz="8" w:color="155CAB"/>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240" w:type="dxa"/>
            <w:vAlign w:val="bottom"/>
            <w:tcBorders>
              <w:top w:val="single" w:sz="8" w:color="155CAB"/>
            </w:tcBorders>
          </w:tcPr>
          <w:p>
            <w:pPr>
              <w:spacing w:after="0"/>
              <w:rPr>
                <w:sz w:val="19"/>
                <w:szCs w:val="19"/>
                <w:color w:val="auto"/>
              </w:rPr>
            </w:pPr>
          </w:p>
        </w:tc>
        <w:tc>
          <w:tcPr>
            <w:tcW w:w="240" w:type="dxa"/>
            <w:vAlign w:val="bottom"/>
            <w:tcBorders>
              <w:top w:val="single" w:sz="8" w:color="155CAB"/>
              <w:bottom w:val="single" w:sz="8" w:color="155CAB"/>
            </w:tcBorders>
          </w:tcPr>
          <w:p>
            <w:pPr>
              <w:spacing w:after="0"/>
              <w:rPr>
                <w:sz w:val="19"/>
                <w:szCs w:val="19"/>
                <w:color w:val="auto"/>
              </w:rPr>
            </w:pPr>
          </w:p>
        </w:tc>
        <w:tc>
          <w:tcPr>
            <w:tcW w:w="920" w:type="dxa"/>
            <w:vAlign w:val="bottom"/>
            <w:tcBorders>
              <w:top w:val="single" w:sz="8" w:color="155CAB"/>
              <w:bottom w:val="single" w:sz="8" w:color="155CAB"/>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240" w:type="dxa"/>
            <w:vAlign w:val="bottom"/>
          </w:tcPr>
          <w:p>
            <w:pPr>
              <w:spacing w:after="0"/>
              <w:rPr>
                <w:sz w:val="19"/>
                <w:szCs w:val="19"/>
                <w:color w:val="auto"/>
              </w:rPr>
            </w:pPr>
          </w:p>
        </w:tc>
        <w:tc>
          <w:tcPr>
            <w:tcW w:w="240" w:type="dxa"/>
            <w:vAlign w:val="bottom"/>
            <w:tcBorders>
              <w:top w:val="single" w:sz="8" w:color="155CAB"/>
              <w:bottom w:val="single" w:sz="8" w:color="155CAB"/>
            </w:tcBorders>
          </w:tcPr>
          <w:p>
            <w:pPr>
              <w:spacing w:after="0"/>
              <w:rPr>
                <w:sz w:val="19"/>
                <w:szCs w:val="19"/>
                <w:color w:val="auto"/>
              </w:rPr>
            </w:pPr>
          </w:p>
        </w:tc>
        <w:tc>
          <w:tcPr>
            <w:tcW w:w="900" w:type="dxa"/>
            <w:vAlign w:val="bottom"/>
            <w:tcBorders>
              <w:top w:val="single" w:sz="8" w:color="155CAB"/>
              <w:bottom w:val="single" w:sz="8" w:color="155CAB"/>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260" w:type="dxa"/>
            <w:vAlign w:val="bottom"/>
            <w:tcBorders>
              <w:top w:val="single" w:sz="8" w:color="155CAB"/>
            </w:tcBorders>
          </w:tcPr>
          <w:p>
            <w:pPr>
              <w:spacing w:after="0"/>
              <w:rPr>
                <w:sz w:val="19"/>
                <w:szCs w:val="19"/>
                <w:color w:val="auto"/>
              </w:rPr>
            </w:pPr>
          </w:p>
        </w:tc>
        <w:tc>
          <w:tcPr>
            <w:tcW w:w="220" w:type="dxa"/>
            <w:vAlign w:val="bottom"/>
            <w:tcBorders>
              <w:top w:val="single" w:sz="8" w:color="155CAB"/>
              <w:bottom w:val="single" w:sz="8" w:color="155CAB"/>
            </w:tcBorders>
          </w:tcPr>
          <w:p>
            <w:pPr>
              <w:spacing w:after="0"/>
              <w:rPr>
                <w:sz w:val="19"/>
                <w:szCs w:val="19"/>
                <w:color w:val="auto"/>
              </w:rPr>
            </w:pPr>
          </w:p>
        </w:tc>
        <w:tc>
          <w:tcPr>
            <w:tcW w:w="920" w:type="dxa"/>
            <w:vAlign w:val="bottom"/>
            <w:tcBorders>
              <w:top w:val="single" w:sz="8" w:color="155CAB"/>
              <w:bottom w:val="single" w:sz="8" w:color="155CAB"/>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20" w:type="dxa"/>
            <w:vAlign w:val="bottom"/>
          </w:tcPr>
          <w:p>
            <w:pPr>
              <w:spacing w:after="0"/>
              <w:rPr>
                <w:sz w:val="19"/>
                <w:szCs w:val="19"/>
                <w:color w:val="auto"/>
              </w:rPr>
            </w:pPr>
          </w:p>
        </w:tc>
      </w:tr>
      <w:tr>
        <w:trPr>
          <w:trHeight w:val="223"/>
        </w:trPr>
        <w:tc>
          <w:tcPr>
            <w:tcW w:w="58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Revenues:</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spacing w:after="0"/>
              <w:rPr>
                <w:sz w:val="19"/>
                <w:szCs w:val="19"/>
                <w:color w:val="auto"/>
              </w:rPr>
            </w:pP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Revenues, net</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2,676</w:t>
            </w:r>
          </w:p>
        </w:tc>
        <w:tc>
          <w:tcPr>
            <w:tcW w:w="120" w:type="dxa"/>
            <w:vAlign w:val="bottom"/>
          </w:tcPr>
          <w:p>
            <w:pPr>
              <w:spacing w:after="0"/>
              <w:rPr>
                <w:sz w:val="19"/>
                <w:szCs w:val="19"/>
                <w:color w:val="auto"/>
              </w:rPr>
            </w:pPr>
          </w:p>
        </w:tc>
      </w:tr>
      <w:tr>
        <w:trPr>
          <w:trHeight w:val="229"/>
        </w:trPr>
        <w:tc>
          <w:tcPr>
            <w:tcW w:w="5800" w:type="dxa"/>
            <w:vAlign w:val="bottom"/>
            <w:tcBorders>
              <w:bottom w:val="single" w:sz="8" w:color="EFEFEF"/>
            </w:tcBorders>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Alternative revenue programs, net of amortization</w:t>
            </w: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Borders>
              <w:bottom w:val="single" w:sz="8" w:color="EFEFEF"/>
            </w:tcBorders>
            <w:shd w:val="clear" w:color="auto" w:fill="EFEFEF"/>
          </w:tcPr>
          <w:p>
            <w:pPr>
              <w:spacing w:after="0"/>
              <w:rPr>
                <w:sz w:val="19"/>
                <w:szCs w:val="19"/>
                <w:color w:val="auto"/>
              </w:rPr>
            </w:pP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971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952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2,664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2,687</w:t>
            </w:r>
          </w:p>
        </w:tc>
        <w:tc>
          <w:tcPr>
            <w:tcW w:w="120" w:type="dxa"/>
            <w:vAlign w:val="bottom"/>
          </w:tcPr>
          <w:p>
            <w:pPr>
              <w:spacing w:after="0"/>
              <w:rPr>
                <w:sz w:val="19"/>
                <w:szCs w:val="19"/>
                <w:color w:val="auto"/>
              </w:rPr>
            </w:pPr>
          </w:p>
        </w:tc>
      </w:tr>
      <w:tr>
        <w:trPr>
          <w:trHeight w:val="223"/>
        </w:trPr>
        <w:tc>
          <w:tcPr>
            <w:tcW w:w="58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Operating expenses:</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spacing w:after="0"/>
              <w:rPr>
                <w:sz w:val="19"/>
                <w:szCs w:val="19"/>
                <w:color w:val="auto"/>
              </w:rPr>
            </w:pP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Purchased power and fuel</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120" w:type="dxa"/>
            <w:vAlign w:val="bottom"/>
          </w:tcPr>
          <w:p>
            <w:pPr>
              <w:spacing w:after="0"/>
              <w:rPr>
                <w:sz w:val="19"/>
                <w:szCs w:val="19"/>
                <w:color w:val="auto"/>
              </w:rPr>
            </w:pPr>
          </w:p>
        </w:tc>
      </w:tr>
      <w:tr>
        <w:trPr>
          <w:trHeight w:val="229"/>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Generation, transmission and distribution</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20" w:type="dxa"/>
            <w:vAlign w:val="bottom"/>
            <w:shd w:val="clear" w:color="auto" w:fill="EFEFEF"/>
          </w:tcPr>
          <w:p>
            <w:pPr>
              <w:spacing w:after="0"/>
              <w:rPr>
                <w:sz w:val="19"/>
                <w:szCs w:val="19"/>
                <w:color w:val="auto"/>
              </w:rPr>
            </w:pPr>
          </w:p>
        </w:tc>
      </w:tr>
      <w:tr>
        <w:trPr>
          <w:trHeight w:val="229"/>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and 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120" w:type="dxa"/>
            <w:vAlign w:val="bottom"/>
          </w:tcPr>
          <w:p>
            <w:pPr>
              <w:spacing w:after="0"/>
              <w:rPr>
                <w:sz w:val="19"/>
                <w:szCs w:val="19"/>
                <w:color w:val="auto"/>
              </w:rPr>
            </w:pPr>
          </w:p>
        </w:tc>
      </w:tr>
      <w:tr>
        <w:trPr>
          <w:trHeight w:val="230"/>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120" w:type="dxa"/>
            <w:vAlign w:val="bottom"/>
            <w:shd w:val="clear" w:color="auto" w:fill="EFEFEF"/>
          </w:tcPr>
          <w:p>
            <w:pPr>
              <w:spacing w:after="0"/>
              <w:rPr>
                <w:sz w:val="19"/>
                <w:szCs w:val="19"/>
                <w:color w:val="auto"/>
              </w:rPr>
            </w:pPr>
          </w:p>
        </w:tc>
      </w:tr>
      <w:tr>
        <w:trPr>
          <w:trHeight w:val="229"/>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20" w:type="dxa"/>
            <w:vAlign w:val="bottom"/>
          </w:tcPr>
          <w:p>
            <w:pPr>
              <w:spacing w:after="0"/>
              <w:rPr>
                <w:sz w:val="19"/>
                <w:szCs w:val="19"/>
                <w:color w:val="auto"/>
              </w:rPr>
            </w:pPr>
          </w:p>
        </w:tc>
      </w:tr>
      <w:tr>
        <w:trPr>
          <w:trHeight w:val="223"/>
        </w:trPr>
        <w:tc>
          <w:tcPr>
            <w:tcW w:w="5800" w:type="dxa"/>
            <w:vAlign w:val="bottom"/>
            <w:tcBorders>
              <w:bottom w:val="single" w:sz="8" w:color="EFEFEF"/>
            </w:tcBorders>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784</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778</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2,249</w:t>
            </w:r>
          </w:p>
        </w:tc>
        <w:tc>
          <w:tcPr>
            <w:tcW w:w="26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2,227</w:t>
            </w:r>
          </w:p>
        </w:tc>
        <w:tc>
          <w:tcPr>
            <w:tcW w:w="120" w:type="dxa"/>
            <w:vAlign w:val="bottom"/>
            <w:tcBorders>
              <w:bottom w:val="single" w:sz="8" w:color="EFEFEF"/>
            </w:tcBorders>
            <w:shd w:val="clear" w:color="auto" w:fill="EFEFEF"/>
          </w:tcPr>
          <w:p>
            <w:pPr>
              <w:spacing w:after="0"/>
              <w:rPr>
                <w:sz w:val="19"/>
                <w:szCs w:val="19"/>
                <w:color w:val="auto"/>
              </w:rPr>
            </w:pP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2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460</w:t>
            </w:r>
          </w:p>
        </w:tc>
        <w:tc>
          <w:tcPr>
            <w:tcW w:w="120" w:type="dxa"/>
            <w:vAlign w:val="bottom"/>
          </w:tcPr>
          <w:p>
            <w:pPr>
              <w:spacing w:after="0"/>
              <w:rPr>
                <w:sz w:val="19"/>
                <w:szCs w:val="19"/>
                <w:color w:val="auto"/>
              </w:rPr>
            </w:pPr>
          </w:p>
        </w:tc>
      </w:tr>
      <w:tr>
        <w:trPr>
          <w:trHeight w:val="229"/>
        </w:trPr>
        <w:tc>
          <w:tcPr>
            <w:tcW w:w="580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b w:val="1"/>
                <w:bCs w:val="1"/>
                <w:color w:val="auto"/>
              </w:rPr>
              <w:t>Interest expense, net</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120" w:type="dxa"/>
            <w:vAlign w:val="bottom"/>
            <w:shd w:val="clear" w:color="auto" w:fill="EFEFEF"/>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Allowance for equity funds used during construction</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shd w:val="clear" w:color="auto" w:fill="EFEFEF"/>
          </w:tcPr>
          <w:p>
            <w:pPr>
              <w:spacing w:after="0"/>
              <w:rPr>
                <w:sz w:val="19"/>
                <w:szCs w:val="19"/>
                <w:color w:val="auto"/>
              </w:rPr>
            </w:pP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Miscellaneous income, net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20" w:type="dxa"/>
            <w:vAlign w:val="bottom"/>
          </w:tcPr>
          <w:p>
            <w:pPr>
              <w:spacing w:after="0"/>
              <w:rPr>
                <w:sz w:val="19"/>
                <w:szCs w:val="19"/>
                <w:color w:val="auto"/>
              </w:rPr>
            </w:pPr>
          </w:p>
        </w:tc>
      </w:tr>
      <w:tr>
        <w:trPr>
          <w:trHeight w:val="223"/>
        </w:trPr>
        <w:tc>
          <w:tcPr>
            <w:tcW w:w="5800" w:type="dxa"/>
            <w:vAlign w:val="bottom"/>
            <w:tcBorders>
              <w:bottom w:val="single" w:sz="8" w:color="EFEFEF"/>
            </w:tcBorders>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color w:val="auto"/>
              </w:rPr>
              <w:t>Other income, net</w:t>
            </w: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13</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9</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26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120" w:type="dxa"/>
            <w:vAlign w:val="bottom"/>
            <w:tcBorders>
              <w:bottom w:val="single" w:sz="8" w:color="EFEFEF"/>
            </w:tcBorders>
            <w:shd w:val="clear" w:color="auto" w:fill="EFEFEF"/>
          </w:tcPr>
          <w:p>
            <w:pPr>
              <w:spacing w:after="0"/>
              <w:rPr>
                <w:sz w:val="19"/>
                <w:szCs w:val="19"/>
                <w:color w:val="auto"/>
              </w:rPr>
            </w:pP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b w:val="1"/>
                <w:bCs w:val="1"/>
                <w:color w:val="auto"/>
              </w:rPr>
              <w:t>Income before income tax expense</w:t>
            </w:r>
          </w:p>
        </w:tc>
        <w:tc>
          <w:tcPr>
            <w:tcW w:w="2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319</w:t>
            </w:r>
          </w:p>
        </w:tc>
        <w:tc>
          <w:tcPr>
            <w:tcW w:w="120" w:type="dxa"/>
            <w:vAlign w:val="bottom"/>
          </w:tcPr>
          <w:p>
            <w:pPr>
              <w:spacing w:after="0"/>
              <w:rPr>
                <w:sz w:val="19"/>
                <w:szCs w:val="19"/>
                <w:color w:val="auto"/>
              </w:rPr>
            </w:pPr>
          </w:p>
        </w:tc>
      </w:tr>
      <w:tr>
        <w:trPr>
          <w:trHeight w:val="230"/>
        </w:trPr>
        <w:tc>
          <w:tcPr>
            <w:tcW w:w="580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6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20" w:type="dxa"/>
            <w:vAlign w:val="bottom"/>
            <w:tcBorders>
              <w:bottom w:val="single" w:sz="8" w:color="EFEFEF"/>
            </w:tcBorders>
            <w:shd w:val="clear" w:color="auto" w:fill="EFEFEF"/>
          </w:tcPr>
          <w:p>
            <w:pPr>
              <w:spacing w:after="0"/>
              <w:rPr>
                <w:sz w:val="19"/>
                <w:szCs w:val="19"/>
                <w:color w:val="auto"/>
              </w:rPr>
            </w:pP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103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232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265</w:t>
            </w:r>
          </w:p>
        </w:tc>
        <w:tc>
          <w:tcPr>
            <w:tcW w:w="120" w:type="dxa"/>
            <w:vAlign w:val="bottom"/>
          </w:tcPr>
          <w:p>
            <w:pPr>
              <w:spacing w:after="0"/>
              <w:rPr>
                <w:sz w:val="19"/>
                <w:szCs w:val="19"/>
                <w:color w:val="auto"/>
              </w:rPr>
            </w:pPr>
          </w:p>
        </w:tc>
      </w:tr>
      <w:tr>
        <w:trPr>
          <w:trHeight w:val="223"/>
        </w:trPr>
        <w:tc>
          <w:tcPr>
            <w:tcW w:w="580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Other comprehensive income</w:t>
            </w: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2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26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20" w:type="dxa"/>
            <w:vAlign w:val="bottom"/>
            <w:tcBorders>
              <w:bottom w:val="single" w:sz="8" w:color="EFEFEF"/>
            </w:tcBorders>
            <w:shd w:val="clear" w:color="auto" w:fill="EFEFEF"/>
          </w:tcPr>
          <w:p>
            <w:pPr>
              <w:spacing w:after="0"/>
              <w:rPr>
                <w:sz w:val="19"/>
                <w:szCs w:val="19"/>
                <w:color w:val="auto"/>
              </w:rPr>
            </w:pP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b w:val="1"/>
                <w:bCs w:val="1"/>
                <w:color w:val="auto"/>
              </w:rPr>
              <w:t>Comprehensive income</w:t>
            </w:r>
          </w:p>
        </w:tc>
        <w:tc>
          <w:tcPr>
            <w:tcW w:w="2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120</w:t>
            </w:r>
          </w:p>
        </w:tc>
        <w:tc>
          <w:tcPr>
            <w:tcW w:w="48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104</w:t>
            </w:r>
          </w:p>
        </w:tc>
        <w:tc>
          <w:tcPr>
            <w:tcW w:w="48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233</w:t>
            </w:r>
          </w:p>
        </w:tc>
        <w:tc>
          <w:tcPr>
            <w:tcW w:w="4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266</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Weighted-average common shares outstanding (in thousands):</w:t>
            </w: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900" w:type="dxa"/>
            <w:vAlign w:val="bottom"/>
            <w:shd w:val="clear" w:color="auto" w:fill="EFEFEF"/>
          </w:tcPr>
          <w:p>
            <w:pPr>
              <w:spacing w:after="0"/>
              <w:rPr>
                <w:sz w:val="19"/>
                <w:szCs w:val="19"/>
                <w:color w:val="auto"/>
              </w:rPr>
            </w:pPr>
          </w:p>
        </w:tc>
        <w:tc>
          <w:tcPr>
            <w:tcW w:w="26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118,199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110,170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116,534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109,708</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800" w:type="dxa"/>
            <w:vAlign w:val="bottom"/>
            <w:tcBorders>
              <w:bottom w:val="single" w:sz="8" w:color="EFEFEF"/>
            </w:tcBorders>
            <w:shd w:val="clear" w:color="auto" w:fill="EFEFEF"/>
          </w:tcPr>
          <w:p>
            <w:pPr>
              <w:ind w:left="160"/>
              <w:spacing w:after="0" w:line="210" w:lineRule="exact"/>
              <w:rPr>
                <w:sz w:val="20"/>
                <w:szCs w:val="20"/>
                <w:color w:val="auto"/>
              </w:rPr>
            </w:pPr>
            <w:r>
              <w:rPr>
                <w:rFonts w:ascii="Times New Roman" w:cs="Times New Roman" w:eastAsia="Times New Roman" w:hAnsi="Times New Roman"/>
                <w:sz w:val="20"/>
                <w:szCs w:val="20"/>
                <w:color w:val="auto"/>
              </w:rPr>
              <w:t>Diluted</w:t>
            </w:r>
          </w:p>
        </w:tc>
        <w:tc>
          <w:tcPr>
            <w:tcW w:w="220" w:type="dxa"/>
            <w:vAlign w:val="bottom"/>
            <w:tcBorders>
              <w:bottom w:val="single" w:sz="8" w:color="auto"/>
            </w:tcBorders>
            <w:shd w:val="clear" w:color="auto" w:fill="EFEFEF"/>
          </w:tcPr>
          <w:p>
            <w:pPr>
              <w:spacing w:after="0"/>
              <w:rPr>
                <w:sz w:val="21"/>
                <w:szCs w:val="21"/>
                <w:color w:val="auto"/>
              </w:rPr>
            </w:pPr>
          </w:p>
        </w:tc>
        <w:tc>
          <w:tcPr>
            <w:tcW w:w="920" w:type="dxa"/>
            <w:vAlign w:val="bottom"/>
            <w:tcBorders>
              <w:bottom w:val="single" w:sz="8" w:color="auto"/>
            </w:tcBorders>
            <w:shd w:val="clear" w:color="auto" w:fill="EFEFEF"/>
          </w:tcPr>
          <w:p>
            <w:pPr>
              <w:jc w:val="right"/>
              <w:spacing w:after="0" w:line="210" w:lineRule="exact"/>
              <w:rPr>
                <w:sz w:val="20"/>
                <w:szCs w:val="20"/>
                <w:color w:val="auto"/>
              </w:rPr>
            </w:pPr>
            <w:r>
              <w:rPr>
                <w:rFonts w:ascii="Times New Roman" w:cs="Times New Roman" w:eastAsia="Times New Roman" w:hAnsi="Times New Roman"/>
                <w:sz w:val="20"/>
                <w:szCs w:val="20"/>
                <w:color w:val="auto"/>
              </w:rPr>
              <w:t>118,671</w:t>
            </w:r>
          </w:p>
        </w:tc>
        <w:tc>
          <w:tcPr>
            <w:tcW w:w="240" w:type="dxa"/>
            <w:vAlign w:val="bottom"/>
            <w:tcBorders>
              <w:bottom w:val="single" w:sz="8" w:color="EFEFEF"/>
            </w:tcBorders>
            <w:shd w:val="clear" w:color="auto" w:fill="EFEFEF"/>
          </w:tcPr>
          <w:p>
            <w:pPr>
              <w:spacing w:after="0"/>
              <w:rPr>
                <w:sz w:val="21"/>
                <w:szCs w:val="21"/>
                <w:color w:val="auto"/>
              </w:rPr>
            </w:pPr>
          </w:p>
        </w:tc>
        <w:tc>
          <w:tcPr>
            <w:tcW w:w="240" w:type="dxa"/>
            <w:vAlign w:val="bottom"/>
            <w:tcBorders>
              <w:bottom w:val="single" w:sz="8" w:color="auto"/>
            </w:tcBorders>
            <w:shd w:val="clear" w:color="auto" w:fill="EFEFEF"/>
          </w:tcPr>
          <w:p>
            <w:pPr>
              <w:spacing w:after="0"/>
              <w:rPr>
                <w:sz w:val="21"/>
                <w:szCs w:val="21"/>
                <w:color w:val="auto"/>
              </w:rPr>
            </w:pPr>
          </w:p>
        </w:tc>
        <w:tc>
          <w:tcPr>
            <w:tcW w:w="920" w:type="dxa"/>
            <w:vAlign w:val="bottom"/>
            <w:tcBorders>
              <w:bottom w:val="single" w:sz="8" w:color="auto"/>
            </w:tcBorders>
            <w:shd w:val="clear" w:color="auto" w:fill="EFEFEF"/>
          </w:tcPr>
          <w:p>
            <w:pPr>
              <w:jc w:val="right"/>
              <w:spacing w:after="0" w:line="210" w:lineRule="exact"/>
              <w:rPr>
                <w:sz w:val="20"/>
                <w:szCs w:val="20"/>
                <w:color w:val="auto"/>
              </w:rPr>
            </w:pPr>
            <w:r>
              <w:rPr>
                <w:rFonts w:ascii="Times New Roman" w:cs="Times New Roman" w:eastAsia="Times New Roman" w:hAnsi="Times New Roman"/>
                <w:sz w:val="20"/>
                <w:szCs w:val="20"/>
                <w:color w:val="auto"/>
              </w:rPr>
              <w:t>110,416</w:t>
            </w:r>
          </w:p>
        </w:tc>
        <w:tc>
          <w:tcPr>
            <w:tcW w:w="240" w:type="dxa"/>
            <w:vAlign w:val="bottom"/>
            <w:tcBorders>
              <w:bottom w:val="single" w:sz="8" w:color="EFEFEF"/>
            </w:tcBorders>
            <w:shd w:val="clear" w:color="auto" w:fill="EFEFEF"/>
          </w:tcPr>
          <w:p>
            <w:pPr>
              <w:spacing w:after="0"/>
              <w:rPr>
                <w:sz w:val="21"/>
                <w:szCs w:val="21"/>
                <w:color w:val="auto"/>
              </w:rPr>
            </w:pPr>
          </w:p>
        </w:tc>
        <w:tc>
          <w:tcPr>
            <w:tcW w:w="240" w:type="dxa"/>
            <w:vAlign w:val="bottom"/>
            <w:tcBorders>
              <w:bottom w:val="single" w:sz="8" w:color="auto"/>
            </w:tcBorders>
            <w:shd w:val="clear" w:color="auto" w:fill="EFEFEF"/>
          </w:tcPr>
          <w:p>
            <w:pPr>
              <w:spacing w:after="0"/>
              <w:rPr>
                <w:sz w:val="21"/>
                <w:szCs w:val="21"/>
                <w:color w:val="auto"/>
              </w:rPr>
            </w:pPr>
          </w:p>
        </w:tc>
        <w:tc>
          <w:tcPr>
            <w:tcW w:w="900" w:type="dxa"/>
            <w:vAlign w:val="bottom"/>
            <w:tcBorders>
              <w:bottom w:val="single" w:sz="8" w:color="auto"/>
            </w:tcBorders>
            <w:shd w:val="clear" w:color="auto" w:fill="EFEFEF"/>
          </w:tcPr>
          <w:p>
            <w:pPr>
              <w:jc w:val="right"/>
              <w:spacing w:after="0" w:line="210" w:lineRule="exact"/>
              <w:rPr>
                <w:sz w:val="20"/>
                <w:szCs w:val="20"/>
                <w:color w:val="auto"/>
              </w:rPr>
            </w:pPr>
            <w:r>
              <w:rPr>
                <w:rFonts w:ascii="Times New Roman" w:cs="Times New Roman" w:eastAsia="Times New Roman" w:hAnsi="Times New Roman"/>
                <w:sz w:val="20"/>
                <w:szCs w:val="20"/>
                <w:color w:val="auto"/>
              </w:rPr>
              <w:t>117,085</w:t>
            </w:r>
          </w:p>
        </w:tc>
        <w:tc>
          <w:tcPr>
            <w:tcW w:w="260" w:type="dxa"/>
            <w:vAlign w:val="bottom"/>
            <w:tcBorders>
              <w:bottom w:val="single" w:sz="8" w:color="EFEFEF"/>
            </w:tcBorders>
            <w:shd w:val="clear" w:color="auto" w:fill="EFEFEF"/>
          </w:tcPr>
          <w:p>
            <w:pPr>
              <w:spacing w:after="0"/>
              <w:rPr>
                <w:sz w:val="21"/>
                <w:szCs w:val="21"/>
                <w:color w:val="auto"/>
              </w:rPr>
            </w:pPr>
          </w:p>
        </w:tc>
        <w:tc>
          <w:tcPr>
            <w:tcW w:w="220" w:type="dxa"/>
            <w:vAlign w:val="bottom"/>
            <w:tcBorders>
              <w:bottom w:val="single" w:sz="8" w:color="auto"/>
            </w:tcBorders>
            <w:shd w:val="clear" w:color="auto" w:fill="EFEFEF"/>
          </w:tcPr>
          <w:p>
            <w:pPr>
              <w:spacing w:after="0"/>
              <w:rPr>
                <w:sz w:val="21"/>
                <w:szCs w:val="21"/>
                <w:color w:val="auto"/>
              </w:rPr>
            </w:pPr>
          </w:p>
        </w:tc>
        <w:tc>
          <w:tcPr>
            <w:tcW w:w="920" w:type="dxa"/>
            <w:vAlign w:val="bottom"/>
            <w:tcBorders>
              <w:bottom w:val="single" w:sz="8" w:color="auto"/>
            </w:tcBorders>
            <w:shd w:val="clear" w:color="auto" w:fill="EFEFEF"/>
          </w:tcPr>
          <w:p>
            <w:pPr>
              <w:jc w:val="right"/>
              <w:spacing w:after="0" w:line="210" w:lineRule="exact"/>
              <w:rPr>
                <w:sz w:val="20"/>
                <w:szCs w:val="20"/>
                <w:color w:val="auto"/>
              </w:rPr>
            </w:pPr>
            <w:r>
              <w:rPr>
                <w:rFonts w:ascii="Times New Roman" w:cs="Times New Roman" w:eastAsia="Times New Roman" w:hAnsi="Times New Roman"/>
                <w:sz w:val="20"/>
                <w:szCs w:val="20"/>
                <w:color w:val="auto"/>
              </w:rPr>
              <w:t>109,958</w:t>
            </w:r>
          </w:p>
        </w:tc>
        <w:tc>
          <w:tcPr>
            <w:tcW w:w="120" w:type="dxa"/>
            <w:vAlign w:val="bottom"/>
            <w:tcBorders>
              <w:bottom w:val="single" w:sz="8" w:color="EFEFEF"/>
            </w:tcBorders>
            <w:shd w:val="clear" w:color="auto" w:fill="EFEFEF"/>
          </w:tcPr>
          <w:p>
            <w:pPr>
              <w:spacing w:after="0"/>
              <w:rPr>
                <w:sz w:val="21"/>
                <w:szCs w:val="21"/>
                <w:color w:val="auto"/>
              </w:rPr>
            </w:pPr>
          </w:p>
        </w:tc>
      </w:tr>
      <w:tr>
        <w:trPr>
          <w:trHeight w:val="439"/>
        </w:trPr>
        <w:tc>
          <w:tcPr>
            <w:tcW w:w="5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40" w:type="dxa"/>
            <w:vAlign w:val="bottom"/>
            <w:shd w:val="clear" w:color="auto" w:fill="EFEFEF"/>
          </w:tcPr>
          <w:p>
            <w:pPr>
              <w:spacing w:after="0"/>
              <w:rPr>
                <w:sz w:val="21"/>
                <w:szCs w:val="21"/>
                <w:color w:val="auto"/>
              </w:rPr>
            </w:pPr>
          </w:p>
        </w:tc>
        <w:tc>
          <w:tcPr>
            <w:tcW w:w="2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240" w:type="dxa"/>
            <w:vAlign w:val="bottom"/>
            <w:shd w:val="clear" w:color="auto" w:fill="EFEFEF"/>
          </w:tcPr>
          <w:p>
            <w:pPr>
              <w:spacing w:after="0"/>
              <w:rPr>
                <w:sz w:val="21"/>
                <w:szCs w:val="21"/>
                <w:color w:val="auto"/>
              </w:rPr>
            </w:pPr>
          </w:p>
        </w:tc>
        <w:tc>
          <w:tcPr>
            <w:tcW w:w="2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48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120" w:type="dxa"/>
            <w:vAlign w:val="bottom"/>
            <w:shd w:val="clear" w:color="auto" w:fill="EFEFEF"/>
          </w:tcPr>
          <w:p>
            <w:pPr>
              <w:spacing w:after="0"/>
              <w:rPr>
                <w:sz w:val="21"/>
                <w:szCs w:val="21"/>
                <w:color w:val="auto"/>
              </w:rPr>
            </w:pPr>
          </w:p>
        </w:tc>
      </w:tr>
      <w:tr>
        <w:trPr>
          <w:trHeight w:val="20"/>
        </w:trPr>
        <w:tc>
          <w:tcPr>
            <w:tcW w:w="5800" w:type="dxa"/>
            <w:vAlign w:val="bottom"/>
            <w:tcBorders>
              <w:top w:val="single" w:sz="8" w:color="EFEFEF"/>
            </w:tcBorders>
            <w:shd w:val="clear" w:color="auto" w:fill="EFEFE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FEFEF"/>
            </w:tcBorders>
            <w:shd w:val="clear" w:color="auto" w:fill="EFEFE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r>
      <w:tr>
        <w:trPr>
          <w:trHeight w:val="210"/>
        </w:trPr>
        <w:tc>
          <w:tcPr>
            <w:tcW w:w="5800" w:type="dxa"/>
            <w:vAlign w:val="bottom"/>
          </w:tcPr>
          <w:p>
            <w:pPr>
              <w:ind w:left="160"/>
              <w:spacing w:after="0" w:line="210" w:lineRule="exact"/>
              <w:rPr>
                <w:sz w:val="20"/>
                <w:szCs w:val="20"/>
                <w:color w:val="auto"/>
              </w:rPr>
            </w:pPr>
            <w:r>
              <w:rPr>
                <w:rFonts w:ascii="Times New Roman" w:cs="Times New Roman" w:eastAsia="Times New Roman" w:hAnsi="Times New Roman"/>
                <w:sz w:val="20"/>
                <w:szCs w:val="20"/>
                <w:color w:val="auto"/>
              </w:rPr>
              <w:t>Diluted</w:t>
            </w:r>
          </w:p>
        </w:tc>
        <w:tc>
          <w:tcPr>
            <w:tcW w:w="22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1.00</w:t>
            </w:r>
          </w:p>
        </w:tc>
        <w:tc>
          <w:tcPr>
            <w:tcW w:w="240" w:type="dxa"/>
            <w:vAlign w:val="bottom"/>
          </w:tcPr>
          <w:p>
            <w:pPr>
              <w:spacing w:after="0"/>
              <w:rPr>
                <w:sz w:val="18"/>
                <w:szCs w:val="18"/>
                <w:color w:val="auto"/>
              </w:rPr>
            </w:pPr>
          </w:p>
        </w:tc>
        <w:tc>
          <w:tcPr>
            <w:tcW w:w="240" w:type="dxa"/>
            <w:vAlign w:val="bottom"/>
          </w:tcPr>
          <w:p>
            <w:pPr>
              <w:jc w:val="right"/>
              <w:ind w:right="41"/>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0.94</w:t>
            </w:r>
          </w:p>
        </w:tc>
        <w:tc>
          <w:tcPr>
            <w:tcW w:w="240" w:type="dxa"/>
            <w:vAlign w:val="bottom"/>
          </w:tcPr>
          <w:p>
            <w:pPr>
              <w:spacing w:after="0"/>
              <w:rPr>
                <w:sz w:val="18"/>
                <w:szCs w:val="18"/>
                <w:color w:val="auto"/>
              </w:rPr>
            </w:pPr>
          </w:p>
        </w:tc>
        <w:tc>
          <w:tcPr>
            <w:tcW w:w="240" w:type="dxa"/>
            <w:vAlign w:val="bottom"/>
          </w:tcPr>
          <w:p>
            <w:pPr>
              <w:jc w:val="right"/>
              <w:ind w:right="41"/>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1.98</w:t>
            </w:r>
          </w:p>
        </w:tc>
        <w:tc>
          <w:tcPr>
            <w:tcW w:w="4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2.41</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-4139565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-4139565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-4139565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-4139565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-2948305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-2948305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-2948305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-2056765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-2056765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-2056765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-1756410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-1756410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-1756410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-1756410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-1447800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-1447800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-659130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-642620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-659130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-642620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-659130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-642620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-196215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-179070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-196215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-179070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-196215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871"/>
        </w:trPr>
        <w:tc>
          <w:tcPr>
            <w:tcW w:w="152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6900" w:type="dxa"/>
            <w:vAlign w:val="bottom"/>
            <w:gridSpan w:val="5"/>
          </w:tcPr>
          <w:p>
            <w:pPr>
              <w:jc w:val="center"/>
              <w:ind w:right="541"/>
              <w:spacing w:after="0"/>
              <w:rPr>
                <w:sz w:val="20"/>
                <w:szCs w:val="20"/>
                <w:color w:val="auto"/>
              </w:rPr>
            </w:pPr>
            <w:r>
              <w:rPr>
                <w:rFonts w:ascii="Times New Roman" w:cs="Times New Roman" w:eastAsia="Times New Roman" w:hAnsi="Times New Roman"/>
                <w:sz w:val="20"/>
                <w:szCs w:val="20"/>
                <w:b w:val="1"/>
                <w:bCs w:val="1"/>
                <w:color w:val="155CAB"/>
                <w:w w:val="98"/>
              </w:rPr>
              <w:t>PORTLAND GENERAL ELECTRIC COMPANY AND SUBSIDIARIES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900" w:type="dxa"/>
            <w:vAlign w:val="bottom"/>
            <w:gridSpan w:val="5"/>
          </w:tcPr>
          <w:p>
            <w:pPr>
              <w:jc w:val="center"/>
              <w:ind w:right="541"/>
              <w:spacing w:after="0"/>
              <w:rPr>
                <w:sz w:val="20"/>
                <w:szCs w:val="20"/>
                <w:color w:val="auto"/>
              </w:rPr>
            </w:pPr>
            <w:r>
              <w:rPr>
                <w:rFonts w:ascii="Times New Roman" w:cs="Times New Roman" w:eastAsia="Times New Roman" w:hAnsi="Times New Roman"/>
                <w:sz w:val="20"/>
                <w:szCs w:val="20"/>
                <w:b w:val="1"/>
                <w:bCs w:val="1"/>
                <w:color w:val="155CAB"/>
                <w:w w:val="99"/>
              </w:rPr>
              <w:t>CONDENSED CONSOLIDATED BALANCE SHEETS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9"/>
        </w:trPr>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gridSpan w:val="2"/>
          </w:tcPr>
          <w:p>
            <w:pPr>
              <w:jc w:val="center"/>
              <w:ind w:right="720"/>
              <w:spacing w:after="0"/>
              <w:rPr>
                <w:sz w:val="20"/>
                <w:szCs w:val="20"/>
                <w:color w:val="auto"/>
              </w:rPr>
            </w:pPr>
            <w:r>
              <w:rPr>
                <w:rFonts w:ascii="Times New Roman" w:cs="Times New Roman" w:eastAsia="Times New Roman" w:hAnsi="Times New Roman"/>
                <w:sz w:val="20"/>
                <w:szCs w:val="20"/>
                <w:color w:val="auto"/>
                <w:w w:val="99"/>
              </w:rPr>
              <w:t>(Dollars in millions)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58"/>
        </w:trPr>
        <w:tc>
          <w:tcPr>
            <w:tcW w:w="1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700" w:type="dxa"/>
            <w:vAlign w:val="bottom"/>
            <w:gridSpan w:val="2"/>
          </w:tcPr>
          <w:p>
            <w:pPr>
              <w:jc w:val="center"/>
              <w:ind w:right="740"/>
              <w:spacing w:after="0"/>
              <w:rPr>
                <w:sz w:val="20"/>
                <w:szCs w:val="20"/>
                <w:color w:val="auto"/>
              </w:rPr>
            </w:pPr>
            <w:r>
              <w:rPr>
                <w:rFonts w:ascii="Times New Roman" w:cs="Times New Roman" w:eastAsia="Times New Roman" w:hAnsi="Times New Roman"/>
                <w:sz w:val="20"/>
                <w:szCs w:val="20"/>
                <w:color w:val="auto"/>
                <w:w w:val="99"/>
              </w:rPr>
              <w:t>(Unaudited)</w:t>
            </w: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413"/>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w w:val="99"/>
              </w:rPr>
              <w:t>September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December 31,</w:t>
            </w:r>
          </w:p>
        </w:tc>
      </w:tr>
      <w:tr>
        <w:trPr>
          <w:trHeight w:val="256"/>
        </w:trPr>
        <w:tc>
          <w:tcPr>
            <w:tcW w:w="1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1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155CAB"/>
              </w:rPr>
              <w:t>2025</w:t>
            </w:r>
          </w:p>
        </w:tc>
      </w:tr>
      <w:tr>
        <w:trPr>
          <w:trHeight w:val="203"/>
        </w:trPr>
        <w:tc>
          <w:tcPr>
            <w:tcW w:w="1520" w:type="dxa"/>
            <w:vAlign w:val="bottom"/>
            <w:shd w:val="clear" w:color="auto" w:fill="EFEFEF"/>
          </w:tcPr>
          <w:p>
            <w:pPr>
              <w:spacing w:after="0"/>
              <w:rPr>
                <w:sz w:val="17"/>
                <w:szCs w:val="17"/>
                <w:color w:val="auto"/>
              </w:rPr>
            </w:pPr>
          </w:p>
        </w:tc>
        <w:tc>
          <w:tcPr>
            <w:tcW w:w="980" w:type="dxa"/>
            <w:vAlign w:val="bottom"/>
            <w:shd w:val="clear" w:color="auto" w:fill="EFEFEF"/>
          </w:tcPr>
          <w:p>
            <w:pPr>
              <w:spacing w:after="0"/>
              <w:rPr>
                <w:sz w:val="17"/>
                <w:szCs w:val="17"/>
                <w:color w:val="auto"/>
              </w:rPr>
            </w:pPr>
          </w:p>
        </w:tc>
        <w:tc>
          <w:tcPr>
            <w:tcW w:w="5340" w:type="dxa"/>
            <w:vAlign w:val="bottom"/>
            <w:gridSpan w:val="4"/>
            <w:shd w:val="clear" w:color="auto" w:fill="EFEFEF"/>
          </w:tcPr>
          <w:p>
            <w:pPr>
              <w:jc w:val="right"/>
              <w:ind w:right="3700"/>
              <w:spacing w:after="0" w:line="183" w:lineRule="exact"/>
              <w:rPr>
                <w:sz w:val="20"/>
                <w:szCs w:val="20"/>
                <w:color w:val="auto"/>
              </w:rPr>
            </w:pPr>
            <w:r>
              <w:rPr>
                <w:rFonts w:ascii="Times New Roman" w:cs="Times New Roman" w:eastAsia="Times New Roman" w:hAnsi="Times New Roman"/>
                <w:sz w:val="20"/>
                <w:szCs w:val="20"/>
                <w:b w:val="1"/>
                <w:bCs w:val="1"/>
                <w:color w:val="auto"/>
              </w:rPr>
              <w:t>ASSETS</w:t>
            </w:r>
          </w:p>
        </w:tc>
        <w:tc>
          <w:tcPr>
            <w:tcW w:w="156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140" w:type="dxa"/>
            <w:vAlign w:val="bottom"/>
            <w:shd w:val="clear" w:color="auto" w:fill="EFEFEF"/>
          </w:tcPr>
          <w:p>
            <w:pPr>
              <w:spacing w:after="0"/>
              <w:rPr>
                <w:sz w:val="17"/>
                <w:szCs w:val="17"/>
                <w:color w:val="auto"/>
              </w:rPr>
            </w:pPr>
          </w:p>
        </w:tc>
        <w:tc>
          <w:tcPr>
            <w:tcW w:w="1540" w:type="dxa"/>
            <w:vAlign w:val="bottom"/>
            <w:shd w:val="clear" w:color="auto" w:fill="EFEFEF"/>
          </w:tcPr>
          <w:p>
            <w:pPr>
              <w:spacing w:after="0"/>
              <w:rPr>
                <w:sz w:val="17"/>
                <w:szCs w:val="17"/>
                <w:color w:val="auto"/>
              </w:rPr>
            </w:pPr>
          </w:p>
        </w:tc>
      </w:tr>
      <w:tr>
        <w:trPr>
          <w:trHeight w:val="230"/>
        </w:trPr>
        <w:tc>
          <w:tcPr>
            <w:tcW w:w="2500" w:type="dxa"/>
            <w:vAlign w:val="bottom"/>
            <w:tcBorders>
              <w:top w:val="single" w:sz="8" w:color="EFEFEF"/>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900" w:type="dxa"/>
            <w:vAlign w:val="bottom"/>
            <w:tcBorders>
              <w:top w:val="single" w:sz="8" w:color="EFEFE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580" w:type="dxa"/>
            <w:vAlign w:val="bottom"/>
            <w:tcBorders>
              <w:top w:val="single" w:sz="8" w:color="EFEFEF"/>
            </w:tcBorders>
          </w:tcPr>
          <w:p>
            <w:pPr>
              <w:spacing w:after="0"/>
              <w:rPr>
                <w:sz w:val="19"/>
                <w:szCs w:val="19"/>
                <w:color w:val="auto"/>
              </w:rPr>
            </w:pPr>
          </w:p>
        </w:tc>
        <w:tc>
          <w:tcPr>
            <w:tcW w:w="120" w:type="dxa"/>
            <w:vAlign w:val="bottom"/>
            <w:tcBorders>
              <w:top w:val="single" w:sz="8" w:color="EFEFEF"/>
            </w:tcBorders>
          </w:tcPr>
          <w:p>
            <w:pPr>
              <w:spacing w:after="0"/>
              <w:rPr>
                <w:sz w:val="19"/>
                <w:szCs w:val="19"/>
                <w:color w:val="auto"/>
              </w:rPr>
            </w:pPr>
          </w:p>
        </w:tc>
        <w:tc>
          <w:tcPr>
            <w:tcW w:w="1560" w:type="dxa"/>
            <w:vAlign w:val="bottom"/>
            <w:tcBorders>
              <w:top w:val="single" w:sz="8" w:color="EFEFEF"/>
            </w:tcBorders>
          </w:tcPr>
          <w:p>
            <w:pPr>
              <w:spacing w:after="0"/>
              <w:rPr>
                <w:sz w:val="19"/>
                <w:szCs w:val="19"/>
                <w:color w:val="auto"/>
              </w:rPr>
            </w:pPr>
          </w:p>
        </w:tc>
        <w:tc>
          <w:tcPr>
            <w:tcW w:w="160" w:type="dxa"/>
            <w:vAlign w:val="bottom"/>
            <w:tcBorders>
              <w:top w:val="single" w:sz="8" w:color="EFEFEF"/>
            </w:tcBorders>
          </w:tcPr>
          <w:p>
            <w:pPr>
              <w:spacing w:after="0"/>
              <w:rPr>
                <w:sz w:val="19"/>
                <w:szCs w:val="19"/>
                <w:color w:val="auto"/>
              </w:rPr>
            </w:pPr>
          </w:p>
        </w:tc>
        <w:tc>
          <w:tcPr>
            <w:tcW w:w="140" w:type="dxa"/>
            <w:vAlign w:val="bottom"/>
            <w:tcBorders>
              <w:top w:val="single" w:sz="8" w:color="EFEFEF"/>
            </w:tcBorders>
          </w:tcPr>
          <w:p>
            <w:pPr>
              <w:spacing w:after="0"/>
              <w:rPr>
                <w:sz w:val="19"/>
                <w:szCs w:val="19"/>
                <w:color w:val="auto"/>
              </w:rPr>
            </w:pPr>
          </w:p>
        </w:tc>
        <w:tc>
          <w:tcPr>
            <w:tcW w:w="1540" w:type="dxa"/>
            <w:vAlign w:val="bottom"/>
            <w:tcBorders>
              <w:top w:val="single" w:sz="8" w:color="EFEFEF"/>
            </w:tcBorders>
          </w:tcPr>
          <w:p>
            <w:pPr>
              <w:spacing w:after="0"/>
              <w:rPr>
                <w:sz w:val="19"/>
                <w:szCs w:val="19"/>
                <w:color w:val="auto"/>
              </w:rPr>
            </w:pPr>
          </w:p>
        </w:tc>
      </w:tr>
      <w:tr>
        <w:trPr>
          <w:trHeight w:val="229"/>
        </w:trPr>
        <w:tc>
          <w:tcPr>
            <w:tcW w:w="250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340" w:type="dxa"/>
            <w:vAlign w:val="bottom"/>
            <w:gridSpan w:val="4"/>
            <w:shd w:val="clear" w:color="auto" w:fill="EFEFE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69</w:t>
            </w:r>
          </w:p>
        </w:tc>
        <w:tc>
          <w:tcPr>
            <w:tcW w:w="30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Accounts receivable, net</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460</w:t>
            </w:r>
          </w:p>
        </w:tc>
      </w:tr>
      <w:tr>
        <w:trPr>
          <w:trHeight w:val="229"/>
        </w:trPr>
        <w:tc>
          <w:tcPr>
            <w:tcW w:w="250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900" w:type="dxa"/>
            <w:vAlign w:val="bottom"/>
            <w:shd w:val="clear" w:color="auto" w:fill="EFEFEF"/>
          </w:tcPr>
          <w:p>
            <w:pPr>
              <w:spacing w:after="0"/>
              <w:rPr>
                <w:sz w:val="19"/>
                <w:szCs w:val="19"/>
                <w:color w:val="auto"/>
              </w:rPr>
            </w:pPr>
          </w:p>
        </w:tc>
        <w:tc>
          <w:tcPr>
            <w:tcW w:w="740" w:type="dxa"/>
            <w:vAlign w:val="bottom"/>
            <w:shd w:val="clear" w:color="auto" w:fill="EFEFEF"/>
          </w:tcPr>
          <w:p>
            <w:pPr>
              <w:spacing w:after="0"/>
              <w:rPr>
                <w:sz w:val="19"/>
                <w:szCs w:val="19"/>
                <w:color w:val="auto"/>
              </w:rPr>
            </w:pPr>
          </w:p>
        </w:tc>
        <w:tc>
          <w:tcPr>
            <w:tcW w:w="35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127</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Regulatory assets—current</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168</w:t>
            </w:r>
          </w:p>
        </w:tc>
      </w:tr>
      <w:tr>
        <w:trPr>
          <w:trHeight w:val="230"/>
        </w:trPr>
        <w:tc>
          <w:tcPr>
            <w:tcW w:w="2500" w:type="dxa"/>
            <w:vAlign w:val="bottom"/>
            <w:tcBorders>
              <w:bottom w:val="single" w:sz="8" w:color="EFEFEF"/>
            </w:tcBorders>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Other current assets</w:t>
            </w:r>
          </w:p>
        </w:tc>
        <w:tc>
          <w:tcPr>
            <w:tcW w:w="900" w:type="dxa"/>
            <w:vAlign w:val="bottom"/>
            <w:tcBorders>
              <w:bottom w:val="single" w:sz="8" w:color="EFEFEF"/>
            </w:tcBorders>
            <w:shd w:val="clear" w:color="auto" w:fill="EFEFEF"/>
          </w:tcPr>
          <w:p>
            <w:pPr>
              <w:spacing w:after="0"/>
              <w:rPr>
                <w:sz w:val="19"/>
                <w:szCs w:val="19"/>
                <w:color w:val="auto"/>
              </w:rPr>
            </w:pPr>
          </w:p>
        </w:tc>
        <w:tc>
          <w:tcPr>
            <w:tcW w:w="740" w:type="dxa"/>
            <w:vAlign w:val="bottom"/>
            <w:tcBorders>
              <w:bottom w:val="single" w:sz="8" w:color="EFEFEF"/>
            </w:tcBorders>
            <w:shd w:val="clear" w:color="auto" w:fill="EFEFEF"/>
          </w:tcPr>
          <w:p>
            <w:pPr>
              <w:spacing w:after="0"/>
              <w:rPr>
                <w:sz w:val="19"/>
                <w:szCs w:val="19"/>
                <w:color w:val="auto"/>
              </w:rPr>
            </w:pPr>
          </w:p>
        </w:tc>
        <w:tc>
          <w:tcPr>
            <w:tcW w:w="358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150</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244</w:t>
            </w:r>
          </w:p>
        </w:tc>
      </w:tr>
      <w:tr>
        <w:trPr>
          <w:trHeight w:val="223"/>
        </w:trPr>
        <w:tc>
          <w:tcPr>
            <w:tcW w:w="250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b w:val="1"/>
                <w:bCs w:val="1"/>
                <w:color w:val="auto"/>
              </w:rPr>
              <w:t>Total current assets</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1,045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1,072</w:t>
            </w:r>
          </w:p>
        </w:tc>
      </w:tr>
      <w:tr>
        <w:trPr>
          <w:trHeight w:val="223"/>
        </w:trPr>
        <w:tc>
          <w:tcPr>
            <w:tcW w:w="250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Electric utility plant, net</w:t>
            </w:r>
          </w:p>
        </w:tc>
        <w:tc>
          <w:tcPr>
            <w:tcW w:w="900" w:type="dxa"/>
            <w:vAlign w:val="bottom"/>
            <w:shd w:val="clear" w:color="auto" w:fill="EFEFEF"/>
          </w:tcPr>
          <w:p>
            <w:pPr>
              <w:spacing w:after="0"/>
              <w:rPr>
                <w:sz w:val="19"/>
                <w:szCs w:val="19"/>
                <w:color w:val="auto"/>
              </w:rPr>
            </w:pPr>
          </w:p>
        </w:tc>
        <w:tc>
          <w:tcPr>
            <w:tcW w:w="740" w:type="dxa"/>
            <w:vAlign w:val="bottom"/>
            <w:shd w:val="clear" w:color="auto" w:fill="EFEFEF"/>
          </w:tcPr>
          <w:p>
            <w:pPr>
              <w:spacing w:after="0"/>
              <w:rPr>
                <w:sz w:val="19"/>
                <w:szCs w:val="19"/>
                <w:color w:val="auto"/>
              </w:rPr>
            </w:pPr>
          </w:p>
        </w:tc>
        <w:tc>
          <w:tcPr>
            <w:tcW w:w="35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11,712</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10,993</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Regulatory assets—noncurrent</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619</w:t>
            </w:r>
          </w:p>
        </w:tc>
      </w:tr>
      <w:tr>
        <w:trPr>
          <w:trHeight w:val="230"/>
        </w:trPr>
        <w:tc>
          <w:tcPr>
            <w:tcW w:w="2500" w:type="dxa"/>
            <w:vAlign w:val="bottom"/>
            <w:gridSpan w:val="2"/>
            <w:shd w:val="clear" w:color="auto" w:fill="EFEFEF"/>
          </w:tcPr>
          <w:p>
            <w:pPr>
              <w:spacing w:after="0"/>
              <w:rPr>
                <w:sz w:val="20"/>
                <w:szCs w:val="20"/>
                <w:color w:val="auto"/>
              </w:rPr>
            </w:pPr>
            <w:r>
              <w:rPr>
                <w:rFonts w:ascii="Times New Roman" w:cs="Times New Roman" w:eastAsia="Times New Roman" w:hAnsi="Times New Roman"/>
                <w:sz w:val="20"/>
                <w:szCs w:val="20"/>
                <w:color w:val="auto"/>
                <w:w w:val="99"/>
              </w:rPr>
              <w:t>Nuclear decommissioning trust</w:t>
            </w:r>
          </w:p>
        </w:tc>
        <w:tc>
          <w:tcPr>
            <w:tcW w:w="900" w:type="dxa"/>
            <w:vAlign w:val="bottom"/>
            <w:shd w:val="clear" w:color="auto" w:fill="EFEFEF"/>
          </w:tcPr>
          <w:p>
            <w:pPr>
              <w:spacing w:after="0"/>
              <w:rPr>
                <w:sz w:val="19"/>
                <w:szCs w:val="19"/>
                <w:color w:val="auto"/>
              </w:rPr>
            </w:pPr>
          </w:p>
        </w:tc>
        <w:tc>
          <w:tcPr>
            <w:tcW w:w="740" w:type="dxa"/>
            <w:vAlign w:val="bottom"/>
            <w:shd w:val="clear" w:color="auto" w:fill="EFEFEF"/>
          </w:tcPr>
          <w:p>
            <w:pPr>
              <w:spacing w:after="0"/>
              <w:rPr>
                <w:sz w:val="19"/>
                <w:szCs w:val="19"/>
                <w:color w:val="auto"/>
              </w:rPr>
            </w:pPr>
          </w:p>
        </w:tc>
        <w:tc>
          <w:tcPr>
            <w:tcW w:w="35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44</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Non-qualified benefit plan trust</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36</w:t>
            </w:r>
          </w:p>
        </w:tc>
      </w:tr>
      <w:tr>
        <w:trPr>
          <w:trHeight w:val="229"/>
        </w:trPr>
        <w:tc>
          <w:tcPr>
            <w:tcW w:w="2500" w:type="dxa"/>
            <w:vAlign w:val="bottom"/>
            <w:tcBorders>
              <w:bottom w:val="single" w:sz="8" w:color="EFEFEF"/>
            </w:tcBorders>
            <w:gridSpan w:val="2"/>
            <w:shd w:val="clear" w:color="auto" w:fill="EFEFEF"/>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900" w:type="dxa"/>
            <w:vAlign w:val="bottom"/>
            <w:tcBorders>
              <w:bottom w:val="single" w:sz="8" w:color="EFEFEF"/>
            </w:tcBorders>
            <w:shd w:val="clear" w:color="auto" w:fill="EFEFEF"/>
          </w:tcPr>
          <w:p>
            <w:pPr>
              <w:spacing w:after="0"/>
              <w:rPr>
                <w:sz w:val="19"/>
                <w:szCs w:val="19"/>
                <w:color w:val="auto"/>
              </w:rPr>
            </w:pPr>
          </w:p>
        </w:tc>
        <w:tc>
          <w:tcPr>
            <w:tcW w:w="740" w:type="dxa"/>
            <w:vAlign w:val="bottom"/>
            <w:tcBorders>
              <w:bottom w:val="single" w:sz="8" w:color="EFEFEF"/>
            </w:tcBorders>
            <w:shd w:val="clear" w:color="auto" w:fill="EFEFEF"/>
          </w:tcPr>
          <w:p>
            <w:pPr>
              <w:spacing w:after="0"/>
              <w:rPr>
                <w:sz w:val="19"/>
                <w:szCs w:val="19"/>
                <w:color w:val="auto"/>
              </w:rPr>
            </w:pPr>
          </w:p>
        </w:tc>
        <w:tc>
          <w:tcPr>
            <w:tcW w:w="358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463</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468</w:t>
            </w:r>
          </w:p>
        </w:tc>
      </w:tr>
      <w:tr>
        <w:trPr>
          <w:trHeight w:val="223"/>
        </w:trPr>
        <w:tc>
          <w:tcPr>
            <w:tcW w:w="250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534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13,815</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13,230</w:t>
            </w:r>
          </w:p>
        </w:tc>
      </w:tr>
      <w:tr>
        <w:trPr>
          <w:trHeight w:val="20"/>
        </w:trPr>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-1070610</wp:posOffset>
            </wp:positionV>
            <wp:extent cx="1117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CONDENSED CONSOLIDATED BALANCE SHEETS, continued</w:t>
      </w:r>
    </w:p>
    <w:p>
      <w:pPr>
        <w:jc w:val="center"/>
        <w:spacing w:after="0"/>
        <w:rPr>
          <w:sz w:val="20"/>
          <w:szCs w:val="20"/>
          <w:color w:val="auto"/>
        </w:rPr>
      </w:pPr>
      <w:r>
        <w:rPr>
          <w:rFonts w:ascii="Times New Roman" w:cs="Times New Roman" w:eastAsia="Times New Roman" w:hAnsi="Times New Roman"/>
          <w:sz w:val="20"/>
          <w:szCs w:val="20"/>
          <w:color w:val="auto"/>
        </w:rPr>
        <w:t>(Dollars in millions)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w w:val="99"/>
              </w:rPr>
              <w:t>September 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December 31,</w:t>
            </w:r>
          </w:p>
        </w:tc>
      </w:tr>
      <w:tr>
        <w:trPr>
          <w:trHeight w:val="256"/>
        </w:trPr>
        <w:tc>
          <w:tcPr>
            <w:tcW w:w="16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1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155CAB"/>
              </w:rPr>
              <w:t>2025</w:t>
            </w:r>
          </w:p>
        </w:tc>
      </w:tr>
      <w:tr>
        <w:trPr>
          <w:trHeight w:val="203"/>
        </w:trPr>
        <w:tc>
          <w:tcPr>
            <w:tcW w:w="1620" w:type="dxa"/>
            <w:vAlign w:val="bottom"/>
            <w:tcBorders>
              <w:bottom w:val="single" w:sz="8" w:color="EFEFEF"/>
            </w:tcBorders>
            <w:shd w:val="clear" w:color="auto" w:fill="EFEFEF"/>
          </w:tcPr>
          <w:p>
            <w:pPr>
              <w:spacing w:after="0"/>
              <w:rPr>
                <w:sz w:val="17"/>
                <w:szCs w:val="17"/>
                <w:color w:val="auto"/>
              </w:rPr>
            </w:pPr>
          </w:p>
        </w:tc>
        <w:tc>
          <w:tcPr>
            <w:tcW w:w="4300" w:type="dxa"/>
            <w:vAlign w:val="bottom"/>
            <w:tcBorders>
              <w:bottom w:val="single" w:sz="8" w:color="auto"/>
            </w:tcBorders>
            <w:shd w:val="clear" w:color="auto" w:fill="EFEFEF"/>
          </w:tcPr>
          <w:p>
            <w:pPr>
              <w:spacing w:after="0" w:line="183" w:lineRule="exact"/>
              <w:rPr>
                <w:sz w:val="20"/>
                <w:szCs w:val="20"/>
                <w:color w:val="auto"/>
              </w:rPr>
            </w:pPr>
            <w:r>
              <w:rPr>
                <w:rFonts w:ascii="Times New Roman" w:cs="Times New Roman" w:eastAsia="Times New Roman" w:hAnsi="Times New Roman"/>
                <w:sz w:val="20"/>
                <w:szCs w:val="20"/>
                <w:b w:val="1"/>
                <w:bCs w:val="1"/>
                <w:color w:val="auto"/>
                <w:w w:val="98"/>
              </w:rPr>
              <w:t>LIABILITIES AND SHAREHOLDERS’ EQUITY</w:t>
            </w:r>
          </w:p>
        </w:tc>
        <w:tc>
          <w:tcPr>
            <w:tcW w:w="1800" w:type="dxa"/>
            <w:vAlign w:val="bottom"/>
            <w:tcBorders>
              <w:bottom w:val="single" w:sz="8" w:color="EFEFEF"/>
            </w:tcBorders>
            <w:shd w:val="clear" w:color="auto" w:fill="EFEFEF"/>
          </w:tcPr>
          <w:p>
            <w:pPr>
              <w:spacing w:after="0"/>
              <w:rPr>
                <w:sz w:val="17"/>
                <w:szCs w:val="17"/>
                <w:color w:val="auto"/>
              </w:rPr>
            </w:pPr>
          </w:p>
        </w:tc>
        <w:tc>
          <w:tcPr>
            <w:tcW w:w="120" w:type="dxa"/>
            <w:vAlign w:val="bottom"/>
            <w:tcBorders>
              <w:bottom w:val="single" w:sz="8" w:color="EFEFEF"/>
            </w:tcBorders>
            <w:shd w:val="clear" w:color="auto" w:fill="EFEFEF"/>
          </w:tcPr>
          <w:p>
            <w:pPr>
              <w:spacing w:after="0"/>
              <w:rPr>
                <w:sz w:val="17"/>
                <w:szCs w:val="17"/>
                <w:color w:val="auto"/>
              </w:rPr>
            </w:pPr>
          </w:p>
        </w:tc>
        <w:tc>
          <w:tcPr>
            <w:tcW w:w="1560" w:type="dxa"/>
            <w:vAlign w:val="bottom"/>
            <w:tcBorders>
              <w:bottom w:val="single" w:sz="8" w:color="EFEFEF"/>
            </w:tcBorders>
            <w:shd w:val="clear" w:color="auto" w:fill="EFEFEF"/>
          </w:tcPr>
          <w:p>
            <w:pPr>
              <w:spacing w:after="0"/>
              <w:rPr>
                <w:sz w:val="17"/>
                <w:szCs w:val="17"/>
                <w:color w:val="auto"/>
              </w:rPr>
            </w:pPr>
          </w:p>
        </w:tc>
        <w:tc>
          <w:tcPr>
            <w:tcW w:w="160" w:type="dxa"/>
            <w:vAlign w:val="bottom"/>
            <w:tcBorders>
              <w:bottom w:val="single" w:sz="8" w:color="EFEFEF"/>
            </w:tcBorders>
            <w:shd w:val="clear" w:color="auto" w:fill="EFEFEF"/>
          </w:tcPr>
          <w:p>
            <w:pPr>
              <w:spacing w:after="0"/>
              <w:rPr>
                <w:sz w:val="17"/>
                <w:szCs w:val="17"/>
                <w:color w:val="auto"/>
              </w:rPr>
            </w:pPr>
          </w:p>
        </w:tc>
        <w:tc>
          <w:tcPr>
            <w:tcW w:w="140" w:type="dxa"/>
            <w:vAlign w:val="bottom"/>
            <w:tcBorders>
              <w:bottom w:val="single" w:sz="8" w:color="EFEFEF"/>
            </w:tcBorders>
            <w:shd w:val="clear" w:color="auto" w:fill="EFEFEF"/>
          </w:tcPr>
          <w:p>
            <w:pPr>
              <w:spacing w:after="0"/>
              <w:rPr>
                <w:sz w:val="17"/>
                <w:szCs w:val="17"/>
                <w:color w:val="auto"/>
              </w:rPr>
            </w:pPr>
          </w:p>
        </w:tc>
        <w:tc>
          <w:tcPr>
            <w:tcW w:w="1540" w:type="dxa"/>
            <w:vAlign w:val="bottom"/>
            <w:tcBorders>
              <w:bottom w:val="single" w:sz="8" w:color="EFEFEF"/>
            </w:tcBorders>
            <w:shd w:val="clear" w:color="auto" w:fill="EFEFEF"/>
          </w:tcPr>
          <w:p>
            <w:pPr>
              <w:spacing w:after="0"/>
              <w:rPr>
                <w:sz w:val="17"/>
                <w:szCs w:val="17"/>
                <w:color w:val="auto"/>
              </w:rPr>
            </w:pPr>
          </w:p>
        </w:tc>
      </w:tr>
      <w:tr>
        <w:trPr>
          <w:trHeight w:val="230"/>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720" w:type="dxa"/>
            <w:vAlign w:val="bottom"/>
            <w:gridSpan w:val="3"/>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310</w:t>
            </w:r>
          </w:p>
        </w:tc>
        <w:tc>
          <w:tcPr>
            <w:tcW w:w="30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330</w:t>
            </w:r>
          </w:p>
        </w:tc>
      </w:tr>
      <w:tr>
        <w:trPr>
          <w:trHeight w:val="229"/>
        </w:trPr>
        <w:tc>
          <w:tcPr>
            <w:tcW w:w="77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Liabilities from price risk management activities—current</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158</w:t>
            </w:r>
          </w:p>
        </w:tc>
      </w:tr>
      <w:tr>
        <w:trPr>
          <w:trHeight w:val="230"/>
        </w:trPr>
        <w:tc>
          <w:tcPr>
            <w:tcW w:w="7720" w:type="dxa"/>
            <w:vAlign w:val="bottom"/>
            <w:gridSpan w:val="3"/>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Current portion of finance lease obligation</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27</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77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462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478</w:t>
            </w:r>
          </w:p>
        </w:tc>
      </w:tr>
      <w:tr>
        <w:trPr>
          <w:trHeight w:val="223"/>
        </w:trPr>
        <w:tc>
          <w:tcPr>
            <w:tcW w:w="7720" w:type="dxa"/>
            <w:vAlign w:val="bottom"/>
            <w:tcBorders>
              <w:bottom w:val="single" w:sz="8" w:color="EFEFEF"/>
            </w:tcBorders>
            <w:gridSpan w:val="3"/>
            <w:shd w:val="clear" w:color="auto" w:fill="EFEFEF"/>
          </w:tcPr>
          <w:p>
            <w:pPr>
              <w:ind w:left="400"/>
              <w:spacing w:after="0" w:line="223" w:lineRule="exact"/>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912</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993</w:t>
            </w:r>
          </w:p>
        </w:tc>
      </w:tr>
      <w:tr>
        <w:trPr>
          <w:trHeight w:val="223"/>
        </w:trPr>
        <w:tc>
          <w:tcPr>
            <w:tcW w:w="772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Long-term debt, net of current portion</w:t>
            </w:r>
          </w:p>
        </w:tc>
        <w:tc>
          <w:tcPr>
            <w:tcW w:w="120" w:type="dxa"/>
            <w:vAlign w:val="bottom"/>
          </w:tcPr>
          <w:p>
            <w:pPr>
              <w:spacing w:after="0"/>
              <w:rPr>
                <w:sz w:val="19"/>
                <w:szCs w:val="19"/>
                <w:color w:val="auto"/>
              </w:rPr>
            </w:pP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5,010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4,662</w:t>
            </w:r>
          </w:p>
        </w:tc>
      </w:tr>
      <w:tr>
        <w:trPr>
          <w:trHeight w:val="230"/>
        </w:trPr>
        <w:tc>
          <w:tcPr>
            <w:tcW w:w="772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Regulatory liabilities—noncurrent</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1,524</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1,490</w:t>
            </w:r>
          </w:p>
        </w:tc>
      </w:tr>
      <w:tr>
        <w:trPr>
          <w:trHeight w:val="229"/>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601</w:t>
            </w:r>
          </w:p>
        </w:tc>
      </w:tr>
      <w:tr>
        <w:trPr>
          <w:trHeight w:val="229"/>
        </w:trPr>
        <w:tc>
          <w:tcPr>
            <w:tcW w:w="772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Deferred investment tax credits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187</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194</w:t>
            </w:r>
          </w:p>
        </w:tc>
      </w:tr>
      <w:tr>
        <w:trPr>
          <w:trHeight w:val="230"/>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Unfunded status of pension and postretirement plans</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107</w:t>
            </w:r>
          </w:p>
        </w:tc>
      </w:tr>
      <w:tr>
        <w:trPr>
          <w:trHeight w:val="229"/>
        </w:trPr>
        <w:tc>
          <w:tcPr>
            <w:tcW w:w="772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Liabilities from price risk management activities—noncurrent</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49</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299</w:t>
            </w:r>
          </w:p>
        </w:tc>
      </w:tr>
      <w:tr>
        <w:trPr>
          <w:trHeight w:val="230"/>
        </w:trPr>
        <w:tc>
          <w:tcPr>
            <w:tcW w:w="772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Non-qualified benefit plan liabilities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Finance lease obligations, net of current portion</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263</w:t>
            </w:r>
          </w:p>
        </w:tc>
      </w:tr>
      <w:tr>
        <w:trPr>
          <w:trHeight w:val="230"/>
        </w:trPr>
        <w:tc>
          <w:tcPr>
            <w:tcW w:w="7720" w:type="dxa"/>
            <w:vAlign w:val="bottom"/>
            <w:tcBorders>
              <w:bottom w:val="single" w:sz="8" w:color="EFEFEF"/>
            </w:tcBorders>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423</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362</w:t>
            </w:r>
          </w:p>
        </w:tc>
      </w:tr>
      <w:tr>
        <w:trPr>
          <w:trHeight w:val="223"/>
        </w:trPr>
        <w:tc>
          <w:tcPr>
            <w:tcW w:w="7720" w:type="dxa"/>
            <w:vAlign w:val="bottom"/>
            <w:gridSpan w:val="3"/>
          </w:tcPr>
          <w:p>
            <w:pPr>
              <w:ind w:left="400"/>
              <w:spacing w:after="0" w:line="223" w:lineRule="exact"/>
              <w:rPr>
                <w:sz w:val="20"/>
                <w:szCs w:val="20"/>
                <w:color w:val="auto"/>
              </w:rPr>
            </w:pPr>
            <w:r>
              <w:rPr>
                <w:rFonts w:ascii="Times New Roman" w:cs="Times New Roman" w:eastAsia="Times New Roman" w:hAnsi="Times New Roman"/>
                <w:sz w:val="20"/>
                <w:szCs w:val="20"/>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9,483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9,097</w:t>
            </w:r>
          </w:p>
        </w:tc>
      </w:tr>
      <w:tr>
        <w:trPr>
          <w:trHeight w:val="223"/>
        </w:trPr>
        <w:tc>
          <w:tcPr>
            <w:tcW w:w="7720" w:type="dxa"/>
            <w:vAlign w:val="bottom"/>
            <w:gridSpan w:val="3"/>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Commitments and contingencies (see notes)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spacing w:after="0"/>
              <w:rPr>
                <w:sz w:val="19"/>
                <w:szCs w:val="19"/>
                <w:color w:val="auto"/>
              </w:rPr>
            </w:pPr>
          </w:p>
        </w:tc>
      </w:tr>
      <w:tr>
        <w:trPr>
          <w:trHeight w:val="229"/>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7"/>
        </w:trPr>
        <w:tc>
          <w:tcPr>
            <w:tcW w:w="7720" w:type="dxa"/>
            <w:vAlign w:val="bottom"/>
            <w:gridSpan w:val="3"/>
            <w:shd w:val="clear" w:color="auto" w:fill="EFEFEF"/>
          </w:tcPr>
          <w:p>
            <w:pPr>
              <w:spacing w:after="0" w:line="207" w:lineRule="exact"/>
              <w:rPr>
                <w:sz w:val="20"/>
                <w:szCs w:val="20"/>
                <w:color w:val="auto"/>
              </w:rPr>
            </w:pPr>
            <w:r>
              <w:rPr>
                <w:rFonts w:ascii="Times New Roman" w:cs="Times New Roman" w:eastAsia="Times New Roman" w:hAnsi="Times New Roman"/>
                <w:sz w:val="20"/>
                <w:szCs w:val="20"/>
                <w:color w:val="auto"/>
              </w:rPr>
              <w:t>Preferred stock, no par value, 30,000,000 shares authorized; none issued and outstanding as of</w:t>
            </w:r>
          </w:p>
        </w:tc>
        <w:tc>
          <w:tcPr>
            <w:tcW w:w="120" w:type="dxa"/>
            <w:vAlign w:val="bottom"/>
            <w:shd w:val="clear" w:color="auto" w:fill="EFEFEF"/>
          </w:tcPr>
          <w:p>
            <w:pPr>
              <w:spacing w:after="0"/>
              <w:rPr>
                <w:sz w:val="17"/>
                <w:szCs w:val="17"/>
                <w:color w:val="auto"/>
              </w:rPr>
            </w:pPr>
          </w:p>
        </w:tc>
        <w:tc>
          <w:tcPr>
            <w:tcW w:w="156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140" w:type="dxa"/>
            <w:vAlign w:val="bottom"/>
            <w:shd w:val="clear" w:color="auto" w:fill="EFEFEF"/>
          </w:tcPr>
          <w:p>
            <w:pPr>
              <w:spacing w:after="0"/>
              <w:rPr>
                <w:sz w:val="17"/>
                <w:szCs w:val="17"/>
                <w:color w:val="auto"/>
              </w:rPr>
            </w:pPr>
          </w:p>
        </w:tc>
        <w:tc>
          <w:tcPr>
            <w:tcW w:w="1540" w:type="dxa"/>
            <w:vAlign w:val="bottom"/>
            <w:shd w:val="clear" w:color="auto" w:fill="EFEFEF"/>
          </w:tcPr>
          <w:p>
            <w:pPr>
              <w:spacing w:after="0"/>
              <w:rPr>
                <w:sz w:val="17"/>
                <w:szCs w:val="17"/>
                <w:color w:val="auto"/>
              </w:rPr>
            </w:pPr>
          </w:p>
        </w:tc>
      </w:tr>
      <w:tr>
        <w:trPr>
          <w:trHeight w:val="252"/>
        </w:trPr>
        <w:tc>
          <w:tcPr>
            <w:tcW w:w="772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September 30, 2026 and December 31, 2025</w:t>
            </w:r>
          </w:p>
        </w:tc>
        <w:tc>
          <w:tcPr>
            <w:tcW w:w="120" w:type="dxa"/>
            <w:vAlign w:val="bottom"/>
            <w:shd w:val="clear" w:color="auto" w:fill="EFEFEF"/>
          </w:tcPr>
          <w:p>
            <w:pPr>
              <w:spacing w:after="0"/>
              <w:rPr>
                <w:sz w:val="21"/>
                <w:szCs w:val="21"/>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r>
      <w:tr>
        <w:trPr>
          <w:trHeight w:val="207"/>
        </w:trPr>
        <w:tc>
          <w:tcPr>
            <w:tcW w:w="7720" w:type="dxa"/>
            <w:vAlign w:val="bottom"/>
            <w:gridSpan w:val="3"/>
          </w:tcPr>
          <w:p>
            <w:pPr>
              <w:spacing w:after="0" w:line="207" w:lineRule="exact"/>
              <w:rPr>
                <w:sz w:val="20"/>
                <w:szCs w:val="20"/>
                <w:color w:val="auto"/>
              </w:rPr>
            </w:pPr>
            <w:r>
              <w:rPr>
                <w:rFonts w:ascii="Times New Roman" w:cs="Times New Roman" w:eastAsia="Times New Roman" w:hAnsi="Times New Roman"/>
                <w:sz w:val="20"/>
                <w:szCs w:val="20"/>
                <w:color w:val="auto"/>
              </w:rPr>
              <w:t>Common stock, no par value, 160,000,000 shares authorized; 118,907,598 and</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115,559,079 shares issued and outstanding as of September 30, 2026 and December 31, 2025,</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52"/>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120" w:type="dxa"/>
            <w:vAlign w:val="bottom"/>
          </w:tcPr>
          <w:p>
            <w:pPr>
              <w:spacing w:after="0"/>
              <w:rPr>
                <w:sz w:val="21"/>
                <w:szCs w:val="21"/>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2,540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2,382</w:t>
            </w:r>
          </w:p>
        </w:tc>
      </w:tr>
      <w:tr>
        <w:trPr>
          <w:trHeight w:val="230"/>
        </w:trPr>
        <w:tc>
          <w:tcPr>
            <w:tcW w:w="772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7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Retained earnings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1,795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1,755</w:t>
            </w:r>
          </w:p>
        </w:tc>
      </w:tr>
      <w:tr>
        <w:trPr>
          <w:trHeight w:val="223"/>
        </w:trPr>
        <w:tc>
          <w:tcPr>
            <w:tcW w:w="7720" w:type="dxa"/>
            <w:vAlign w:val="bottom"/>
            <w:tcBorders>
              <w:bottom w:val="single" w:sz="8" w:color="EFEFEF"/>
            </w:tcBorders>
            <w:gridSpan w:val="3"/>
            <w:shd w:val="clear" w:color="auto" w:fill="EFEFEF"/>
          </w:tcPr>
          <w:p>
            <w:pPr>
              <w:ind w:left="400"/>
              <w:spacing w:after="0" w:line="223" w:lineRule="exact"/>
              <w:rPr>
                <w:sz w:val="20"/>
                <w:szCs w:val="20"/>
                <w:color w:val="auto"/>
              </w:rPr>
            </w:pPr>
            <w:r>
              <w:rPr>
                <w:rFonts w:ascii="Times New Roman" w:cs="Times New Roman" w:eastAsia="Times New Roman" w:hAnsi="Times New Roman"/>
                <w:sz w:val="20"/>
                <w:szCs w:val="20"/>
                <w:b w:val="1"/>
                <w:bCs w:val="1"/>
                <w:color w:val="auto"/>
              </w:rPr>
              <w:t>Total shareholders’ equity</w:t>
            </w: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4,332</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4,133</w:t>
            </w:r>
          </w:p>
        </w:tc>
      </w:tr>
      <w:tr>
        <w:trPr>
          <w:trHeight w:val="223"/>
        </w:trPr>
        <w:tc>
          <w:tcPr>
            <w:tcW w:w="7720" w:type="dxa"/>
            <w:vAlign w:val="bottom"/>
            <w:gridSpan w:val="3"/>
          </w:tcPr>
          <w:p>
            <w:pPr>
              <w:ind w:left="400"/>
              <w:spacing w:after="0" w:line="223" w:lineRule="exact"/>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auto"/>
              </w:rPr>
              <w:t>13,815</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13,230</w:t>
            </w:r>
          </w:p>
        </w:tc>
      </w:tr>
      <w:tr>
        <w:trPr>
          <w:trHeight w:val="20"/>
        </w:trPr>
        <w:tc>
          <w:tcPr>
            <w:tcW w:w="1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-3274060</wp:posOffset>
            </wp:positionV>
            <wp:extent cx="111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-1807845</wp:posOffset>
            </wp:positionV>
            <wp:extent cx="111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1"/>
        </w:trPr>
        <w:tc>
          <w:tcPr>
            <w:tcW w:w="1520" w:type="dxa"/>
            <w:vAlign w:val="bottom"/>
            <w:tcBorders>
              <w:top w:val="single" w:sz="8" w:color="0000FF"/>
            </w:tcBorders>
          </w:tcPr>
          <w:p>
            <w:pPr>
              <w:spacing w:after="0"/>
              <w:rPr>
                <w:sz w:val="24"/>
                <w:szCs w:val="24"/>
                <w:color w:val="auto"/>
              </w:rPr>
            </w:pPr>
          </w:p>
        </w:tc>
        <w:tc>
          <w:tcPr>
            <w:tcW w:w="7220" w:type="dxa"/>
            <w:vAlign w:val="bottom"/>
            <w:gridSpan w:val="3"/>
          </w:tcPr>
          <w:p>
            <w:pPr>
              <w:jc w:val="center"/>
              <w:ind w:left="901"/>
              <w:spacing w:after="0"/>
              <w:rPr>
                <w:sz w:val="20"/>
                <w:szCs w:val="20"/>
                <w:color w:val="auto"/>
              </w:rPr>
            </w:pPr>
            <w:r>
              <w:rPr>
                <w:rFonts w:ascii="Times New Roman" w:cs="Times New Roman" w:eastAsia="Times New Roman" w:hAnsi="Times New Roman"/>
                <w:sz w:val="20"/>
                <w:szCs w:val="20"/>
                <w:b w:val="1"/>
                <w:bCs w:val="1"/>
                <w:color w:val="155CAB"/>
                <w:w w:val="98"/>
              </w:rPr>
              <w:t>PORTLAND GENERAL ELECTRIC COMPANY AND SUBSIDIARIES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7220" w:type="dxa"/>
            <w:vAlign w:val="bottom"/>
            <w:gridSpan w:val="3"/>
          </w:tcPr>
          <w:p>
            <w:pPr>
              <w:jc w:val="center"/>
              <w:ind w:left="901"/>
              <w:spacing w:after="0"/>
              <w:rPr>
                <w:sz w:val="20"/>
                <w:szCs w:val="20"/>
                <w:color w:val="auto"/>
              </w:rPr>
            </w:pPr>
            <w:r>
              <w:rPr>
                <w:rFonts w:ascii="Times New Roman" w:cs="Times New Roman" w:eastAsia="Times New Roman" w:hAnsi="Times New Roman"/>
                <w:sz w:val="20"/>
                <w:szCs w:val="20"/>
                <w:b w:val="1"/>
                <w:bCs w:val="1"/>
                <w:color w:val="155CAB"/>
                <w:w w:val="98"/>
              </w:rPr>
              <w:t>CONDENSED CONSOLIDATED STATEMENTS OF CASH FLOWS</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1520" w:type="dxa"/>
            <w:vAlign w:val="bottom"/>
          </w:tcPr>
          <w:p>
            <w:pPr>
              <w:spacing w:after="0"/>
              <w:rPr>
                <w:sz w:val="19"/>
                <w:szCs w:val="19"/>
                <w:color w:val="auto"/>
              </w:rPr>
            </w:pPr>
          </w:p>
        </w:tc>
        <w:tc>
          <w:tcPr>
            <w:tcW w:w="5640" w:type="dxa"/>
            <w:vAlign w:val="bottom"/>
          </w:tcPr>
          <w:p>
            <w:pPr>
              <w:jc w:val="center"/>
              <w:ind w:left="2461"/>
              <w:spacing w:after="0"/>
              <w:rPr>
                <w:sz w:val="20"/>
                <w:szCs w:val="20"/>
                <w:color w:val="auto"/>
              </w:rPr>
            </w:pPr>
            <w:r>
              <w:rPr>
                <w:rFonts w:ascii="Times New Roman" w:cs="Times New Roman" w:eastAsia="Times New Roman" w:hAnsi="Times New Roman"/>
                <w:sz w:val="20"/>
                <w:szCs w:val="20"/>
                <w:color w:val="auto"/>
                <w:w w:val="99"/>
              </w:rPr>
              <w:t>(In millions)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8"/>
        </w:trPr>
        <w:tc>
          <w:tcPr>
            <w:tcW w:w="1520" w:type="dxa"/>
            <w:vAlign w:val="bottom"/>
          </w:tcPr>
          <w:p>
            <w:pPr>
              <w:spacing w:after="0"/>
              <w:rPr>
                <w:sz w:val="22"/>
                <w:szCs w:val="22"/>
                <w:color w:val="auto"/>
              </w:rPr>
            </w:pPr>
          </w:p>
        </w:tc>
        <w:tc>
          <w:tcPr>
            <w:tcW w:w="5640" w:type="dxa"/>
            <w:vAlign w:val="bottom"/>
          </w:tcPr>
          <w:p>
            <w:pPr>
              <w:jc w:val="center"/>
              <w:ind w:left="2461"/>
              <w:spacing w:after="0"/>
              <w:rPr>
                <w:sz w:val="20"/>
                <w:szCs w:val="20"/>
                <w:color w:val="auto"/>
              </w:rPr>
            </w:pPr>
            <w:r>
              <w:rPr>
                <w:rFonts w:ascii="Times New Roman" w:cs="Times New Roman" w:eastAsia="Times New Roman" w:hAnsi="Times New Roman"/>
                <w:sz w:val="20"/>
                <w:szCs w:val="20"/>
                <w:color w:val="auto"/>
                <w:w w:val="99"/>
              </w:rPr>
              <w:t>(Unaudited)</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53"/>
        </w:trPr>
        <w:tc>
          <w:tcPr>
            <w:tcW w:w="15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gridSpan w:val="6"/>
          </w:tcPr>
          <w:p>
            <w:pPr>
              <w:jc w:val="right"/>
              <w:ind w:right="340"/>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223"/>
        </w:trPr>
        <w:tc>
          <w:tcPr>
            <w:tcW w:w="15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Borders>
              <w:top w:val="single" w:sz="8" w:color="155CAB"/>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540" w:type="dxa"/>
            <w:vAlign w:val="bottom"/>
            <w:tcBorders>
              <w:top w:val="single" w:sz="8" w:color="155CAB"/>
              <w:bottom w:val="single" w:sz="8" w:color="155CAB"/>
            </w:tcBorders>
          </w:tcPr>
          <w:p>
            <w:pPr>
              <w:spacing w:after="0"/>
              <w:rPr>
                <w:sz w:val="19"/>
                <w:szCs w:val="19"/>
                <w:color w:val="auto"/>
              </w:rPr>
            </w:pPr>
          </w:p>
        </w:tc>
        <w:tc>
          <w:tcPr>
            <w:tcW w:w="280" w:type="dxa"/>
            <w:vAlign w:val="bottom"/>
            <w:tcBorders>
              <w:top w:val="single" w:sz="8" w:color="155CAB"/>
            </w:tcBorders>
          </w:tcPr>
          <w:p>
            <w:pPr>
              <w:spacing w:after="0"/>
              <w:rPr>
                <w:sz w:val="19"/>
                <w:szCs w:val="19"/>
                <w:color w:val="auto"/>
              </w:rPr>
            </w:pPr>
          </w:p>
        </w:tc>
        <w:tc>
          <w:tcPr>
            <w:tcW w:w="340" w:type="dxa"/>
            <w:vAlign w:val="bottom"/>
            <w:tcBorders>
              <w:top w:val="single" w:sz="8" w:color="155CAB"/>
              <w:bottom w:val="single" w:sz="8" w:color="155CAB"/>
            </w:tcBorders>
          </w:tcPr>
          <w:p>
            <w:pPr>
              <w:spacing w:after="0"/>
              <w:rPr>
                <w:sz w:val="19"/>
                <w:szCs w:val="19"/>
                <w:color w:val="auto"/>
              </w:rPr>
            </w:pPr>
          </w:p>
        </w:tc>
        <w:tc>
          <w:tcPr>
            <w:tcW w:w="1240" w:type="dxa"/>
            <w:vAlign w:val="bottom"/>
            <w:tcBorders>
              <w:top w:val="single" w:sz="8" w:color="155CAB"/>
              <w:bottom w:val="single" w:sz="8" w:color="155CAB"/>
            </w:tcBorders>
          </w:tcPr>
          <w:p>
            <w:pPr>
              <w:jc w:val="right"/>
              <w:ind w:right="5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r>
      <w:tr>
        <w:trPr>
          <w:trHeight w:val="223"/>
        </w:trPr>
        <w:tc>
          <w:tcPr>
            <w:tcW w:w="716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r>
      <w:tr>
        <w:trPr>
          <w:trHeight w:val="229"/>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w:t>
            </w:r>
          </w:p>
        </w:tc>
        <w:tc>
          <w:tcPr>
            <w:tcW w:w="1580" w:type="dxa"/>
            <w:vAlign w:val="bottom"/>
            <w:gridSpan w:val="2"/>
          </w:tcPr>
          <w:p>
            <w:pPr>
              <w:jc w:val="right"/>
              <w:ind w:right="82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80" w:type="dxa"/>
            <w:vAlign w:val="bottom"/>
          </w:tcPr>
          <w:p>
            <w:pPr>
              <w:spacing w:after="0"/>
              <w:rPr>
                <w:sz w:val="19"/>
                <w:szCs w:val="19"/>
                <w:color w:val="auto"/>
              </w:rPr>
            </w:pP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00" w:type="dxa"/>
            <w:vAlign w:val="bottom"/>
          </w:tcPr>
          <w:p>
            <w:pPr>
              <w:spacing w:after="0"/>
              <w:rPr>
                <w:sz w:val="19"/>
                <w:szCs w:val="19"/>
                <w:color w:val="auto"/>
              </w:rPr>
            </w:pPr>
          </w:p>
        </w:tc>
      </w:tr>
      <w:tr>
        <w:trPr>
          <w:trHeight w:val="230"/>
        </w:trPr>
        <w:tc>
          <w:tcPr>
            <w:tcW w:w="71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 activities: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r>
      <w:tr>
        <w:trPr>
          <w:trHeight w:val="229"/>
        </w:trPr>
        <w:tc>
          <w:tcPr>
            <w:tcW w:w="7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100" w:type="dxa"/>
            <w:vAlign w:val="bottom"/>
          </w:tcPr>
          <w:p>
            <w:pPr>
              <w:spacing w:after="0"/>
              <w:rPr>
                <w:sz w:val="19"/>
                <w:szCs w:val="19"/>
                <w:color w:val="auto"/>
              </w:rPr>
            </w:pPr>
          </w:p>
        </w:tc>
      </w:tr>
      <w:tr>
        <w:trPr>
          <w:trHeight w:val="229"/>
        </w:trPr>
        <w:tc>
          <w:tcPr>
            <w:tcW w:w="7160" w:type="dxa"/>
            <w:vAlign w:val="bottom"/>
            <w:gridSpan w:val="2"/>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rPr>
              <w:t>Deferred income taxes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shd w:val="clear" w:color="auto" w:fill="EFEFEF"/>
          </w:tcPr>
          <w:p>
            <w:pPr>
              <w:spacing w:after="0"/>
              <w:rPr>
                <w:sz w:val="19"/>
                <w:szCs w:val="19"/>
                <w:color w:val="auto"/>
              </w:rPr>
            </w:pPr>
          </w:p>
        </w:tc>
      </w:tr>
      <w:tr>
        <w:trPr>
          <w:trHeight w:val="230"/>
        </w:trPr>
        <w:tc>
          <w:tcPr>
            <w:tcW w:w="7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Allowance for equity funds used during construction</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(17)</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7160" w:type="dxa"/>
            <w:vAlign w:val="bottom"/>
            <w:gridSpan w:val="2"/>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rPr>
              <w:t>Alternative revenue programs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820" w:type="dxa"/>
            <w:vAlign w:val="bottom"/>
            <w:gridSpan w:val="2"/>
            <w:shd w:val="clear" w:color="auto" w:fill="EFEFEF"/>
          </w:tcPr>
          <w:p>
            <w:pPr>
              <w:jc w:val="right"/>
              <w:ind w:right="220"/>
              <w:spacing w:after="0"/>
              <w:rPr>
                <w:sz w:val="20"/>
                <w:szCs w:val="20"/>
                <w:color w:val="auto"/>
              </w:rPr>
            </w:pPr>
            <w:r>
              <w:rPr>
                <w:rFonts w:ascii="Times New Roman" w:cs="Times New Roman" w:eastAsia="Times New Roman" w:hAnsi="Times New Roman"/>
                <w:sz w:val="20"/>
                <w:szCs w:val="20"/>
                <w:color w:val="auto"/>
              </w:rPr>
              <w:t>(21)</w:t>
            </w: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(11)</w:t>
            </w:r>
          </w:p>
        </w:tc>
      </w:tr>
      <w:tr>
        <w:trPr>
          <w:trHeight w:val="229"/>
        </w:trPr>
        <w:tc>
          <w:tcPr>
            <w:tcW w:w="7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Regulatory assets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7160" w:type="dxa"/>
            <w:vAlign w:val="bottom"/>
            <w:gridSpan w:val="2"/>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rPr>
              <w:t>Regulatory liabilities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7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Tax credit sales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00" w:type="dxa"/>
            <w:vAlign w:val="bottom"/>
          </w:tcPr>
          <w:p>
            <w:pPr>
              <w:spacing w:after="0"/>
              <w:rPr>
                <w:sz w:val="19"/>
                <w:szCs w:val="19"/>
                <w:color w:val="auto"/>
              </w:rPr>
            </w:pPr>
          </w:p>
        </w:tc>
      </w:tr>
      <w:tr>
        <w:trPr>
          <w:trHeight w:val="230"/>
        </w:trPr>
        <w:tc>
          <w:tcPr>
            <w:tcW w:w="7160" w:type="dxa"/>
            <w:vAlign w:val="bottom"/>
            <w:gridSpan w:val="2"/>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rPr>
              <w:t>Other non-cash income and expenses, net</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shd w:val="clear" w:color="auto" w:fill="EFEFEF"/>
          </w:tcPr>
          <w:p>
            <w:pPr>
              <w:spacing w:after="0"/>
              <w:rPr>
                <w:sz w:val="19"/>
                <w:szCs w:val="19"/>
                <w:color w:val="auto"/>
              </w:rPr>
            </w:pPr>
          </w:p>
        </w:tc>
      </w:tr>
      <w:tr>
        <w:trPr>
          <w:trHeight w:val="229"/>
        </w:trPr>
        <w:tc>
          <w:tcPr>
            <w:tcW w:w="7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Changes in working capital:</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60" w:type="dxa"/>
            <w:vAlign w:val="bottom"/>
            <w:gridSpan w:val="2"/>
            <w:shd w:val="clear" w:color="auto" w:fill="EFEFEF"/>
          </w:tcPr>
          <w:p>
            <w:pPr>
              <w:ind w:left="600"/>
              <w:spacing w:after="0"/>
              <w:rPr>
                <w:sz w:val="20"/>
                <w:szCs w:val="20"/>
                <w:color w:val="auto"/>
              </w:rPr>
            </w:pPr>
            <w:r>
              <w:rPr>
                <w:rFonts w:ascii="Times New Roman" w:cs="Times New Roman" w:eastAsia="Times New Roman" w:hAnsi="Times New Roman"/>
                <w:sz w:val="20"/>
                <w:szCs w:val="20"/>
                <w:color w:val="auto"/>
              </w:rPr>
              <w:t>Accounts receivable, net</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716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Inventories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r>
      <w:tr>
        <w:trPr>
          <w:trHeight w:val="229"/>
        </w:trPr>
        <w:tc>
          <w:tcPr>
            <w:tcW w:w="7160" w:type="dxa"/>
            <w:vAlign w:val="bottom"/>
            <w:gridSpan w:val="2"/>
            <w:shd w:val="clear" w:color="auto" w:fill="EFEFEF"/>
          </w:tcPr>
          <w:p>
            <w:pPr>
              <w:ind w:left="600"/>
              <w:spacing w:after="0"/>
              <w:rPr>
                <w:sz w:val="20"/>
                <w:szCs w:val="20"/>
                <w:color w:val="auto"/>
              </w:rPr>
            </w:pPr>
            <w:r>
              <w:rPr>
                <w:rFonts w:ascii="Times New Roman" w:cs="Times New Roman" w:eastAsia="Times New Roman" w:hAnsi="Times New Roman"/>
                <w:sz w:val="20"/>
                <w:szCs w:val="20"/>
                <w:color w:val="auto"/>
              </w:rPr>
              <w:t>Margin deposits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shd w:val="clear" w:color="auto" w:fill="EFEFEF"/>
          </w:tcPr>
          <w:p>
            <w:pPr>
              <w:spacing w:after="0"/>
              <w:rPr>
                <w:sz w:val="19"/>
                <w:szCs w:val="19"/>
                <w:color w:val="auto"/>
              </w:rPr>
            </w:pPr>
          </w:p>
        </w:tc>
      </w:tr>
      <w:tr>
        <w:trPr>
          <w:trHeight w:val="230"/>
        </w:trPr>
        <w:tc>
          <w:tcPr>
            <w:tcW w:w="716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19"/>
                <w:szCs w:val="19"/>
                <w:color w:val="auto"/>
              </w:rPr>
            </w:pPr>
          </w:p>
        </w:tc>
      </w:tr>
      <w:tr>
        <w:trPr>
          <w:trHeight w:val="229"/>
        </w:trPr>
        <w:tc>
          <w:tcPr>
            <w:tcW w:w="7160" w:type="dxa"/>
            <w:vAlign w:val="bottom"/>
            <w:gridSpan w:val="2"/>
            <w:shd w:val="clear" w:color="auto" w:fill="EFEFEF"/>
          </w:tcPr>
          <w:p>
            <w:pPr>
              <w:ind w:left="600"/>
              <w:spacing w:after="0"/>
              <w:rPr>
                <w:sz w:val="20"/>
                <w:szCs w:val="20"/>
                <w:color w:val="auto"/>
              </w:rPr>
            </w:pPr>
            <w:r>
              <w:rPr>
                <w:rFonts w:ascii="Times New Roman" w:cs="Times New Roman" w:eastAsia="Times New Roman" w:hAnsi="Times New Roman"/>
                <w:sz w:val="20"/>
                <w:szCs w:val="20"/>
                <w:color w:val="auto"/>
              </w:rPr>
              <w:t>Margin deposits from wholesale counterparties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820" w:type="dxa"/>
            <w:vAlign w:val="bottom"/>
            <w:gridSpan w:val="2"/>
            <w:shd w:val="clear" w:color="auto" w:fill="EFEFEF"/>
          </w:tcPr>
          <w:p>
            <w:pPr>
              <w:jc w:val="right"/>
              <w:ind w:right="220"/>
              <w:spacing w:after="0"/>
              <w:rPr>
                <w:sz w:val="20"/>
                <w:szCs w:val="20"/>
                <w:color w:val="auto"/>
              </w:rPr>
            </w:pPr>
            <w:r>
              <w:rPr>
                <w:rFonts w:ascii="Times New Roman" w:cs="Times New Roman" w:eastAsia="Times New Roman" w:hAnsi="Times New Roman"/>
                <w:sz w:val="20"/>
                <w:szCs w:val="20"/>
                <w:color w:val="auto"/>
              </w:rPr>
              <w:t>(19)</w:t>
            </w: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16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Other working capital items, net</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tcPr>
          <w:p>
            <w:pPr>
              <w:spacing w:after="0"/>
              <w:rPr>
                <w:sz w:val="19"/>
                <w:szCs w:val="19"/>
                <w:color w:val="auto"/>
              </w:rPr>
            </w:pPr>
          </w:p>
        </w:tc>
      </w:tr>
      <w:tr>
        <w:trPr>
          <w:trHeight w:val="229"/>
        </w:trPr>
        <w:tc>
          <w:tcPr>
            <w:tcW w:w="7160" w:type="dxa"/>
            <w:vAlign w:val="bottom"/>
            <w:gridSpan w:val="2"/>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rPr>
              <w:t>Other, net</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820" w:type="dxa"/>
            <w:vAlign w:val="bottom"/>
            <w:gridSpan w:val="2"/>
            <w:shd w:val="clear" w:color="auto" w:fill="EFEFEF"/>
          </w:tcPr>
          <w:p>
            <w:pPr>
              <w:jc w:val="right"/>
              <w:ind w:right="220"/>
              <w:spacing w:after="0"/>
              <w:rPr>
                <w:sz w:val="20"/>
                <w:szCs w:val="20"/>
                <w:color w:val="auto"/>
              </w:rPr>
            </w:pPr>
            <w:r>
              <w:rPr>
                <w:rFonts w:ascii="Times New Roman" w:cs="Times New Roman" w:eastAsia="Times New Roman" w:hAnsi="Times New Roman"/>
                <w:sz w:val="20"/>
                <w:szCs w:val="20"/>
                <w:color w:val="auto"/>
              </w:rPr>
              <w:t>(66)</w:t>
            </w: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(57)</w:t>
            </w:r>
          </w:p>
        </w:tc>
      </w:tr>
      <w:tr>
        <w:trPr>
          <w:trHeight w:val="223"/>
        </w:trPr>
        <w:tc>
          <w:tcPr>
            <w:tcW w:w="7160" w:type="dxa"/>
            <w:vAlign w:val="bottom"/>
            <w:tcBorders>
              <w:top w:val="single" w:sz="8" w:color="EFEFEF"/>
            </w:tcBorders>
            <w:gridSpan w:val="2"/>
          </w:tcPr>
          <w:p>
            <w:pPr>
              <w:ind w:left="600"/>
              <w:spacing w:after="0" w:line="223" w:lineRule="exact"/>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560" w:type="dxa"/>
            <w:vAlign w:val="bottom"/>
            <w:tcBorders>
              <w:top w:val="single" w:sz="8" w:color="EFEFE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811</w:t>
            </w:r>
          </w:p>
        </w:tc>
        <w:tc>
          <w:tcPr>
            <w:tcW w:w="280" w:type="dxa"/>
            <w:vAlign w:val="bottom"/>
            <w:tcBorders>
              <w:top w:val="single" w:sz="8" w:color="EFEFE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970</w:t>
            </w:r>
          </w:p>
        </w:tc>
        <w:tc>
          <w:tcPr>
            <w:tcW w:w="100" w:type="dxa"/>
            <w:vAlign w:val="bottom"/>
            <w:tcBorders>
              <w:top w:val="single" w:sz="8" w:color="EFEFEF"/>
            </w:tcBorders>
          </w:tcPr>
          <w:p>
            <w:pPr>
              <w:spacing w:after="0"/>
              <w:rPr>
                <w:sz w:val="19"/>
                <w:szCs w:val="19"/>
                <w:color w:val="auto"/>
              </w:rPr>
            </w:pPr>
          </w:p>
        </w:tc>
      </w:tr>
      <w:tr>
        <w:trPr>
          <w:trHeight w:val="223"/>
        </w:trPr>
        <w:tc>
          <w:tcPr>
            <w:tcW w:w="716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r>
      <w:tr>
        <w:trPr>
          <w:trHeight w:val="229"/>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Capital expenditures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(1,085)</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(899)</w:t>
            </w:r>
          </w:p>
        </w:tc>
      </w:tr>
      <w:tr>
        <w:trPr>
          <w:trHeight w:val="230"/>
        </w:trPr>
        <w:tc>
          <w:tcPr>
            <w:tcW w:w="71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Sales of Nuclear decommissioning trust securities</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EFEFEF"/>
          </w:tcPr>
          <w:p>
            <w:pPr>
              <w:spacing w:after="0"/>
              <w:rPr>
                <w:sz w:val="19"/>
                <w:szCs w:val="19"/>
                <w:color w:val="auto"/>
              </w:rPr>
            </w:pPr>
          </w:p>
        </w:tc>
      </w:tr>
      <w:tr>
        <w:trPr>
          <w:trHeight w:val="230"/>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Purchases of Nuclear decommissioning trust securities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71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Other, net</w:t>
            </w:r>
          </w:p>
        </w:tc>
        <w:tc>
          <w:tcPr>
            <w:tcW w:w="560" w:type="dxa"/>
            <w:vAlign w:val="bottom"/>
            <w:shd w:val="clear" w:color="auto" w:fill="EFEFEF"/>
          </w:tcPr>
          <w:p>
            <w:pPr>
              <w:spacing w:after="0"/>
              <w:rPr>
                <w:sz w:val="19"/>
                <w:szCs w:val="19"/>
                <w:color w:val="auto"/>
              </w:rPr>
            </w:pPr>
          </w:p>
        </w:tc>
        <w:tc>
          <w:tcPr>
            <w:tcW w:w="1020" w:type="dxa"/>
            <w:vAlign w:val="bottom"/>
            <w:shd w:val="clear" w:color="auto" w:fill="EFEFEF"/>
          </w:tcPr>
          <w:p>
            <w:pPr>
              <w:spacing w:after="0"/>
              <w:rPr>
                <w:sz w:val="19"/>
                <w:szCs w:val="19"/>
                <w:color w:val="auto"/>
              </w:rPr>
            </w:pPr>
          </w:p>
        </w:tc>
        <w:tc>
          <w:tcPr>
            <w:tcW w:w="820" w:type="dxa"/>
            <w:vAlign w:val="bottom"/>
            <w:gridSpan w:val="2"/>
            <w:shd w:val="clear" w:color="auto" w:fill="EFEFEF"/>
          </w:tcPr>
          <w:p>
            <w:pPr>
              <w:jc w:val="right"/>
              <w:ind w:right="220"/>
              <w:spacing w:after="0"/>
              <w:rPr>
                <w:sz w:val="20"/>
                <w:szCs w:val="20"/>
                <w:color w:val="auto"/>
              </w:rPr>
            </w:pPr>
            <w:r>
              <w:rPr>
                <w:rFonts w:ascii="Times New Roman" w:cs="Times New Roman" w:eastAsia="Times New Roman" w:hAnsi="Times New Roman"/>
                <w:sz w:val="20"/>
                <w:szCs w:val="20"/>
                <w:color w:val="auto"/>
              </w:rPr>
              <w:t>(18)</w:t>
            </w: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1520" w:type="dxa"/>
            <w:vAlign w:val="bottom"/>
            <w:shd w:val="clear" w:color="auto" w:fill="EFEFEF"/>
          </w:tcPr>
          <w:p>
            <w:pPr>
              <w:spacing w:after="0" w:line="20" w:lineRule="exact"/>
              <w:rPr>
                <w:sz w:val="1"/>
                <w:szCs w:val="1"/>
                <w:color w:val="auto"/>
              </w:rPr>
            </w:pPr>
          </w:p>
        </w:tc>
        <w:tc>
          <w:tcPr>
            <w:tcW w:w="5640" w:type="dxa"/>
            <w:vAlign w:val="bottom"/>
            <w:shd w:val="clear" w:color="auto" w:fill="EFEFEF"/>
          </w:tcPr>
          <w:p>
            <w:pPr>
              <w:spacing w:after="0" w:line="20" w:lineRule="exact"/>
              <w:rPr>
                <w:sz w:val="1"/>
                <w:szCs w:val="1"/>
                <w:color w:val="auto"/>
              </w:rPr>
            </w:pPr>
          </w:p>
        </w:tc>
        <w:tc>
          <w:tcPr>
            <w:tcW w:w="560" w:type="dxa"/>
            <w:vAlign w:val="bottom"/>
            <w:shd w:val="clear" w:color="auto" w:fill="EFEFE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EFEFE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EFEFEF"/>
          </w:tcPr>
          <w:p>
            <w:pPr>
              <w:spacing w:after="0" w:line="20" w:lineRule="exact"/>
              <w:rPr>
                <w:sz w:val="1"/>
                <w:szCs w:val="1"/>
                <w:color w:val="auto"/>
              </w:rPr>
            </w:pPr>
          </w:p>
        </w:tc>
      </w:tr>
      <w:tr>
        <w:trPr>
          <w:trHeight w:val="223"/>
        </w:trPr>
        <w:tc>
          <w:tcPr>
            <w:tcW w:w="7160" w:type="dxa"/>
            <w:vAlign w:val="bottom"/>
            <w:gridSpan w:val="2"/>
          </w:tcPr>
          <w:p>
            <w:pPr>
              <w:ind w:left="600"/>
              <w:spacing w:after="0" w:line="223" w:lineRule="exact"/>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auto"/>
                <w:w w:val="99"/>
              </w:rPr>
              <w:t>(1,103)</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b w:val="1"/>
                <w:bCs w:val="1"/>
                <w:color w:val="auto"/>
              </w:rPr>
              <w:t>(916)</w:t>
            </w:r>
          </w:p>
        </w:tc>
      </w:tr>
      <w:tr>
        <w:trPr>
          <w:trHeight w:val="20"/>
        </w:trPr>
        <w:tc>
          <w:tcPr>
            <w:tcW w:w="15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1520" w:type="dxa"/>
            <w:vAlign w:val="bottom"/>
            <w:tcBorders>
              <w:top w:val="single" w:sz="8" w:color="0000FF"/>
            </w:tcBorders>
          </w:tcPr>
          <w:p>
            <w:pPr>
              <w:spacing w:after="0"/>
              <w:rPr>
                <w:sz w:val="24"/>
                <w:szCs w:val="24"/>
                <w:color w:val="auto"/>
              </w:rPr>
            </w:pPr>
          </w:p>
        </w:tc>
        <w:tc>
          <w:tcPr>
            <w:tcW w:w="8040" w:type="dxa"/>
            <w:vAlign w:val="bottom"/>
            <w:gridSpan w:val="5"/>
          </w:tcPr>
          <w:p>
            <w:pPr>
              <w:jc w:val="center"/>
              <w:ind w:left="81"/>
              <w:spacing w:after="0"/>
              <w:rPr>
                <w:sz w:val="20"/>
                <w:szCs w:val="20"/>
                <w:color w:val="auto"/>
              </w:rPr>
            </w:pPr>
            <w:r>
              <w:rPr>
                <w:rFonts w:ascii="Times New Roman" w:cs="Times New Roman" w:eastAsia="Times New Roman" w:hAnsi="Times New Roman"/>
                <w:sz w:val="20"/>
                <w:szCs w:val="20"/>
                <w:b w:val="1"/>
                <w:bCs w:val="1"/>
                <w:color w:val="155CAB"/>
                <w:w w:val="98"/>
              </w:rPr>
              <w:t>PORTLAND GENERAL ELECTRIC COMPANY AND SUBSIDIARIES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8040" w:type="dxa"/>
            <w:vAlign w:val="bottom"/>
            <w:gridSpan w:val="5"/>
          </w:tcPr>
          <w:p>
            <w:pPr>
              <w:jc w:val="center"/>
              <w:ind w:left="61"/>
              <w:spacing w:after="0"/>
              <w:rPr>
                <w:sz w:val="20"/>
                <w:szCs w:val="20"/>
                <w:color w:val="auto"/>
              </w:rPr>
            </w:pPr>
            <w:r>
              <w:rPr>
                <w:rFonts w:ascii="Times New Roman" w:cs="Times New Roman" w:eastAsia="Times New Roman" w:hAnsi="Times New Roman"/>
                <w:sz w:val="20"/>
                <w:szCs w:val="20"/>
                <w:b w:val="1"/>
                <w:bCs w:val="1"/>
                <w:color w:val="155CAB"/>
                <w:w w:val="98"/>
              </w:rPr>
              <w:t>CONDENSED CONSOLIDATED STATEMENTS OF CASH FLOWS, continued</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220" w:type="dxa"/>
            <w:vAlign w:val="bottom"/>
            <w:gridSpan w:val="2"/>
          </w:tcPr>
          <w:p>
            <w:pPr>
              <w:jc w:val="center"/>
              <w:ind w:right="1300"/>
              <w:spacing w:after="0"/>
              <w:rPr>
                <w:sz w:val="20"/>
                <w:szCs w:val="20"/>
                <w:color w:val="auto"/>
              </w:rPr>
            </w:pPr>
            <w:r>
              <w:rPr>
                <w:rFonts w:ascii="Times New Roman" w:cs="Times New Roman" w:eastAsia="Times New Roman" w:hAnsi="Times New Roman"/>
                <w:sz w:val="20"/>
                <w:szCs w:val="20"/>
                <w:color w:val="auto"/>
                <w:w w:val="99"/>
              </w:rPr>
              <w:t>(In millions)</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220" w:type="dxa"/>
            <w:vAlign w:val="bottom"/>
            <w:gridSpan w:val="2"/>
          </w:tcPr>
          <w:p>
            <w:pPr>
              <w:jc w:val="center"/>
              <w:ind w:right="1300"/>
              <w:spacing w:after="0"/>
              <w:rPr>
                <w:sz w:val="20"/>
                <w:szCs w:val="20"/>
                <w:color w:val="auto"/>
              </w:rPr>
            </w:pPr>
            <w:r>
              <w:rPr>
                <w:rFonts w:ascii="Times New Roman" w:cs="Times New Roman" w:eastAsia="Times New Roman" w:hAnsi="Times New Roman"/>
                <w:sz w:val="20"/>
                <w:szCs w:val="20"/>
                <w:color w:val="auto"/>
                <w:w w:val="99"/>
              </w:rPr>
              <w:t>(Unaudited)</w:t>
            </w: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5"/>
          </w:tcPr>
          <w:p>
            <w:pPr>
              <w:jc w:val="right"/>
              <w:ind w:right="340"/>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c>
          <w:tcPr>
            <w:tcW w:w="0" w:type="dxa"/>
            <w:vAlign w:val="bottom"/>
          </w:tcPr>
          <w:p>
            <w:pPr>
              <w:spacing w:after="0"/>
              <w:rPr>
                <w:sz w:val="1"/>
                <w:szCs w:val="1"/>
                <w:color w:val="auto"/>
              </w:rPr>
            </w:pPr>
          </w:p>
        </w:tc>
      </w:tr>
      <w:tr>
        <w:trPr>
          <w:trHeight w:val="22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060" w:type="dxa"/>
            <w:vAlign w:val="bottom"/>
          </w:tcPr>
          <w:p>
            <w:pPr>
              <w:spacing w:after="0"/>
              <w:rPr>
                <w:sz w:val="19"/>
                <w:szCs w:val="19"/>
                <w:color w:val="auto"/>
              </w:rPr>
            </w:pPr>
          </w:p>
        </w:tc>
        <w:tc>
          <w:tcPr>
            <w:tcW w:w="160" w:type="dxa"/>
            <w:vAlign w:val="bottom"/>
            <w:tcBorders>
              <w:top w:val="single" w:sz="8" w:color="155CAB"/>
              <w:bottom w:val="single" w:sz="8" w:color="155CAB"/>
            </w:tcBorders>
          </w:tcPr>
          <w:p>
            <w:pPr>
              <w:spacing w:after="0"/>
              <w:rPr>
                <w:sz w:val="19"/>
                <w:szCs w:val="19"/>
                <w:color w:val="auto"/>
              </w:rPr>
            </w:pPr>
          </w:p>
        </w:tc>
        <w:tc>
          <w:tcPr>
            <w:tcW w:w="1400" w:type="dxa"/>
            <w:vAlign w:val="bottom"/>
            <w:tcBorders>
              <w:top w:val="single" w:sz="8" w:color="155CAB"/>
              <w:bottom w:val="single" w:sz="8" w:color="155CAB"/>
            </w:tcBorders>
          </w:tcPr>
          <w:p>
            <w:pPr>
              <w:jc w:val="right"/>
              <w:ind w:right="4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280" w:type="dxa"/>
            <w:vAlign w:val="bottom"/>
            <w:tcBorders>
              <w:top w:val="single" w:sz="8" w:color="155CAB"/>
            </w:tcBorders>
          </w:tcPr>
          <w:p>
            <w:pPr>
              <w:spacing w:after="0"/>
              <w:rPr>
                <w:sz w:val="19"/>
                <w:szCs w:val="19"/>
                <w:color w:val="auto"/>
              </w:rPr>
            </w:pPr>
          </w:p>
        </w:tc>
        <w:tc>
          <w:tcPr>
            <w:tcW w:w="340" w:type="dxa"/>
            <w:vAlign w:val="bottom"/>
            <w:tcBorders>
              <w:top w:val="single" w:sz="8" w:color="155CAB"/>
              <w:bottom w:val="single" w:sz="8" w:color="155CAB"/>
            </w:tcBorders>
          </w:tcPr>
          <w:p>
            <w:pPr>
              <w:spacing w:after="0"/>
              <w:rPr>
                <w:sz w:val="19"/>
                <w:szCs w:val="19"/>
                <w:color w:val="auto"/>
              </w:rPr>
            </w:pPr>
          </w:p>
        </w:tc>
        <w:tc>
          <w:tcPr>
            <w:tcW w:w="1240" w:type="dxa"/>
            <w:vAlign w:val="bottom"/>
            <w:tcBorders>
              <w:top w:val="single" w:sz="8" w:color="155CAB"/>
              <w:bottom w:val="single" w:sz="8" w:color="155CAB"/>
            </w:tcBorders>
          </w:tcPr>
          <w:p>
            <w:pPr>
              <w:jc w:val="right"/>
              <w:ind w:right="5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w:t>
            </w:r>
          </w:p>
        </w:tc>
        <w:tc>
          <w:tcPr>
            <w:tcW w:w="322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issuance of long-term debt</w:t>
            </w:r>
          </w:p>
        </w:tc>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Payments on long-term debt</w:t>
            </w:r>
          </w:p>
        </w:tc>
        <w:tc>
          <w:tcPr>
            <w:tcW w:w="30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680" w:type="dxa"/>
            <w:vAlign w:val="bottom"/>
            <w:gridSpan w:val="2"/>
            <w:shd w:val="clear" w:color="auto" w:fill="EFEFE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Dividends paid</w:t>
            </w:r>
          </w:p>
        </w:tc>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(184)</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0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680" w:type="dxa"/>
            <w:vAlign w:val="bottom"/>
            <w:gridSpan w:val="2"/>
            <w:shd w:val="clear" w:color="auto" w:fill="EFEFEF"/>
          </w:tcPr>
          <w:p>
            <w:pPr>
              <w:jc w:val="right"/>
              <w:ind w:right="220"/>
              <w:spacing w:after="0"/>
              <w:rPr>
                <w:sz w:val="20"/>
                <w:szCs w:val="20"/>
                <w:color w:val="auto"/>
              </w:rPr>
            </w:pPr>
            <w:r>
              <w:rPr>
                <w:rFonts w:ascii="Times New Roman" w:cs="Times New Roman" w:eastAsia="Times New Roman" w:hAnsi="Times New Roman"/>
                <w:sz w:val="20"/>
                <w:szCs w:val="20"/>
                <w:color w:val="auto"/>
              </w:rPr>
              <w:t>(37)</w:t>
            </w:r>
          </w:p>
        </w:tc>
        <w:tc>
          <w:tcPr>
            <w:tcW w:w="340" w:type="dxa"/>
            <w:vAlign w:val="bottom"/>
            <w:shd w:val="clear" w:color="auto" w:fill="EFEFEF"/>
          </w:tcPr>
          <w:p>
            <w:pPr>
              <w:spacing w:after="0"/>
              <w:rPr>
                <w:sz w:val="19"/>
                <w:szCs w:val="19"/>
                <w:color w:val="auto"/>
              </w:rPr>
            </w:pPr>
          </w:p>
        </w:tc>
        <w:tc>
          <w:tcPr>
            <w:tcW w:w="134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23"/>
        </w:trPr>
        <w:tc>
          <w:tcPr>
            <w:tcW w:w="4660" w:type="dxa"/>
            <w:vAlign w:val="bottom"/>
            <w:tcBorders>
              <w:top w:val="single" w:sz="8" w:color="EFEFEF"/>
            </w:tcBorders>
            <w:gridSpan w:val="2"/>
          </w:tcPr>
          <w:p>
            <w:pPr>
              <w:ind w:left="600"/>
              <w:spacing w:after="0" w:line="223" w:lineRule="exact"/>
              <w:rPr>
                <w:sz w:val="20"/>
                <w:szCs w:val="20"/>
                <w:color w:val="auto"/>
              </w:rPr>
            </w:pPr>
            <w:r>
              <w:rPr>
                <w:rFonts w:ascii="Times New Roman" w:cs="Times New Roman" w:eastAsia="Times New Roman" w:hAnsi="Times New Roman"/>
                <w:sz w:val="20"/>
                <w:szCs w:val="20"/>
                <w:b w:val="1"/>
                <w:bCs w:val="1"/>
                <w:color w:val="auto"/>
              </w:rPr>
              <w:t>Net cash provided by financing activities</w:t>
            </w:r>
          </w:p>
        </w:tc>
        <w:tc>
          <w:tcPr>
            <w:tcW w:w="3060" w:type="dxa"/>
            <w:vAlign w:val="bottom"/>
            <w:tcBorders>
              <w:top w:val="single" w:sz="8" w:color="EFEFE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285</w:t>
            </w:r>
          </w:p>
        </w:tc>
        <w:tc>
          <w:tcPr>
            <w:tcW w:w="280" w:type="dxa"/>
            <w:vAlign w:val="bottom"/>
            <w:tcBorders>
              <w:top w:val="single" w:sz="8" w:color="EFEFE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71</w:t>
            </w:r>
          </w:p>
        </w:tc>
        <w:tc>
          <w:tcPr>
            <w:tcW w:w="100" w:type="dxa"/>
            <w:vAlign w:val="bottom"/>
            <w:tcBorders>
              <w:top w:val="single" w:sz="8" w:color="EFEFE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Change in cash and cash equivalents</w:t>
            </w:r>
          </w:p>
        </w:tc>
        <w:tc>
          <w:tcPr>
            <w:tcW w:w="30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680" w:type="dxa"/>
            <w:vAlign w:val="bottom"/>
            <w:gridSpan w:val="2"/>
            <w:shd w:val="clear" w:color="auto" w:fill="EFEFEF"/>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auto"/>
              </w:rPr>
              <w:t>(7)</w:t>
            </w:r>
          </w:p>
        </w:tc>
        <w:tc>
          <w:tcPr>
            <w:tcW w:w="340" w:type="dxa"/>
            <w:vAlign w:val="bottom"/>
            <w:shd w:val="clear" w:color="auto" w:fill="EFEFEF"/>
          </w:tcPr>
          <w:p>
            <w:pPr>
              <w:spacing w:after="0"/>
              <w:rPr>
                <w:sz w:val="19"/>
                <w:szCs w:val="19"/>
                <w:color w:val="auto"/>
              </w:rPr>
            </w:pPr>
          </w:p>
        </w:tc>
        <w:tc>
          <w:tcPr>
            <w:tcW w:w="124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125</w:t>
            </w:r>
          </w:p>
        </w:tc>
        <w:tc>
          <w:tcPr>
            <w:tcW w:w="1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beginning of period</w:t>
            </w:r>
          </w:p>
        </w:tc>
        <w:tc>
          <w:tcPr>
            <w:tcW w:w="3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76</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and cash equivalents, end of period</w:t>
            </w:r>
          </w:p>
        </w:tc>
        <w:tc>
          <w:tcPr>
            <w:tcW w:w="322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69</w:t>
            </w:r>
          </w:p>
        </w:tc>
        <w:tc>
          <w:tcPr>
            <w:tcW w:w="280" w:type="dxa"/>
            <w:vAlign w:val="bottom"/>
            <w:shd w:val="clear" w:color="auto" w:fill="EFEFEF"/>
          </w:tcPr>
          <w:p>
            <w:pPr>
              <w:spacing w:after="0"/>
              <w:rPr>
                <w:sz w:val="22"/>
                <w:szCs w:val="22"/>
                <w:color w:val="auto"/>
              </w:rPr>
            </w:pPr>
          </w:p>
        </w:tc>
        <w:tc>
          <w:tcPr>
            <w:tcW w:w="340" w:type="dxa"/>
            <w:vAlign w:val="bottom"/>
            <w:shd w:val="clear" w:color="auto" w:fill="EFEFEF"/>
          </w:tcPr>
          <w:p>
            <w:pPr>
              <w:jc w:val="right"/>
              <w:ind w:right="141"/>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137</w:t>
            </w:r>
          </w:p>
        </w:tc>
        <w:tc>
          <w:tcPr>
            <w:tcW w:w="100" w:type="dxa"/>
            <w:vAlign w:val="bottom"/>
            <w:shd w:val="clear" w:color="auto" w:fill="EFEFE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EFEFEF"/>
            </w:tcBorders>
            <w:gridSpan w:val="2"/>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Supplemental cash flow information is as follows:</w:t>
            </w:r>
          </w:p>
        </w:tc>
        <w:tc>
          <w:tcPr>
            <w:tcW w:w="3060" w:type="dxa"/>
            <w:vAlign w:val="bottom"/>
            <w:tcBorders>
              <w:top w:val="single" w:sz="8" w:color="EFEFE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Borders>
              <w:top w:val="single" w:sz="8" w:color="EFEFE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Cash paid for interest, net of amounts capitalized</w:t>
            </w:r>
          </w:p>
        </w:tc>
        <w:tc>
          <w:tcPr>
            <w:tcW w:w="322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8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received for income taxes, net</w:t>
            </w:r>
          </w:p>
        </w:tc>
        <w:tc>
          <w:tcPr>
            <w:tcW w:w="3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w:t>
            </w:r>
          </w:p>
        </w:tc>
        <w:tc>
          <w:tcPr>
            <w:tcW w:w="34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-1089025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-1089025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-480695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-463550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-480695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-463550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1: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Nature of Business</w:t>
      </w:r>
    </w:p>
    <w:p>
      <w:pPr>
        <w:spacing w:after="0" w:line="2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Portland General Electric Company (PGE or the Company) is a single, vertically-integrated electric utility engaged in the generation, purchase, transmission, distribution, and retail sale of electricity in the State of Oregon (State). The Company also participates in the wholesale market by purchasing and selling electricity, natural gas, and environmental credits in an effort to meet the needs of, and obtain reasonably-priced power for, its retail customers, manage risk, and administer its long-term wholesale contracts. The Company develops products and service offerings for the benefit of retail and wholesale customers. PGE operates as a single segment, with revenues and costs related to its business activities recorded and analyzed on a total electric operations basis. The Company owns unregulated, non-utility real estate comprised primarily of PGE’s corporate headquarters. The Company’s corporate headquarters is located in Portland, Oregon and its approximately 4,000 square mile, State-approved service area, entirely within the State, encompasses 51 incorporated cities. As of September 30, 2026, PGE served 963,000 retail customers within a service area of approximately 2 million residents.</w:t>
      </w:r>
    </w:p>
    <w:p>
      <w:pPr>
        <w:spacing w:after="0" w:line="18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PGE is subject to the jurisdiction of the Public Utility Commission of Oregon (OPUC) with respect to retail prices, utility services, accounting policies and practices, issuances of securities, and certain other matters. Retail prices are based on the Company’s cost to serve customers, including an opportunity to earn a reasonable rate of return, as determined by the OPUC. The Company is also subject to regulation by the Federal Energy Regulatory Commission (FERC) in matters related to wholesale energy transactions, transmission services, reliability standards, natural gas pipelines, hydroelectric project licensing, accounting policies and practices, short-term debt issuances, and certain other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1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These condensed consolidated financial statements have been prepared pursuant to the rules and regulations of the United States Securities and Exchange Commission (SEC). Certain information and note disclosures normally included in financial statements prepared in conformity with accounting principles generally accepted in the United States of America (GAAP) have been condensed or omitted pursuant to such regulations, although PGE believes that the disclosures provided are adequate to make the interim information presented not misleading.</w:t>
      </w:r>
    </w:p>
    <w:p>
      <w:pPr>
        <w:spacing w:after="0" w:line="16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financial information included herein as of and for the three and nine months ended September 30, 2026 and 2025 is unaudited; however, in the opinion of management, such information reflects all adjustments necessary to fairly present the condensed consolidated financial position, condensed consolidated income and comprehensive income, and condensed consolidated cash flows of the Company for these interim periods. All such adjustments are of a normal recurring nature, unless otherwise noted. The financial information as of December 31, 2025 is derived from the Company’s audited consolidated financial statements and notes thereto for the year ended December 31, 2025, included in Item 8 of PGE’s Annual Report on Form 10-K, filed with the SEC on February 17, 2026, which should be read in conjunction with the interim unaudited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Comprehensive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material change occurred in Other comprehensive income in the three and nine months ended September 30, 2026 and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Miscellaneous Income, Net</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Miscellaneous income, net includes $3 million in interest income from regulatory assets for both of the three months ended September 30, 2026 and 2025. The remaining activity is comprised of $1 million and $2 million in realized and unrealized gains on the non-qualified benefit plan (NQBP) trust assets and $1 million and an immaterial amount in other miscellaneous income in 2026 and 2025, respectively.</w:t>
      </w:r>
    </w:p>
    <w:p>
      <w:pPr>
        <w:spacing w:after="0" w:line="66"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For the nine months ended September 30, 2026 and 2025, respectively, Miscellaneous income, net includes $15 million and $12 million in interest income from regulatory assets and $7 million and $5 million in realized and unrealized gains on the NQBP trust assets. The remaining activity is comprised of $1 million and an immaterial amount in other miscellaneous income in 2026 and 2025, respectively.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1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The preparation of condensed consolidated financial statements in accordance with GAAP requires management to make estimates and assumptions that affect the reported amounts of assets and liabilities, and disclosures of gain or loss contingencies, as of the date of the financial statements and the reported amounts of revenues and expenses during the reporting period. Actual results experienced by the Company could differ materially from those estimates. Certain costs are estimated for the full year and allocated to interim periods based on estimates of operating time expired, benefit received, or activity associated with the interim period; accordingly, such costs may not be reflective of amounts to be recognized for a full year. Due to seasonal fluctuations in electricity sales, as well as the price of wholesale electricity and natural gas, interim financial results do not necessarily represent those to be expected for the year.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0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FASB issued Accounting Standards Update (ASU) 2024-03 </w:t>
      </w:r>
      <w:r>
        <w:rPr>
          <w:rFonts w:ascii="Times New Roman" w:cs="Times New Roman" w:eastAsia="Times New Roman" w:hAnsi="Times New Roman"/>
          <w:sz w:val="20"/>
          <w:szCs w:val="20"/>
          <w:i w:val="1"/>
          <w:iCs w:val="1"/>
          <w:color w:val="auto"/>
        </w:rPr>
        <w:t>Income Statement—Reporting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Disaggregation Disclosures (Subtopic 220-40): Disaggregation of Income Statement Expenses</w:t>
      </w:r>
      <w:r>
        <w:rPr>
          <w:rFonts w:ascii="Times New Roman" w:cs="Times New Roman" w:eastAsia="Times New Roman" w:hAnsi="Times New Roman"/>
          <w:sz w:val="20"/>
          <w:szCs w:val="20"/>
          <w:color w:val="auto"/>
        </w:rPr>
        <w:t>. ASU 2024-03 requires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 in the notes to financial statements, of specified information about certain costs and expenses. For calendar year-end entities, the update will be effective for annual periods beginning on January 1, 2027, and interim reporting periods beginning on January 1, 2028. Early adoption is permitted. PGE is assessing the impact of adoption on the consolidated financial statements and does not plan to early adopt the standard.</w:t>
      </w:r>
    </w:p>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2025-10 </w:t>
      </w:r>
      <w:r>
        <w:rPr>
          <w:rFonts w:ascii="Times New Roman" w:cs="Times New Roman" w:eastAsia="Times New Roman" w:hAnsi="Times New Roman"/>
          <w:sz w:val="20"/>
          <w:szCs w:val="20"/>
          <w:i w:val="1"/>
          <w:iCs w:val="1"/>
          <w:color w:val="auto"/>
        </w:rPr>
        <w:t>Government Grants (Topic 832): Accounting for Government Grants Received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Business Entities</w:t>
      </w:r>
      <w:r>
        <w:rPr>
          <w:rFonts w:ascii="Times New Roman" w:cs="Times New Roman" w:eastAsia="Times New Roman" w:hAnsi="Times New Roman"/>
          <w:sz w:val="20"/>
          <w:szCs w:val="20"/>
          <w:color w:val="auto"/>
        </w:rPr>
        <w:t>. ASU 2025-10 adds guidance to Accounting Standards Codification (ASC) 832 on the recognition, measurement,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presentation of government grants. For calendar year-end entities, the update will be effective for annual periods beginning on January 1, 2029. Early adoption is permitted. PGE is assessing the impact of adoption on the consolidated financial statements and does not plan to early adopt the standard.</w:t>
      </w:r>
    </w:p>
    <w:p>
      <w:pPr>
        <w:spacing w:after="0" w:line="18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 xml:space="preserve">In May 2026, the FASB issued ASU 2026-02 </w:t>
      </w:r>
      <w:r>
        <w:rPr>
          <w:rFonts w:ascii="Times New Roman" w:cs="Times New Roman" w:eastAsia="Times New Roman" w:hAnsi="Times New Roman"/>
          <w:sz w:val="20"/>
          <w:szCs w:val="20"/>
          <w:i w:val="1"/>
          <w:iCs w:val="1"/>
          <w:color w:val="auto"/>
        </w:rPr>
        <w:t>Environmental Credits and Environmental Credit Obligations (Topic 818)</w:t>
      </w:r>
      <w:r>
        <w:rPr>
          <w:rFonts w:ascii="Times New Roman" w:cs="Times New Roman" w:eastAsia="Times New Roman" w:hAnsi="Times New Roman"/>
          <w:sz w:val="20"/>
          <w:szCs w:val="20"/>
          <w:color w:val="auto"/>
        </w:rPr>
        <w:t>. ASU 2026-02 provides specific guidance for accounting for environmental credits and environmental credit obligations. For calendar year-end entities, the update will be effective for annual periods beginning on January 1, 2028. Early adoption is permitted. PGE is assessing the impact of adoption on the consolidated financial statements and does not plan to early adopt the standard.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Pending Acquisition</w:t>
      </w:r>
    </w:p>
    <w:p>
      <w:pPr>
        <w:spacing w:after="0" w:line="11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On February 15, 2026, PGE, through a newly formed, wholly owned subsidiary, entered into an Asset Purchase and Service Area Transfer Agreement (the “Agreement”) with PacifiCorp, an indirect subsidiary of Berkshire Hathaway Energy Company, to acquire select portions of PacifiCorp’s Washington state regulated utility retail business. Under the Agreement, PGE would acquire certain assets and liabilities related to generation, transmission, and distribution business to serve the related service area comprised of approximately 140,000 customers. The stated purchase price is $1.9 billion in cash, subject to customary adjustments, including adjustments for net working capital, regulatory assets and liabilities, assumed liabilities, and capital expenditures at closing.</w:t>
      </w:r>
    </w:p>
    <w:p>
      <w:pPr>
        <w:spacing w:after="0" w:line="1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Upon execution of the Agreement, the acquisition was supported by a fully committed bridge facility with Barclays Bank PLC and JPMorgan Chase Bank, N.A. for $1.9 billion. On March 23, 2026, the bridge facility was amended to an amount of approximately $1.3 billion and at the same time, the Company entered into a 364-day Delay Draw Term Loan in the amount of approximately $700 million. Borrowings under the Delayed Draw Term Loan bear interest at a rate equal to either (i) Term SOFR Rate, or (ii) the Alternate Base Rate in each case, plus an applicable margin determined by reference to the Company’s long-term debt securities credit ratings. The Company expects to permanently finance the transaction through a balanced mix of debt, equity, and its minority investment partner, Manulife Infrastructure Fund III L.P. and its affiliates including John Hancock Life Insurance Company (USA) (“Manulife”). In connection with the financing plan, PGE expects equity commitments from Manulife to finance up to $600 million of the purchase. Assuming the closing of the transactions contemplated by the Agreement and the consummation of the financing transactions, Manulife will be the Company's joint venture partner in the business. PGE would remain majority owner and sole operator.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The Agreement also provides for certain termination rights, and under certain specified circumstances, the Company may be required to pay PacifiCorp a termination fee of $35 million. The transaction is expected to consummate approximately twelve months after submission of regulatory filings, subject to customary closing conditions and regulatory approvals, including under the Hart-Scott-Rodino Act, Section 203 of the Federal Power Act from the FERC, the Washington Utilities and Transportation Commission (“WUTC”), the OPUC, the Idaho Public Utilities Commission, the Public Service Commission of Utah, the Public Utilities Commission of the State of California, the Public Service Commission of Wyoming, and certain other federal and state regulatory approvals. PGE submitted regulatory applications related to the Acquisition with the WUTC and the OPUC on March 30, 2026 and April 2, 2026, respectively. On July 15, 2026, the Company, jointly with other parties, submitted an application to the FERC seeking approval of the transaction, requesting a decision by December 15, 2026.</w:t>
      </w:r>
    </w:p>
    <w:p>
      <w:pPr>
        <w:spacing w:after="0" w:line="173"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auto"/>
        </w:rPr>
        <w:t>The transaction is expected to be accounted for as a business combination pursuant to ASC 805, Business Combinations, using the acquisition method of accounting and in which PGE would record the fair value of the assets acquired and liabilities assumed as of the acquisition date. To the extent that the consideration transferred is greater than the fair value of the net assets acquired, goodwill will be recorded.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2: REVENUE RECOGNITION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Disaggregated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PGE’s revenue, disaggregated by customer type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jc w:val="right"/>
              <w:ind w:right="481"/>
              <w:spacing w:after="0"/>
              <w:rPr>
                <w:sz w:val="20"/>
                <w:szCs w:val="20"/>
                <w:color w:val="auto"/>
              </w:rPr>
            </w:pPr>
            <w:r>
              <w:rPr>
                <w:rFonts w:ascii="Times New Roman" w:cs="Times New Roman" w:eastAsia="Times New Roman" w:hAnsi="Times New Roman"/>
                <w:sz w:val="20"/>
                <w:szCs w:val="20"/>
                <w:b w:val="1"/>
                <w:bCs w:val="1"/>
                <w:color w:val="155CAB"/>
              </w:rPr>
              <w:t>Nine Months Ended</w:t>
            </w:r>
          </w:p>
        </w:tc>
      </w:tr>
      <w:tr>
        <w:trPr>
          <w:trHeight w:val="256"/>
        </w:trPr>
        <w:tc>
          <w:tcPr>
            <w:tcW w:w="5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Borders>
              <w:bottom w:val="single" w:sz="8" w:color="155CAB"/>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440" w:type="dxa"/>
            <w:vAlign w:val="bottom"/>
            <w:tcBorders>
              <w:bottom w:val="single" w:sz="8" w:color="155CAB"/>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155CAB"/>
            </w:tcBorders>
          </w:tcPr>
          <w:p>
            <w:pPr>
              <w:spacing w:after="0"/>
              <w:rPr>
                <w:sz w:val="22"/>
                <w:szCs w:val="22"/>
                <w:color w:val="auto"/>
              </w:rPr>
            </w:pPr>
          </w:p>
        </w:tc>
        <w:tc>
          <w:tcPr>
            <w:tcW w:w="2420" w:type="dxa"/>
            <w:vAlign w:val="bottom"/>
            <w:tcBorders>
              <w:bottom w:val="single" w:sz="8" w:color="155CAB"/>
            </w:tcBorders>
            <w:gridSpan w:val="4"/>
          </w:tcPr>
          <w:p>
            <w:pPr>
              <w:jc w:val="right"/>
              <w:ind w:right="701"/>
              <w:spacing w:after="0"/>
              <w:rPr>
                <w:sz w:val="20"/>
                <w:szCs w:val="20"/>
                <w:color w:val="auto"/>
              </w:rPr>
            </w:pPr>
            <w:r>
              <w:rPr>
                <w:rFonts w:ascii="Times New Roman" w:cs="Times New Roman" w:eastAsia="Times New Roman" w:hAnsi="Times New Roman"/>
                <w:sz w:val="20"/>
                <w:szCs w:val="20"/>
                <w:b w:val="1"/>
                <w:bCs w:val="1"/>
                <w:color w:val="155CAB"/>
              </w:rPr>
              <w:t>September 30,</w:t>
            </w:r>
          </w:p>
        </w:tc>
      </w:tr>
      <w:tr>
        <w:trPr>
          <w:trHeight w:val="223"/>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460" w:type="dxa"/>
            <w:vAlign w:val="bottom"/>
          </w:tcPr>
          <w:p>
            <w:pPr>
              <w:spacing w:after="0"/>
              <w:rPr>
                <w:sz w:val="19"/>
                <w:szCs w:val="19"/>
                <w:color w:val="auto"/>
              </w:rPr>
            </w:pPr>
          </w:p>
        </w:tc>
        <w:tc>
          <w:tcPr>
            <w:tcW w:w="9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58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Retail:</w:t>
            </w:r>
          </w:p>
        </w:tc>
        <w:tc>
          <w:tcPr>
            <w:tcW w:w="20" w:type="dxa"/>
            <w:vAlign w:val="bottom"/>
            <w:shd w:val="clear" w:color="auto" w:fill="EFEFEF"/>
          </w:tcPr>
          <w:p>
            <w:pPr>
              <w:spacing w:after="0"/>
              <w:rPr>
                <w:sz w:val="19"/>
                <w:szCs w:val="19"/>
                <w:color w:val="auto"/>
              </w:rPr>
            </w:pPr>
          </w:p>
        </w:tc>
        <w:tc>
          <w:tcPr>
            <w:tcW w:w="780" w:type="dxa"/>
            <w:vAlign w:val="bottom"/>
            <w:tcBorders>
              <w:top w:val="single" w:sz="8" w:color="155CAB"/>
            </w:tcBorders>
            <w:shd w:val="clear" w:color="auto" w:fill="EFEFEF"/>
          </w:tcPr>
          <w:p>
            <w:pPr>
              <w:spacing w:after="0"/>
              <w:rPr>
                <w:sz w:val="19"/>
                <w:szCs w:val="19"/>
                <w:color w:val="auto"/>
              </w:rPr>
            </w:pPr>
          </w:p>
        </w:tc>
        <w:tc>
          <w:tcPr>
            <w:tcW w:w="46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820" w:type="dxa"/>
            <w:vAlign w:val="bottom"/>
            <w:tcBorders>
              <w:top w:val="single" w:sz="8" w:color="155CAB"/>
            </w:tcBorders>
            <w:shd w:val="clear" w:color="auto" w:fill="EFEFEF"/>
          </w:tcPr>
          <w:p>
            <w:pPr>
              <w:spacing w:after="0"/>
              <w:rPr>
                <w:sz w:val="19"/>
                <w:szCs w:val="19"/>
                <w:color w:val="auto"/>
              </w:rPr>
            </w:pPr>
          </w:p>
        </w:tc>
        <w:tc>
          <w:tcPr>
            <w:tcW w:w="440" w:type="dxa"/>
            <w:vAlign w:val="bottom"/>
            <w:tcBorders>
              <w:top w:val="single" w:sz="8" w:color="155CAB"/>
            </w:tcBorders>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240" w:type="dxa"/>
            <w:vAlign w:val="bottom"/>
            <w:tcBorders>
              <w:top w:val="single" w:sz="8" w:color="155CAB"/>
            </w:tcBorders>
            <w:shd w:val="clear" w:color="auto" w:fill="EFEFEF"/>
          </w:tcPr>
          <w:p>
            <w:pPr>
              <w:spacing w:after="0"/>
              <w:rPr>
                <w:sz w:val="19"/>
                <w:szCs w:val="19"/>
                <w:color w:val="auto"/>
              </w:rPr>
            </w:pPr>
          </w:p>
        </w:tc>
        <w:tc>
          <w:tcPr>
            <w:tcW w:w="1020" w:type="dxa"/>
            <w:vAlign w:val="bottom"/>
            <w:tcBorders>
              <w:top w:val="single" w:sz="8" w:color="155CAB"/>
            </w:tcBorders>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220" w:type="dxa"/>
            <w:vAlign w:val="bottom"/>
            <w:tcBorders>
              <w:top w:val="single" w:sz="8" w:color="155CAB"/>
            </w:tcBorders>
            <w:shd w:val="clear" w:color="auto" w:fill="EFEFEF"/>
          </w:tcPr>
          <w:p>
            <w:pPr>
              <w:spacing w:after="0"/>
              <w:rPr>
                <w:sz w:val="19"/>
                <w:szCs w:val="19"/>
                <w:color w:val="auto"/>
              </w:rPr>
            </w:pPr>
          </w:p>
        </w:tc>
        <w:tc>
          <w:tcPr>
            <w:tcW w:w="1040" w:type="dxa"/>
            <w:vAlign w:val="bottom"/>
            <w:tcBorders>
              <w:top w:val="single" w:sz="8" w:color="155CAB"/>
            </w:tcBorders>
            <w:shd w:val="clear" w:color="auto" w:fill="EFEFEF"/>
          </w:tcPr>
          <w:p>
            <w:pPr>
              <w:spacing w:after="0"/>
              <w:rPr>
                <w:sz w:val="19"/>
                <w:szCs w:val="19"/>
                <w:color w:val="auto"/>
              </w:rPr>
            </w:pP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Residential</w:t>
            </w:r>
          </w:p>
        </w:tc>
        <w:tc>
          <w:tcPr>
            <w:tcW w:w="80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362</w:t>
            </w:r>
          </w:p>
        </w:tc>
        <w:tc>
          <w:tcPr>
            <w:tcW w:w="94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375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1,090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1,115</w:t>
            </w:r>
          </w:p>
        </w:tc>
      </w:tr>
      <w:tr>
        <w:trPr>
          <w:trHeight w:val="229"/>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Commercial</w:t>
            </w:r>
          </w:p>
        </w:tc>
        <w:tc>
          <w:tcPr>
            <w:tcW w:w="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4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261</w:t>
            </w:r>
          </w:p>
        </w:tc>
        <w:tc>
          <w:tcPr>
            <w:tcW w:w="12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w w:val="99"/>
              </w:rPr>
              <w:t>262</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744</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738</w:t>
            </w: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Industrial</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141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396</w:t>
            </w:r>
          </w:p>
        </w:tc>
      </w:tr>
      <w:tr>
        <w:trPr>
          <w:trHeight w:val="230"/>
        </w:trPr>
        <w:tc>
          <w:tcPr>
            <w:tcW w:w="5800" w:type="dxa"/>
            <w:vAlign w:val="bottom"/>
            <w:tcBorders>
              <w:bottom w:val="single" w:sz="8" w:color="EFEFEF"/>
            </w:tcBorders>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Direct access customers</w:t>
            </w:r>
          </w:p>
        </w:tc>
        <w:tc>
          <w:tcPr>
            <w:tcW w:w="20" w:type="dxa"/>
            <w:vAlign w:val="bottom"/>
            <w:tcBorders>
              <w:bottom w:val="single" w:sz="8" w:color="EFEFEF"/>
            </w:tcBorders>
            <w:shd w:val="clear" w:color="auto" w:fill="EFEFEF"/>
          </w:tcPr>
          <w:p>
            <w:pPr>
              <w:spacing w:after="0"/>
              <w:rPr>
                <w:sz w:val="19"/>
                <w:szCs w:val="19"/>
                <w:color w:val="auto"/>
              </w:rPr>
            </w:pPr>
          </w:p>
        </w:tc>
        <w:tc>
          <w:tcPr>
            <w:tcW w:w="780" w:type="dxa"/>
            <w:vAlign w:val="bottom"/>
            <w:tcBorders>
              <w:bottom w:val="single" w:sz="8" w:color="auto"/>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Borders>
              <w:bottom w:val="single" w:sz="8" w:color="EFEFEF"/>
            </w:tcBorders>
            <w:shd w:val="clear" w:color="auto" w:fill="EFEFEF"/>
          </w:tcPr>
          <w:p>
            <w:pPr>
              <w:spacing w:after="0"/>
              <w:rPr>
                <w:sz w:val="19"/>
                <w:szCs w:val="19"/>
                <w:color w:val="auto"/>
              </w:rPr>
            </w:pPr>
          </w:p>
        </w:tc>
        <w:tc>
          <w:tcPr>
            <w:tcW w:w="82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10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4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30</w:t>
            </w: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color w:val="auto"/>
              </w:rPr>
              <w:t>Subtotal</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813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9"/>
              </w:rPr>
              <w:t>789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2,279</w:t>
            </w:r>
          </w:p>
        </w:tc>
      </w:tr>
      <w:tr>
        <w:trPr>
          <w:trHeight w:val="230"/>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Alternative revenue programs, net of amortization</w:t>
            </w:r>
          </w:p>
        </w:tc>
        <w:tc>
          <w:tcPr>
            <w:tcW w:w="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4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accrued revenues, net</w:t>
            </w: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9</w:t>
            </w:r>
          </w:p>
        </w:tc>
      </w:tr>
      <w:tr>
        <w:trPr>
          <w:trHeight w:val="223"/>
        </w:trPr>
        <w:tc>
          <w:tcPr>
            <w:tcW w:w="5800" w:type="dxa"/>
            <w:vAlign w:val="bottom"/>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retail revenues</w:t>
            </w:r>
          </w:p>
        </w:tc>
        <w:tc>
          <w:tcPr>
            <w:tcW w:w="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46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809</w:t>
            </w:r>
          </w:p>
        </w:tc>
        <w:tc>
          <w:tcPr>
            <w:tcW w:w="12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9"/>
              </w:rPr>
              <w:t>794</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2,350</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2,299</w:t>
            </w:r>
          </w:p>
        </w:tc>
      </w:tr>
      <w:tr>
        <w:trPr>
          <w:trHeight w:val="243"/>
        </w:trPr>
        <w:tc>
          <w:tcPr>
            <w:tcW w:w="58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Wholesale revenues</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136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324</w:t>
            </w:r>
          </w:p>
        </w:tc>
      </w:tr>
      <w:tr>
        <w:trPr>
          <w:trHeight w:val="230"/>
        </w:trPr>
        <w:tc>
          <w:tcPr>
            <w:tcW w:w="580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Other operating revenues</w:t>
            </w:r>
          </w:p>
        </w:tc>
        <w:tc>
          <w:tcPr>
            <w:tcW w:w="20" w:type="dxa"/>
            <w:vAlign w:val="bottom"/>
            <w:tcBorders>
              <w:bottom w:val="single" w:sz="8" w:color="EFEFEF"/>
            </w:tcBorders>
            <w:shd w:val="clear" w:color="auto" w:fill="EFEFEF"/>
          </w:tcPr>
          <w:p>
            <w:pPr>
              <w:spacing w:after="0"/>
              <w:rPr>
                <w:sz w:val="19"/>
                <w:szCs w:val="19"/>
                <w:color w:val="auto"/>
              </w:rPr>
            </w:pPr>
          </w:p>
        </w:tc>
        <w:tc>
          <w:tcPr>
            <w:tcW w:w="780" w:type="dxa"/>
            <w:vAlign w:val="bottom"/>
            <w:tcBorders>
              <w:bottom w:val="single" w:sz="8" w:color="auto"/>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w:t>
            </w:r>
          </w:p>
        </w:tc>
        <w:tc>
          <w:tcPr>
            <w:tcW w:w="120" w:type="dxa"/>
            <w:vAlign w:val="bottom"/>
            <w:tcBorders>
              <w:bottom w:val="single" w:sz="8" w:color="EFEFEF"/>
            </w:tcBorders>
            <w:shd w:val="clear" w:color="auto" w:fill="EFEFEF"/>
          </w:tcPr>
          <w:p>
            <w:pPr>
              <w:spacing w:after="0"/>
              <w:rPr>
                <w:sz w:val="19"/>
                <w:szCs w:val="19"/>
                <w:color w:val="auto"/>
              </w:rPr>
            </w:pPr>
          </w:p>
        </w:tc>
        <w:tc>
          <w:tcPr>
            <w:tcW w:w="82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10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69</w:t>
            </w:r>
          </w:p>
        </w:tc>
        <w:tc>
          <w:tcPr>
            <w:tcW w:w="14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4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64</w:t>
            </w: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800" w:type="dxa"/>
            <w:vAlign w:val="bottom"/>
            <w:gridSpan w:val="2"/>
          </w:tcPr>
          <w:p>
            <w:pPr>
              <w:jc w:val="right"/>
              <w:ind w:right="6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971</w:t>
            </w:r>
          </w:p>
        </w:tc>
        <w:tc>
          <w:tcPr>
            <w:tcW w:w="940" w:type="dxa"/>
            <w:vAlign w:val="bottom"/>
            <w:gridSpan w:val="2"/>
          </w:tcPr>
          <w:p>
            <w:pPr>
              <w:jc w:val="right"/>
              <w:ind w:right="7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9"/>
              </w:rPr>
              <w:t>952</w:t>
            </w:r>
          </w:p>
        </w:tc>
        <w:tc>
          <w:tcPr>
            <w:tcW w:w="38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2,664</w:t>
            </w:r>
          </w:p>
        </w:tc>
        <w:tc>
          <w:tcPr>
            <w:tcW w:w="3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2,687</w:t>
            </w: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-1079500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-1079500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-1079500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-179070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-179070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1" w:lineRule="exact"/>
        <w:rPr>
          <w:sz w:val="20"/>
          <w:szCs w:val="20"/>
          <w:color w:val="auto"/>
        </w:rPr>
      </w:pPr>
    </w:p>
    <w:p>
      <w:pPr>
        <w:ind w:right="44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revenues include $49 million and $74 million related to electricity commodity contract derivative settlements for the three months ended September 30, 2026 and 2025, respectively, and $109 million and $154 million for the nine months 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3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September 30, 2026 and 2025, respectively. Price risk management derivative activities are included within total revenues but do not represent revenues from contracts with customers as defined by GAAP. For further information, see Note 5, Risk Management.</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Retail Revenues</w:t>
      </w:r>
    </w:p>
    <w:p>
      <w:pPr>
        <w:spacing w:after="0" w:line="11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Company’s primary revenue source is the sale of electricity to customers at regulated, tariff-based prices. Retail customers are classified as residential, commercial, or industrial. Residential customers include single-family housing, multiple-family housing (such as apartments, duplexes, and town homes), manufactured homes, and small farms. Residential demand is sensitive to the effects of weather, with demand highest during the winter heating and summer cooling seasons. Commercial customers consist of non-residential customers who accept energy deliveries at voltages equivalent to those delivered to residential customers and are also sensitive to the effects of weather, although to a lesser extent than residential customers. Commercial customers include most businesses, small industrial companies, and public street and highway lighting accounts. Industrial customers consist of non-residential customers who accept delivery at higher voltages than commercial customers and include data centers, which, with recent OPUC approval, now have a separate tariff. Demand from industrial customers is primarily driven by economic conditions, with weather having a less significant impact on energy use by this customer class.</w:t>
      </w:r>
    </w:p>
    <w:p>
      <w:pPr>
        <w:spacing w:after="0" w:line="176" w:lineRule="exact"/>
        <w:rPr>
          <w:sz w:val="20"/>
          <w:szCs w:val="20"/>
          <w:color w:val="auto"/>
        </w:rPr>
      </w:pPr>
    </w:p>
    <w:p>
      <w:pPr>
        <w:jc w:val="both"/>
        <w:ind w:right="560"/>
        <w:spacing w:after="0" w:line="254" w:lineRule="auto"/>
        <w:rPr>
          <w:sz w:val="20"/>
          <w:szCs w:val="20"/>
          <w:color w:val="auto"/>
        </w:rPr>
      </w:pPr>
      <w:r>
        <w:rPr>
          <w:rFonts w:ascii="Times New Roman" w:cs="Times New Roman" w:eastAsia="Times New Roman" w:hAnsi="Times New Roman"/>
          <w:sz w:val="20"/>
          <w:szCs w:val="20"/>
          <w:color w:val="auto"/>
        </w:rPr>
        <w:t>In accordance with state regulations, PGE’s retail customer prices are based on the Company’s cost of service and determined through General Rate Case (GRC) proceedings and various tariff filings with the OPUC. Additionally, the Company offers pricing options that include a daily market price option, various time-of-use options, and several renewable energy options.</w:t>
      </w:r>
    </w:p>
    <w:p>
      <w:pPr>
        <w:spacing w:after="0" w:line="174"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Retail revenue is billed based on monthly meter readings taken at various cycle dates throughout the month. At the end of each month, PGE estimates and records the revenue earned from energy deliveries that have not yet been billed to customers. This amount, which is classified as unbilled revenues and included in Accounts receivable, net in the Company’s condensed consolidated balance sheets, is calculated based on actual net retail system load each month, the number of days from the last meter read date through the last day of the month, and current customer prices.</w:t>
      </w:r>
    </w:p>
    <w:p>
      <w:pPr>
        <w:spacing w:after="0" w:line="185"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PGE’s obligation to sell electricity to retail customers generally represents a single performance obligation representing a series of distinct services that are substantially the same and have the same pattern of transfer to the customer that is satisfied over time as customers simultaneously receive and consume the benefits provided. PGE applies the invoice method to measure its progress towards satisfactorily completing its performance obligations.</w:t>
      </w:r>
    </w:p>
    <w:p>
      <w:pPr>
        <w:spacing w:after="0" w:line="1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Pursuant to regulation by the OPUC, PGE is mandated to maintain several tariff schedules to collect funds from customers for programs that benefit the general public, such as conservation, low-income housing, energy efficiency, renewable energy programs, and privilege taxes. For such programs, PGE generally collects the funds and remits the amounts to third party agencies that administer the programs. In these arrangements, PGE is considered to be an agent, as PGE’s performance obligation is to facilitate a transaction between customers and the administrators of these programs. Therefore, such amounts are presented on a net basis and do not appear in Revenues, net within the condensed consolidated statements of income and comprehensive income.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i w:val="1"/>
          <w:iCs w:val="1"/>
          <w:color w:val="auto"/>
        </w:rPr>
        <w:t>Alternative Revenues programs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Revenues related to PGE’s Renewable Adjustment Clause (RAC) are considered earned under alternative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revenue programs, as these amounts represent contracts with the regulator and not with customers. Such revenues are presented separately from revenues from contracts with customers and classified as Alternative revenue programs, net of amortization on the condensed consolidated statements of income and comprehensive income. The activity within this line item is comprised of current period deferral adjustments, which can either be a collection from or a refund to customers, and is net of any related amortization. When amounts related to alternative revenue programs are ultimately included in prices and customer bills, the amounts are included within Revenues, net, with an equal and offsetting amount of amortization recorded on the Alternative revenue programs, net of amortization line item. Under the RAC, in 2024 and through February 28, 2025, the Company deferred amounts related to the Clearwater Wind Development (Clearwater). For further information, see </w:t>
      </w:r>
      <w:r>
        <w:rPr>
          <w:rFonts w:ascii="Times New Roman" w:cs="Times New Roman" w:eastAsia="Times New Roman" w:hAnsi="Times New Roman"/>
          <w:sz w:val="19"/>
          <w:szCs w:val="19"/>
          <w:i w:val="1"/>
          <w:iCs w:val="1"/>
          <w:color w:val="auto"/>
        </w:rPr>
        <w:t>“Clearwater RAC”</w:t>
      </w:r>
      <w:r>
        <w:rPr>
          <w:rFonts w:ascii="Times New Roman" w:cs="Times New Roman" w:eastAsia="Times New Roman" w:hAnsi="Times New Roman"/>
          <w:sz w:val="19"/>
          <w:szCs w:val="19"/>
          <w:color w:val="auto"/>
        </w:rPr>
        <w:t xml:space="preserve"> in the Regulatory Assets and Liabilities section of Note 3, Balance Sheet Components.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Wholesale Revenues</w:t>
      </w:r>
    </w:p>
    <w:p>
      <w:pPr>
        <w:spacing w:after="0" w:line="22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PGE participates in the wholesale electricity marketplace in order to balance its supply of power to meet the needs of, and secure reasonably-priced power for, its retail customers, manage risk, and administer its current long-term wholesale contracts. In addition, the Company performs wholesale market services for third parties in the region and sells environmental credits in the wholesale marketplace. Interconnected transmission systems in the western United States serve utilities with diverse load requirements and allow PGE to purchase and sell electricity within the region depending upon: i) the relative price and availability of power; ii) hydro, solar, and wind conditions; and iii) daily and seasonal retail demand.</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PGE’s Wholesale revenues consist primarily of short-term electricity sales to utilities and power marketers that consist of single performance obligations that are satisfied as energy is transferred to the counterparty. The Company nets certain purchase and sale transactions in which it would simultaneously receive and deliver physical power with the same counterparty; in such cases, only the net amount of those purchases or sales required to meet retail and wholesale obligations will be physically settled and recorded in Wholesale revenues.</w:t>
      </w: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Other Operating Revenues</w:t>
      </w:r>
    </w:p>
    <w:p>
      <w:pPr>
        <w:spacing w:after="0" w:line="220"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Other operating revenues consist primarily of gains and losses on the sale of natural gas volumes purchased that exceeded what was needed to fuel the Company’s generating facilities, as well as revenues from transmission services, excess transmission capacity resales, excess fuel sales, utility pole attachment revenues, and other electric services provided to customers.</w:t>
      </w:r>
    </w:p>
    <w:p>
      <w:pPr>
        <w:spacing w:after="0" w:line="2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Arrangements with Multiple Performance Obligations</w:t>
      </w:r>
    </w:p>
    <w:p>
      <w:pPr>
        <w:spacing w:after="0" w:line="112"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Certain contracts with customers, primarily wholesale, may include multiple performance obligations. For such arrangements, PGE allocates revenue to each performance obligation based on its relative standalone selling price. The Company generally determines standalone selling prices based on the prices charged to customers.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3: BALANCE SHEET COMPONENTS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11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Accounts receivable, net includes $158 million and $180 million of unbilled revenues as of September 30, 2026 and December 31, 2025, respectively. Accounts receivable, net includes an allowance for uncollectible accounts. The following summarizes activity during 2026 in the allowance for credit losses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Three Months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155CAB"/>
              </w:rPr>
              <w:t>Nine Months</w:t>
            </w:r>
          </w:p>
        </w:tc>
      </w:tr>
      <w:tr>
        <w:trPr>
          <w:trHeight w:val="230"/>
        </w:trPr>
        <w:tc>
          <w:tcPr>
            <w:tcW w:w="4100" w:type="dxa"/>
            <w:vAlign w:val="bottom"/>
          </w:tcPr>
          <w:p>
            <w:pPr>
              <w:spacing w:after="0"/>
              <w:rPr>
                <w:sz w:val="19"/>
                <w:szCs w:val="19"/>
                <w:color w:val="auto"/>
              </w:rPr>
            </w:pPr>
          </w:p>
        </w:tc>
        <w:tc>
          <w:tcPr>
            <w:tcW w:w="5300" w:type="dxa"/>
            <w:vAlign w:val="bottom"/>
            <w:gridSpan w:val="3"/>
          </w:tcPr>
          <w:p>
            <w:pPr>
              <w:ind w:left="3620"/>
              <w:spacing w:after="0"/>
              <w:rPr>
                <w:sz w:val="20"/>
                <w:szCs w:val="20"/>
                <w:color w:val="auto"/>
              </w:rPr>
            </w:pPr>
            <w:r>
              <w:rPr>
                <w:rFonts w:ascii="Times New Roman" w:cs="Times New Roman" w:eastAsia="Times New Roman" w:hAnsi="Times New Roman"/>
                <w:sz w:val="20"/>
                <w:szCs w:val="20"/>
                <w:b w:val="1"/>
                <w:bCs w:val="1"/>
                <w:color w:val="155CAB"/>
              </w:rPr>
              <w:t>Ended September</w:t>
            </w:r>
          </w:p>
        </w:tc>
        <w:tc>
          <w:tcPr>
            <w:tcW w:w="1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55CAB"/>
              </w:rPr>
              <w:t>Ended September</w:t>
            </w:r>
          </w:p>
        </w:tc>
      </w:tr>
      <w:tr>
        <w:trPr>
          <w:trHeight w:val="256"/>
        </w:trPr>
        <w:tc>
          <w:tcPr>
            <w:tcW w:w="41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155CAB"/>
              </w:rPr>
              <w:t>30,</w:t>
            </w:r>
          </w:p>
        </w:tc>
        <w:tc>
          <w:tcPr>
            <w:tcW w:w="16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1520" w:type="dxa"/>
            <w:vAlign w:val="bottom"/>
            <w:tcBorders>
              <w:bottom w:val="single" w:sz="8" w:color="155CAB"/>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155CAB"/>
              </w:rPr>
              <w:t>30,</w:t>
            </w:r>
          </w:p>
        </w:tc>
      </w:tr>
      <w:tr>
        <w:trPr>
          <w:trHeight w:val="223"/>
        </w:trPr>
        <w:tc>
          <w:tcPr>
            <w:tcW w:w="41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 as of beginning of period</w:t>
            </w:r>
          </w:p>
        </w:tc>
        <w:tc>
          <w:tcPr>
            <w:tcW w:w="3740" w:type="dxa"/>
            <w:vAlign w:val="bottom"/>
            <w:gridSpan w:val="2"/>
            <w:shd w:val="clear" w:color="auto" w:fill="EFEFEF"/>
          </w:tcPr>
          <w:p>
            <w:pPr>
              <w:ind w:left="362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320" w:type="dxa"/>
            <w:vAlign w:val="bottom"/>
            <w:gridSpan w:val="2"/>
            <w:shd w:val="clear" w:color="auto" w:fill="EFEFEF"/>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w:t>
            </w: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Increase in provision</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410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Amounts written off</w:t>
            </w:r>
          </w:p>
        </w:tc>
        <w:tc>
          <w:tcPr>
            <w:tcW w:w="36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Recoveries</w:t>
            </w:r>
          </w:p>
        </w:tc>
        <w:tc>
          <w:tcPr>
            <w:tcW w:w="3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r>
      <w:tr>
        <w:trPr>
          <w:trHeight w:val="263"/>
        </w:trPr>
        <w:tc>
          <w:tcPr>
            <w:tcW w:w="41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 as of end of period</w:t>
            </w:r>
          </w:p>
        </w:tc>
        <w:tc>
          <w:tcPr>
            <w:tcW w:w="3740" w:type="dxa"/>
            <w:vAlign w:val="bottom"/>
            <w:gridSpan w:val="2"/>
            <w:shd w:val="clear" w:color="auto" w:fill="EFEFEF"/>
          </w:tcPr>
          <w:p>
            <w:pPr>
              <w:ind w:left="362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320" w:type="dxa"/>
            <w:vAlign w:val="bottom"/>
            <w:gridSpan w:val="2"/>
            <w:shd w:val="clear" w:color="auto" w:fill="EFEFEF"/>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14</w:t>
            </w:r>
          </w:p>
        </w:tc>
      </w:tr>
      <w:tr>
        <w:trPr>
          <w:trHeight w:val="628"/>
        </w:trPr>
        <w:tc>
          <w:tcPr>
            <w:tcW w:w="4100" w:type="dxa"/>
            <w:vAlign w:val="bottom"/>
            <w:tcBorders>
              <w:top w:val="single" w:sz="8" w:color="EFEFEF"/>
            </w:tcBorders>
          </w:tcPr>
          <w:p>
            <w:pPr>
              <w:spacing w:after="0"/>
              <w:rPr>
                <w:sz w:val="24"/>
                <w:szCs w:val="24"/>
                <w:color w:val="auto"/>
              </w:rPr>
            </w:pPr>
          </w:p>
        </w:tc>
        <w:tc>
          <w:tcPr>
            <w:tcW w:w="3620" w:type="dxa"/>
            <w:vAlign w:val="bottom"/>
            <w:tcBorders>
              <w:top w:val="single" w:sz="8" w:color="EFEFEF"/>
            </w:tcBorders>
          </w:tcPr>
          <w:p>
            <w:pPr>
              <w:jc w:val="right"/>
              <w:ind w:right="190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60" w:type="dxa"/>
            <w:vAlign w:val="bottom"/>
            <w:tcBorders>
              <w:top w:val="single" w:sz="8" w:color="EFEFE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358"/>
        </w:trPr>
        <w:tc>
          <w:tcPr>
            <w:tcW w:w="41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-676275</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-659130</wp:posOffset>
            </wp:positionV>
            <wp:extent cx="111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12"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20"/>
          <w:szCs w:val="20"/>
          <w:color w:val="auto"/>
        </w:rPr>
        <w:t>PGE’s inventories, which are recorded at average cost, consist primarily of materials and supplies for use in operations, maintenance, and capital activities, as well as fuel, which includes natural gas, coal, and oil, for use in the Company’s generating plants. Periodically, PGE assesses whether inventories are recorded at the lower of average cost or net realizable value.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Current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assets consist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ind w:right="201"/>
              <w:spacing w:after="0"/>
              <w:rPr>
                <w:sz w:val="20"/>
                <w:szCs w:val="20"/>
                <w:color w:val="auto"/>
              </w:rPr>
            </w:pPr>
            <w:r>
              <w:rPr>
                <w:rFonts w:ascii="Times New Roman" w:cs="Times New Roman" w:eastAsia="Times New Roman" w:hAnsi="Times New Roman"/>
                <w:sz w:val="20"/>
                <w:szCs w:val="20"/>
                <w:b w:val="1"/>
                <w:bCs w:val="1"/>
                <w:color w:val="155CAB"/>
                <w:w w:val="99"/>
              </w:rPr>
              <w:t>September 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right="201"/>
              <w:spacing w:after="0"/>
              <w:rPr>
                <w:sz w:val="20"/>
                <w:szCs w:val="20"/>
                <w:color w:val="auto"/>
              </w:rPr>
            </w:pPr>
            <w:r>
              <w:rPr>
                <w:rFonts w:ascii="Times New Roman" w:cs="Times New Roman" w:eastAsia="Times New Roman" w:hAnsi="Times New Roman"/>
                <w:sz w:val="20"/>
                <w:szCs w:val="20"/>
                <w:b w:val="1"/>
                <w:bCs w:val="1"/>
                <w:color w:val="155CAB"/>
                <w:w w:val="99"/>
              </w:rPr>
              <w:t>December 31,</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155CAB"/>
                <w:w w:val="99"/>
              </w:rPr>
              <w:t>2026</w:t>
            </w:r>
          </w:p>
        </w:tc>
        <w:tc>
          <w:tcPr>
            <w:tcW w:w="1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155CAB"/>
                <w:w w:val="99"/>
              </w:rPr>
              <w:t>2025</w:t>
            </w:r>
          </w:p>
        </w:tc>
        <w:tc>
          <w:tcPr>
            <w:tcW w:w="0" w:type="dxa"/>
            <w:vAlign w:val="bottom"/>
          </w:tcPr>
          <w:p>
            <w:pPr>
              <w:spacing w:after="0"/>
              <w:rPr>
                <w:sz w:val="1"/>
                <w:szCs w:val="1"/>
                <w:color w:val="auto"/>
              </w:rPr>
            </w:pPr>
          </w:p>
        </w:tc>
      </w:tr>
      <w:tr>
        <w:trPr>
          <w:trHeight w:val="223"/>
        </w:trPr>
        <w:tc>
          <w:tcPr>
            <w:tcW w:w="636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Prepaid expenses</w:t>
            </w:r>
          </w:p>
        </w:tc>
        <w:tc>
          <w:tcPr>
            <w:tcW w:w="148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93</w:t>
            </w:r>
          </w:p>
        </w:tc>
        <w:tc>
          <w:tcPr>
            <w:tcW w:w="30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Margin deposits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Assets from price risk management activities</w:t>
            </w:r>
          </w:p>
        </w:tc>
        <w:tc>
          <w:tcPr>
            <w:tcW w:w="136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23"/>
        </w:trPr>
        <w:tc>
          <w:tcPr>
            <w:tcW w:w="63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Other current assets</w:t>
            </w:r>
          </w:p>
        </w:tc>
        <w:tc>
          <w:tcPr>
            <w:tcW w:w="14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150</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Electric Utility Plant, Net</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63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Electric utility plant, net consists of the following (in millions):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ind w:right="201"/>
              <w:spacing w:after="0"/>
              <w:rPr>
                <w:sz w:val="20"/>
                <w:szCs w:val="20"/>
                <w:color w:val="auto"/>
              </w:rPr>
            </w:pPr>
            <w:r>
              <w:rPr>
                <w:rFonts w:ascii="Times New Roman" w:cs="Times New Roman" w:eastAsia="Times New Roman" w:hAnsi="Times New Roman"/>
                <w:sz w:val="20"/>
                <w:szCs w:val="20"/>
                <w:b w:val="1"/>
                <w:bCs w:val="1"/>
                <w:color w:val="155CAB"/>
                <w:w w:val="99"/>
              </w:rPr>
              <w:t>September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center"/>
              <w:ind w:right="201"/>
              <w:spacing w:after="0"/>
              <w:rPr>
                <w:sz w:val="20"/>
                <w:szCs w:val="20"/>
                <w:color w:val="auto"/>
              </w:rPr>
            </w:pPr>
            <w:r>
              <w:rPr>
                <w:rFonts w:ascii="Times New Roman" w:cs="Times New Roman" w:eastAsia="Times New Roman" w:hAnsi="Times New Roman"/>
                <w:sz w:val="20"/>
                <w:szCs w:val="20"/>
                <w:b w:val="1"/>
                <w:bCs w:val="1"/>
                <w:color w:val="155CAB"/>
                <w:w w:val="99"/>
              </w:rPr>
              <w:t>December 31,</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155CAB"/>
                <w:w w:val="99"/>
              </w:rPr>
              <w:t>2026</w:t>
            </w:r>
          </w:p>
        </w:tc>
        <w:tc>
          <w:tcPr>
            <w:tcW w:w="1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155CAB"/>
                <w:w w:val="99"/>
              </w:rPr>
              <w:t>2025</w:t>
            </w:r>
          </w:p>
        </w:tc>
        <w:tc>
          <w:tcPr>
            <w:tcW w:w="0" w:type="dxa"/>
            <w:vAlign w:val="bottom"/>
          </w:tcPr>
          <w:p>
            <w:pPr>
              <w:spacing w:after="0"/>
              <w:rPr>
                <w:sz w:val="1"/>
                <w:szCs w:val="1"/>
                <w:color w:val="auto"/>
              </w:rPr>
            </w:pPr>
          </w:p>
        </w:tc>
      </w:tr>
      <w:tr>
        <w:trPr>
          <w:trHeight w:val="223"/>
        </w:trPr>
        <w:tc>
          <w:tcPr>
            <w:tcW w:w="636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Electric utility plant in-service</w:t>
            </w:r>
          </w:p>
        </w:tc>
        <w:tc>
          <w:tcPr>
            <w:tcW w:w="148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16,469</w:t>
            </w:r>
          </w:p>
        </w:tc>
        <w:tc>
          <w:tcPr>
            <w:tcW w:w="30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15,996</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work-in-progress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954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223"/>
        </w:trPr>
        <w:tc>
          <w:tcPr>
            <w:tcW w:w="6360" w:type="dxa"/>
            <w:vAlign w:val="bottom"/>
            <w:shd w:val="clear" w:color="auto" w:fill="EFEFEF"/>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cost</w:t>
            </w:r>
          </w:p>
        </w:tc>
        <w:tc>
          <w:tcPr>
            <w:tcW w:w="13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17,423</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16,412</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(5,419)</w:t>
            </w:r>
          </w:p>
        </w:tc>
        <w:tc>
          <w:tcPr>
            <w:tcW w:w="0" w:type="dxa"/>
            <w:vAlign w:val="bottom"/>
          </w:tcPr>
          <w:p>
            <w:pPr>
              <w:spacing w:after="0"/>
              <w:rPr>
                <w:sz w:val="1"/>
                <w:szCs w:val="1"/>
                <w:color w:val="auto"/>
              </w:rPr>
            </w:pPr>
          </w:p>
        </w:tc>
      </w:tr>
      <w:tr>
        <w:trPr>
          <w:trHeight w:val="243"/>
        </w:trPr>
        <w:tc>
          <w:tcPr>
            <w:tcW w:w="6360" w:type="dxa"/>
            <w:vAlign w:val="bottom"/>
            <w:shd w:val="clear" w:color="auto" w:fill="EFEFEF"/>
          </w:tcPr>
          <w:p>
            <w:pPr>
              <w:ind w:left="200"/>
              <w:spacing w:after="0" w:line="223" w:lineRule="exact"/>
              <w:rPr>
                <w:sz w:val="20"/>
                <w:szCs w:val="20"/>
                <w:color w:val="auto"/>
              </w:rPr>
            </w:pPr>
            <w:r>
              <w:rPr>
                <w:rFonts w:ascii="Times New Roman" w:cs="Times New Roman" w:eastAsia="Times New Roman" w:hAnsi="Times New Roman"/>
                <w:sz w:val="20"/>
                <w:szCs w:val="20"/>
                <w:color w:val="auto"/>
              </w:rPr>
              <w:t>Electric utility plant, net</w:t>
            </w:r>
          </w:p>
        </w:tc>
        <w:tc>
          <w:tcPr>
            <w:tcW w:w="148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11,712</w:t>
            </w:r>
          </w:p>
        </w:tc>
        <w:tc>
          <w:tcPr>
            <w:tcW w:w="30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10,993</w:t>
            </w:r>
          </w:p>
        </w:tc>
        <w:tc>
          <w:tcPr>
            <w:tcW w:w="0" w:type="dxa"/>
            <w:vAlign w:val="bottom"/>
          </w:tcPr>
          <w:p>
            <w:pPr>
              <w:spacing w:after="0"/>
              <w:rPr>
                <w:sz w:val="1"/>
                <w:szCs w:val="1"/>
                <w:color w:val="auto"/>
              </w:rPr>
            </w:pPr>
          </w:p>
        </w:tc>
      </w:tr>
      <w:tr>
        <w:trPr>
          <w:trHeight w:val="20"/>
        </w:trPr>
        <w:tc>
          <w:tcPr>
            <w:tcW w:w="6360" w:type="dxa"/>
            <w:vAlign w:val="bottom"/>
            <w:tcBorders>
              <w:top w:val="single" w:sz="8" w:color="EFEFEF"/>
            </w:tcBorders>
            <w:shd w:val="clear" w:color="auto" w:fill="EFEFEF"/>
          </w:tcPr>
          <w:p>
            <w:pPr>
              <w:spacing w:after="0" w:line="20" w:lineRule="exact"/>
              <w:rPr>
                <w:sz w:val="1"/>
                <w:szCs w:val="1"/>
                <w:color w:val="auto"/>
              </w:rPr>
            </w:pPr>
          </w:p>
        </w:tc>
        <w:tc>
          <w:tcPr>
            <w:tcW w:w="1360" w:type="dxa"/>
            <w:vAlign w:val="bottom"/>
            <w:tcBorders>
              <w:top w:val="single" w:sz="8" w:color="EFEFEF"/>
            </w:tcBorders>
            <w:shd w:val="clear" w:color="auto" w:fill="EFEFE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FEFEF"/>
            </w:tcBorders>
            <w:shd w:val="clear" w:color="auto" w:fill="EFEFE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-1979295</wp:posOffset>
            </wp:positionV>
            <wp:extent cx="111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Accumulated depreciation and amortization in the table above includes accumulated amortization related to intangible assets of $670 million and $622 million as of September 30, 2026 and December 31, 2025, respectively. Amortization expense related to intangible assets was $23 million and $19 million for the three months ended September 30, 2026 and 2025, respectively, and $64 million and $57 million for the nine months ended September 30, 2026 and 2025, respectively. The Company’s intangible assets primarily consist of computer software development and hydro licensing costs.</w:t>
      </w:r>
    </w:p>
    <w:p>
      <w:pPr>
        <w:spacing w:after="0" w:line="181" w:lineRule="exact"/>
        <w:rPr>
          <w:sz w:val="20"/>
          <w:szCs w:val="20"/>
          <w:color w:val="auto"/>
        </w:rPr>
      </w:pPr>
    </w:p>
    <w:p>
      <w:pPr>
        <w:ind w:right="880"/>
        <w:spacing w:after="0" w:line="273" w:lineRule="auto"/>
        <w:rPr>
          <w:sz w:val="20"/>
          <w:szCs w:val="20"/>
          <w:color w:val="auto"/>
        </w:rPr>
      </w:pPr>
      <w:r>
        <w:rPr>
          <w:rFonts w:ascii="Times New Roman" w:cs="Times New Roman" w:eastAsia="Times New Roman" w:hAnsi="Times New Roman"/>
          <w:sz w:val="20"/>
          <w:szCs w:val="20"/>
          <w:i w:val="1"/>
          <w:iCs w:val="1"/>
          <w:color w:val="auto"/>
        </w:rPr>
        <w:t>Battery storage agreements</w:t>
      </w:r>
      <w:r>
        <w:rPr>
          <w:rFonts w:ascii="Times New Roman" w:cs="Times New Roman" w:eastAsia="Times New Roman" w:hAnsi="Times New Roman"/>
          <w:sz w:val="20"/>
          <w:szCs w:val="20"/>
          <w:color w:val="auto"/>
        </w:rPr>
        <w:t>—PGE has entered into three battery storage PPAs that are expected to be accounted for as leases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commencement. These projects are summarized as follows:</w:t>
      </w:r>
    </w:p>
    <w:p>
      <w:pPr>
        <w:spacing w:after="0" w:line="48" w:lineRule="exact"/>
        <w:rPr>
          <w:sz w:val="20"/>
          <w:szCs w:val="20"/>
          <w:color w:val="auto"/>
        </w:rPr>
      </w:pPr>
    </w:p>
    <w:p>
      <w:pPr>
        <w:ind w:left="1020" w:right="6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January 9, 2026 PGE entered into an agreement with an expected lease commencement date in December 2027 and a term of 20 years. The expected total fixed contract consideration will approximate $612 million over the lease term;</w:t>
      </w:r>
    </w:p>
    <w:p>
      <w:pPr>
        <w:spacing w:after="0" w:line="51"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February 15, 2026, PGE entered into an agreement with an expected lease commencement date in December 2027 and a term of 30 years. The expected total fixed contract consideration will approximate $331 million over the lease term; and</w:t>
      </w:r>
    </w:p>
    <w:p>
      <w:pPr>
        <w:spacing w:after="0" w:line="51"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February 15, 2026, PGE entered into an agreement with an expected lease commencement date in June 2028 and a term of 20 years. The expected total fixed contract consideration will approximate $636 million over the lease term.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Assets and Liabilities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assets and liabilities consist of the following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2480" w:type="dxa"/>
            <w:vAlign w:val="bottom"/>
            <w:tcBorders>
              <w:bottom w:val="single" w:sz="8" w:color="155CAB"/>
            </w:tcBorders>
            <w:gridSpan w:val="4"/>
          </w:tcPr>
          <w:p>
            <w:pPr>
              <w:jc w:val="right"/>
              <w:ind w:right="461"/>
              <w:spacing w:after="0"/>
              <w:rPr>
                <w:sz w:val="20"/>
                <w:szCs w:val="20"/>
                <w:color w:val="auto"/>
              </w:rPr>
            </w:pPr>
            <w:r>
              <w:rPr>
                <w:rFonts w:ascii="Times New Roman" w:cs="Times New Roman" w:eastAsia="Times New Roman" w:hAnsi="Times New Roman"/>
                <w:sz w:val="20"/>
                <w:szCs w:val="20"/>
                <w:b w:val="1"/>
                <w:bCs w:val="1"/>
                <w:color w:val="155CAB"/>
              </w:rPr>
              <w:t>September 30, 2026</w:t>
            </w:r>
          </w:p>
        </w:tc>
        <w:tc>
          <w:tcPr>
            <w:tcW w:w="14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1920" w:type="dxa"/>
            <w:vAlign w:val="bottom"/>
            <w:tcBorders>
              <w:bottom w:val="single" w:sz="8" w:color="155CAB"/>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155CAB"/>
              </w:rPr>
              <w:t>December 31, 2025</w:t>
            </w:r>
          </w:p>
        </w:tc>
        <w:tc>
          <w:tcPr>
            <w:tcW w:w="580" w:type="dxa"/>
            <w:vAlign w:val="bottom"/>
            <w:tcBorders>
              <w:bottom w:val="single" w:sz="8" w:color="155CAB"/>
            </w:tcBorders>
          </w:tcPr>
          <w:p>
            <w:pPr>
              <w:spacing w:after="0"/>
              <w:rPr>
                <w:sz w:val="22"/>
                <w:szCs w:val="22"/>
                <w:color w:val="auto"/>
              </w:rPr>
            </w:pPr>
          </w:p>
        </w:tc>
      </w:tr>
      <w:tr>
        <w:trPr>
          <w:trHeight w:val="223"/>
        </w:trPr>
        <w:tc>
          <w:tcPr>
            <w:tcW w:w="5800" w:type="dxa"/>
            <w:vAlign w:val="bottom"/>
          </w:tcPr>
          <w:p>
            <w:pPr>
              <w:spacing w:after="0"/>
              <w:rPr>
                <w:sz w:val="19"/>
                <w:szCs w:val="19"/>
                <w:color w:val="auto"/>
              </w:rPr>
            </w:pPr>
          </w:p>
        </w:tc>
        <w:tc>
          <w:tcPr>
            <w:tcW w:w="160" w:type="dxa"/>
            <w:vAlign w:val="bottom"/>
            <w:tcBorders>
              <w:bottom w:val="single" w:sz="8" w:color="155CAB"/>
            </w:tcBorders>
          </w:tcPr>
          <w:p>
            <w:pPr>
              <w:spacing w:after="0"/>
              <w:rPr>
                <w:sz w:val="19"/>
                <w:szCs w:val="19"/>
                <w:color w:val="auto"/>
              </w:rPr>
            </w:pPr>
          </w:p>
        </w:tc>
        <w:tc>
          <w:tcPr>
            <w:tcW w:w="1100" w:type="dxa"/>
            <w:vAlign w:val="bottom"/>
            <w:tcBorders>
              <w:bottom w:val="single" w:sz="8" w:color="155CAB"/>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b w:val="1"/>
                <w:bCs w:val="1"/>
                <w:color w:val="155CAB"/>
              </w:rPr>
              <w:t>Current</w:t>
            </w:r>
          </w:p>
        </w:tc>
        <w:tc>
          <w:tcPr>
            <w:tcW w:w="120" w:type="dxa"/>
            <w:vAlign w:val="bottom"/>
          </w:tcPr>
          <w:p>
            <w:pPr>
              <w:spacing w:after="0"/>
              <w:rPr>
                <w:sz w:val="19"/>
                <w:szCs w:val="19"/>
                <w:color w:val="auto"/>
              </w:rPr>
            </w:pPr>
          </w:p>
        </w:tc>
        <w:tc>
          <w:tcPr>
            <w:tcW w:w="1260" w:type="dxa"/>
            <w:vAlign w:val="bottom"/>
            <w:tcBorders>
              <w:bottom w:val="single" w:sz="8" w:color="155CAB"/>
            </w:tcBorders>
            <w:gridSpan w:val="2"/>
          </w:tcPr>
          <w:p>
            <w:pPr>
              <w:jc w:val="right"/>
              <w:ind w:right="81"/>
              <w:spacing w:after="0" w:line="223" w:lineRule="exact"/>
              <w:rPr>
                <w:sz w:val="20"/>
                <w:szCs w:val="20"/>
                <w:color w:val="auto"/>
              </w:rPr>
            </w:pPr>
            <w:r>
              <w:rPr>
                <w:rFonts w:ascii="Times New Roman" w:cs="Times New Roman" w:eastAsia="Times New Roman" w:hAnsi="Times New Roman"/>
                <w:sz w:val="20"/>
                <w:szCs w:val="20"/>
                <w:b w:val="1"/>
                <w:bCs w:val="1"/>
                <w:color w:val="155CAB"/>
              </w:rPr>
              <w:t>Noncurrent</w:t>
            </w:r>
          </w:p>
        </w:tc>
        <w:tc>
          <w:tcPr>
            <w:tcW w:w="140" w:type="dxa"/>
            <w:vAlign w:val="bottom"/>
          </w:tcPr>
          <w:p>
            <w:pPr>
              <w:spacing w:after="0"/>
              <w:rPr>
                <w:sz w:val="19"/>
                <w:szCs w:val="19"/>
                <w:color w:val="auto"/>
              </w:rPr>
            </w:pPr>
          </w:p>
        </w:tc>
        <w:tc>
          <w:tcPr>
            <w:tcW w:w="160" w:type="dxa"/>
            <w:vAlign w:val="bottom"/>
            <w:tcBorders>
              <w:bottom w:val="single" w:sz="8" w:color="155CAB"/>
            </w:tcBorders>
          </w:tcPr>
          <w:p>
            <w:pPr>
              <w:spacing w:after="0"/>
              <w:rPr>
                <w:sz w:val="19"/>
                <w:szCs w:val="19"/>
                <w:color w:val="auto"/>
              </w:rPr>
            </w:pPr>
          </w:p>
        </w:tc>
        <w:tc>
          <w:tcPr>
            <w:tcW w:w="1100" w:type="dxa"/>
            <w:vAlign w:val="bottom"/>
            <w:tcBorders>
              <w:bottom w:val="single" w:sz="8" w:color="155CAB"/>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b w:val="1"/>
                <w:bCs w:val="1"/>
                <w:color w:val="155CAB"/>
              </w:rPr>
              <w:t>Current</w:t>
            </w:r>
          </w:p>
        </w:tc>
        <w:tc>
          <w:tcPr>
            <w:tcW w:w="140" w:type="dxa"/>
            <w:vAlign w:val="bottom"/>
          </w:tcPr>
          <w:p>
            <w:pPr>
              <w:spacing w:after="0"/>
              <w:rPr>
                <w:sz w:val="19"/>
                <w:szCs w:val="19"/>
                <w:color w:val="auto"/>
              </w:rPr>
            </w:pPr>
          </w:p>
        </w:tc>
        <w:tc>
          <w:tcPr>
            <w:tcW w:w="1260" w:type="dxa"/>
            <w:vAlign w:val="bottom"/>
            <w:tcBorders>
              <w:bottom w:val="single" w:sz="8" w:color="155CAB"/>
            </w:tcBorders>
            <w:gridSpan w:val="2"/>
          </w:tcPr>
          <w:p>
            <w:pPr>
              <w:jc w:val="right"/>
              <w:ind w:right="101"/>
              <w:spacing w:after="0" w:line="223" w:lineRule="exact"/>
              <w:rPr>
                <w:sz w:val="20"/>
                <w:szCs w:val="20"/>
                <w:color w:val="auto"/>
              </w:rPr>
            </w:pPr>
            <w:r>
              <w:rPr>
                <w:rFonts w:ascii="Times New Roman" w:cs="Times New Roman" w:eastAsia="Times New Roman" w:hAnsi="Times New Roman"/>
                <w:sz w:val="20"/>
                <w:szCs w:val="20"/>
                <w:b w:val="1"/>
                <w:bCs w:val="1"/>
                <w:color w:val="155CAB"/>
              </w:rPr>
              <w:t>Noncurrent</w:t>
            </w:r>
          </w:p>
        </w:tc>
      </w:tr>
      <w:tr>
        <w:trPr>
          <w:trHeight w:val="223"/>
        </w:trPr>
        <w:tc>
          <w:tcPr>
            <w:tcW w:w="58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Regulatory assets:</w:t>
            </w: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8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580" w:type="dxa"/>
            <w:vAlign w:val="bottom"/>
            <w:shd w:val="clear" w:color="auto" w:fill="EFEFEF"/>
          </w:tcPr>
          <w:p>
            <w:pPr>
              <w:spacing w:after="0"/>
              <w:rPr>
                <w:sz w:val="19"/>
                <w:szCs w:val="19"/>
                <w:color w:val="auto"/>
              </w:rPr>
            </w:pP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Price risk management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109</w:t>
            </w:r>
          </w:p>
        </w:tc>
        <w:tc>
          <w:tcPr>
            <w:tcW w:w="52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127</w:t>
            </w:r>
          </w:p>
        </w:tc>
        <w:tc>
          <w:tcPr>
            <w:tcW w:w="820" w:type="dxa"/>
            <w:vAlign w:val="bottom"/>
            <w:gridSpan w:val="2"/>
          </w:tcPr>
          <w:p>
            <w:pPr>
              <w:jc w:val="right"/>
              <w:ind w:right="48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w:t>
            </w:r>
          </w:p>
        </w:tc>
      </w:tr>
      <w:tr>
        <w:trPr>
          <w:trHeight w:val="229"/>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Pension and other postretirement plans</w:t>
            </w: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8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64</w:t>
            </w:r>
          </w:p>
        </w:tc>
        <w:tc>
          <w:tcPr>
            <w:tcW w:w="14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58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Trojan decommissioning activities</w:t>
            </w: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161</w:t>
            </w:r>
          </w:p>
        </w:tc>
      </w:tr>
      <w:tr>
        <w:trPr>
          <w:trHeight w:val="230"/>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February 2021 ice storm and damage</w:t>
            </w: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8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27</w:t>
            </w:r>
          </w:p>
        </w:tc>
        <w:tc>
          <w:tcPr>
            <w:tcW w:w="14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58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January 2024 storm and damage</w:t>
            </w: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Reliability contingency events</w:t>
            </w: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8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58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2020 Labor Day wildfire</w:t>
            </w: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Wildfire mitigation</w:t>
            </w: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35</w:t>
            </w:r>
          </w:p>
        </w:tc>
        <w:tc>
          <w:tcPr>
            <w:tcW w:w="1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8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58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Portland Harbor environmental remediation account</w:t>
            </w: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5800" w:type="dxa"/>
            <w:vAlign w:val="bottom"/>
            <w:tcBorders>
              <w:bottom w:val="single" w:sz="8" w:color="EFEFEF"/>
            </w:tcBorders>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tcBorders>
              <w:bottom w:val="single" w:sz="8" w:color="EFEFEF"/>
            </w:tcBorders>
            <w:shd w:val="clear" w:color="auto" w:fill="EFEFEF"/>
          </w:tcPr>
          <w:p>
            <w:pPr>
              <w:spacing w:after="0"/>
              <w:rPr>
                <w:sz w:val="19"/>
                <w:szCs w:val="19"/>
                <w:color w:val="auto"/>
              </w:rPr>
            </w:pPr>
          </w:p>
        </w:tc>
        <w:tc>
          <w:tcPr>
            <w:tcW w:w="400" w:type="dxa"/>
            <w:vAlign w:val="bottom"/>
            <w:tcBorders>
              <w:bottom w:val="single" w:sz="8" w:color="auto"/>
            </w:tcBorders>
            <w:shd w:val="clear" w:color="auto" w:fill="EFEFEF"/>
          </w:tcPr>
          <w:p>
            <w:pPr>
              <w:spacing w:after="0"/>
              <w:rPr>
                <w:sz w:val="19"/>
                <w:szCs w:val="19"/>
                <w:color w:val="auto"/>
              </w:rPr>
            </w:pPr>
          </w:p>
        </w:tc>
        <w:tc>
          <w:tcPr>
            <w:tcW w:w="8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95</w:t>
            </w:r>
          </w:p>
        </w:tc>
        <w:tc>
          <w:tcPr>
            <w:tcW w:w="14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Borders>
              <w:bottom w:val="single" w:sz="8" w:color="EFEFEF"/>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spacing w:after="0"/>
              <w:rPr>
                <w:sz w:val="19"/>
                <w:szCs w:val="19"/>
                <w:color w:val="auto"/>
              </w:rPr>
            </w:pPr>
          </w:p>
        </w:tc>
        <w:tc>
          <w:tcPr>
            <w:tcW w:w="58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98</w:t>
            </w: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regulatory assets</w:t>
            </w: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257</w:t>
            </w:r>
          </w:p>
        </w:tc>
        <w:tc>
          <w:tcPr>
            <w:tcW w:w="520" w:type="dxa"/>
            <w:vAlign w:val="bottom"/>
            <w:gridSpan w:val="2"/>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513</w:t>
            </w:r>
          </w:p>
        </w:tc>
        <w:tc>
          <w:tcPr>
            <w:tcW w:w="3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168</w:t>
            </w:r>
          </w:p>
        </w:tc>
        <w:tc>
          <w:tcPr>
            <w:tcW w:w="820" w:type="dxa"/>
            <w:vAlign w:val="bottom"/>
            <w:gridSpan w:val="2"/>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619</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00" w:type="dxa"/>
            <w:vAlign w:val="bottom"/>
            <w:shd w:val="clear" w:color="auto" w:fill="EFEFEF"/>
          </w:tcPr>
          <w:p>
            <w:pPr>
              <w:spacing w:after="0" w:line="210" w:lineRule="exact"/>
              <w:rPr>
                <w:sz w:val="20"/>
                <w:szCs w:val="20"/>
                <w:color w:val="auto"/>
              </w:rPr>
            </w:pPr>
            <w:r>
              <w:rPr>
                <w:rFonts w:ascii="Times New Roman" w:cs="Times New Roman" w:eastAsia="Times New Roman" w:hAnsi="Times New Roman"/>
                <w:sz w:val="20"/>
                <w:szCs w:val="20"/>
                <w:color w:val="auto"/>
              </w:rPr>
              <w:t>Regulatory liabilities:</w:t>
            </w:r>
          </w:p>
        </w:tc>
        <w:tc>
          <w:tcPr>
            <w:tcW w:w="160" w:type="dxa"/>
            <w:vAlign w:val="bottom"/>
            <w:shd w:val="clear" w:color="auto" w:fill="EFEFEF"/>
          </w:tcPr>
          <w:p>
            <w:pPr>
              <w:spacing w:after="0"/>
              <w:rPr>
                <w:sz w:val="18"/>
                <w:szCs w:val="18"/>
                <w:color w:val="auto"/>
              </w:rPr>
            </w:pPr>
          </w:p>
        </w:tc>
        <w:tc>
          <w:tcPr>
            <w:tcW w:w="1100" w:type="dxa"/>
            <w:vAlign w:val="bottom"/>
            <w:shd w:val="clear" w:color="auto" w:fill="EFEFEF"/>
          </w:tcPr>
          <w:p>
            <w:pPr>
              <w:spacing w:after="0"/>
              <w:rPr>
                <w:sz w:val="18"/>
                <w:szCs w:val="18"/>
                <w:color w:val="auto"/>
              </w:rPr>
            </w:pPr>
          </w:p>
        </w:tc>
        <w:tc>
          <w:tcPr>
            <w:tcW w:w="120" w:type="dxa"/>
            <w:vAlign w:val="bottom"/>
            <w:shd w:val="clear" w:color="auto" w:fill="EFEFEF"/>
          </w:tcPr>
          <w:p>
            <w:pPr>
              <w:spacing w:after="0"/>
              <w:rPr>
                <w:sz w:val="18"/>
                <w:szCs w:val="18"/>
                <w:color w:val="auto"/>
              </w:rPr>
            </w:pPr>
          </w:p>
        </w:tc>
        <w:tc>
          <w:tcPr>
            <w:tcW w:w="400" w:type="dxa"/>
            <w:vAlign w:val="bottom"/>
            <w:shd w:val="clear" w:color="auto" w:fill="EFEFEF"/>
          </w:tcPr>
          <w:p>
            <w:pPr>
              <w:spacing w:after="0"/>
              <w:rPr>
                <w:sz w:val="18"/>
                <w:szCs w:val="18"/>
                <w:color w:val="auto"/>
              </w:rPr>
            </w:pPr>
          </w:p>
        </w:tc>
        <w:tc>
          <w:tcPr>
            <w:tcW w:w="860" w:type="dxa"/>
            <w:vAlign w:val="bottom"/>
            <w:shd w:val="clear" w:color="auto" w:fill="EFEFEF"/>
          </w:tcPr>
          <w:p>
            <w:pPr>
              <w:spacing w:after="0"/>
              <w:rPr>
                <w:sz w:val="18"/>
                <w:szCs w:val="18"/>
                <w:color w:val="auto"/>
              </w:rPr>
            </w:pPr>
          </w:p>
        </w:tc>
        <w:tc>
          <w:tcPr>
            <w:tcW w:w="140" w:type="dxa"/>
            <w:vAlign w:val="bottom"/>
            <w:shd w:val="clear" w:color="auto" w:fill="EFEFEF"/>
          </w:tcPr>
          <w:p>
            <w:pPr>
              <w:spacing w:after="0"/>
              <w:rPr>
                <w:sz w:val="18"/>
                <w:szCs w:val="18"/>
                <w:color w:val="auto"/>
              </w:rPr>
            </w:pPr>
          </w:p>
        </w:tc>
        <w:tc>
          <w:tcPr>
            <w:tcW w:w="160" w:type="dxa"/>
            <w:vAlign w:val="bottom"/>
            <w:shd w:val="clear" w:color="auto" w:fill="EFEFEF"/>
          </w:tcPr>
          <w:p>
            <w:pPr>
              <w:spacing w:after="0"/>
              <w:rPr>
                <w:sz w:val="18"/>
                <w:szCs w:val="18"/>
                <w:color w:val="auto"/>
              </w:rPr>
            </w:pPr>
          </w:p>
        </w:tc>
        <w:tc>
          <w:tcPr>
            <w:tcW w:w="1100" w:type="dxa"/>
            <w:vAlign w:val="bottom"/>
            <w:shd w:val="clear" w:color="auto" w:fill="EFEFEF"/>
          </w:tcPr>
          <w:p>
            <w:pPr>
              <w:spacing w:after="0"/>
              <w:rPr>
                <w:sz w:val="18"/>
                <w:szCs w:val="18"/>
                <w:color w:val="auto"/>
              </w:rPr>
            </w:pPr>
          </w:p>
        </w:tc>
        <w:tc>
          <w:tcPr>
            <w:tcW w:w="140" w:type="dxa"/>
            <w:vAlign w:val="bottom"/>
            <w:shd w:val="clear" w:color="auto" w:fill="EFEFEF"/>
          </w:tcPr>
          <w:p>
            <w:pPr>
              <w:spacing w:after="0"/>
              <w:rPr>
                <w:sz w:val="18"/>
                <w:szCs w:val="18"/>
                <w:color w:val="auto"/>
              </w:rPr>
            </w:pPr>
          </w:p>
        </w:tc>
        <w:tc>
          <w:tcPr>
            <w:tcW w:w="680" w:type="dxa"/>
            <w:vAlign w:val="bottom"/>
            <w:shd w:val="clear" w:color="auto" w:fill="EFEFEF"/>
          </w:tcPr>
          <w:p>
            <w:pPr>
              <w:spacing w:after="0"/>
              <w:rPr>
                <w:sz w:val="18"/>
                <w:szCs w:val="18"/>
                <w:color w:val="auto"/>
              </w:rPr>
            </w:pPr>
          </w:p>
        </w:tc>
        <w:tc>
          <w:tcPr>
            <w:tcW w:w="580" w:type="dxa"/>
            <w:vAlign w:val="bottom"/>
            <w:shd w:val="clear" w:color="auto" w:fill="EFEFEF"/>
          </w:tcPr>
          <w:p>
            <w:pPr>
              <w:spacing w:after="0"/>
              <w:rPr>
                <w:sz w:val="18"/>
                <w:szCs w:val="18"/>
                <w:color w:val="auto"/>
              </w:rPr>
            </w:pPr>
          </w:p>
        </w:tc>
      </w:tr>
      <w:tr>
        <w:trPr>
          <w:trHeight w:val="229"/>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Asset retirement removal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1,279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48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3"/>
              </w:rPr>
              <w:t>1,245</w:t>
            </w:r>
          </w:p>
        </w:tc>
      </w:tr>
      <w:tr>
        <w:trPr>
          <w:trHeight w:val="230"/>
        </w:trPr>
        <w:tc>
          <w:tcPr>
            <w:tcW w:w="58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Deferred income taxes</w:t>
            </w: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8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215</w:t>
            </w:r>
          </w:p>
        </w:tc>
        <w:tc>
          <w:tcPr>
            <w:tcW w:w="14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58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228</w:t>
            </w:r>
          </w:p>
        </w:tc>
      </w:tr>
      <w:tr>
        <w:trPr>
          <w:trHeight w:val="229"/>
        </w:trPr>
        <w:tc>
          <w:tcPr>
            <w:tcW w:w="5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Clearwater RAC</w:t>
            </w: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5800" w:type="dxa"/>
            <w:vAlign w:val="bottom"/>
            <w:tcBorders>
              <w:bottom w:val="single" w:sz="8" w:color="EFEFEF"/>
            </w:tcBorders>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59</w:t>
            </w:r>
          </w:p>
        </w:tc>
        <w:tc>
          <w:tcPr>
            <w:tcW w:w="120" w:type="dxa"/>
            <w:vAlign w:val="bottom"/>
            <w:tcBorders>
              <w:bottom w:val="single" w:sz="8" w:color="EFEFEF"/>
            </w:tcBorders>
            <w:shd w:val="clear" w:color="auto" w:fill="EFEFEF"/>
          </w:tcPr>
          <w:p>
            <w:pPr>
              <w:spacing w:after="0"/>
              <w:rPr>
                <w:sz w:val="19"/>
                <w:szCs w:val="19"/>
                <w:color w:val="auto"/>
              </w:rPr>
            </w:pPr>
          </w:p>
        </w:tc>
        <w:tc>
          <w:tcPr>
            <w:tcW w:w="400" w:type="dxa"/>
            <w:vAlign w:val="bottom"/>
            <w:tcBorders>
              <w:bottom w:val="single" w:sz="8" w:color="auto"/>
            </w:tcBorders>
            <w:shd w:val="clear" w:color="auto" w:fill="EFEFEF"/>
          </w:tcPr>
          <w:p>
            <w:pPr>
              <w:spacing w:after="0"/>
              <w:rPr>
                <w:sz w:val="19"/>
                <w:szCs w:val="19"/>
                <w:color w:val="auto"/>
              </w:rPr>
            </w:pPr>
          </w:p>
        </w:tc>
        <w:tc>
          <w:tcPr>
            <w:tcW w:w="8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30</w:t>
            </w:r>
          </w:p>
        </w:tc>
        <w:tc>
          <w:tcPr>
            <w:tcW w:w="14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53</w:t>
            </w:r>
          </w:p>
        </w:tc>
        <w:tc>
          <w:tcPr>
            <w:tcW w:w="140" w:type="dxa"/>
            <w:vAlign w:val="bottom"/>
            <w:tcBorders>
              <w:bottom w:val="single" w:sz="8" w:color="EFEFEF"/>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spacing w:after="0"/>
              <w:rPr>
                <w:sz w:val="19"/>
                <w:szCs w:val="19"/>
                <w:color w:val="auto"/>
              </w:rPr>
            </w:pPr>
          </w:p>
        </w:tc>
        <w:tc>
          <w:tcPr>
            <w:tcW w:w="58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16</w:t>
            </w:r>
          </w:p>
        </w:tc>
      </w:tr>
      <w:tr>
        <w:trPr>
          <w:trHeight w:val="223"/>
        </w:trPr>
        <w:tc>
          <w:tcPr>
            <w:tcW w:w="5800" w:type="dxa"/>
            <w:vAlign w:val="bottom"/>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regulatory liabilities</w:t>
            </w: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65</w:t>
            </w:r>
          </w:p>
        </w:tc>
        <w:tc>
          <w:tcPr>
            <w:tcW w:w="520" w:type="dxa"/>
            <w:vAlign w:val="bottom"/>
            <w:gridSpan w:val="2"/>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w w:val="79"/>
              </w:rPr>
              <w:t>* $</w:t>
            </w:r>
          </w:p>
        </w:tc>
        <w:tc>
          <w:tcPr>
            <w:tcW w:w="8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1,524</w:t>
            </w:r>
          </w:p>
        </w:tc>
        <w:tc>
          <w:tcPr>
            <w:tcW w:w="3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74</w:t>
            </w:r>
          </w:p>
        </w:tc>
        <w:tc>
          <w:tcPr>
            <w:tcW w:w="820" w:type="dxa"/>
            <w:vAlign w:val="bottom"/>
            <w:gridSpan w:val="2"/>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w w:val="87"/>
              </w:rPr>
              <w:t>* $</w:t>
            </w:r>
          </w:p>
        </w:tc>
        <w:tc>
          <w:tcPr>
            <w:tcW w:w="58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93"/>
              </w:rPr>
              <w:t>1,490</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-1087755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-1087755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-1087755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-179070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-179070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Included in Accrued expenses and other current liabilities in the condensed consolidated balance sheets.</w:t>
      </w:r>
    </w:p>
    <w:p>
      <w:pPr>
        <w:spacing w:after="0" w:line="2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i w:val="1"/>
          <w:iCs w:val="1"/>
          <w:color w:val="auto"/>
        </w:rPr>
        <w:t>January 2024 storm and damage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Beginning January 13, 2024, the Company’s service territory encountered a severe winter weather event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included snow, ice, and high winds over several days that caused catastrophic damage to physical assets and resulted in widespread customer power outages. As a result of the historic winter storm, Oregon’s Governor declared a state of emergency on January 18, 2024, which allows PGE to seek recovery of incremental storm expenses through the OPUC pre-authorized emergency deferral mechanism, subject to the application of an earnings test. On February 9, 2024, PGE filed a Notice of Deferral with the OPUC, under Docket UM 2190, related to the emergency restoration costs for the January storm. On March 18, 2026, PGE received the OPUC's final order for the storm recovery docket which included a disallowance for some operating and maintenance costs of $1 million and application of an earnings test. The OPUC ordered the application of an earnings test at 20 basis points below the Company's 2024 allowed return on equity of 9.5% on the deferred storm costs. The application of the earnings test resulted in an additional $3 million reduction of the previously deferred amounts. After application of adjustments per the final order, PGE’s deferred balance as of March 31, 2026 was $44 million, including interest, which began amortizing on April 1, 2026 over a two year period. The deferred balance as of September 30, 2026 was $36 million.</w:t>
      </w:r>
    </w:p>
    <w:p>
      <w:pPr>
        <w:spacing w:after="0" w:line="16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i w:val="1"/>
          <w:iCs w:val="1"/>
          <w:color w:val="auto"/>
        </w:rPr>
        <w:t>Reliability contingency events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As approved by the OPUC in PGE’s 2024 GRC, the Reliability Contingency Event (RCE) mechanism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allows PGE to defer and recover 80% of prudent costs for RCEs above amounts forecasted in the Company’s Annual Power Cost Update Tariff, without application of an earnings test, with the remaining 20% flowing through operating expenses and subject to the existing power cost adjustment mechanism (PCAM). Results of the PCAM are filed annually with the OPUC no later than July 1, initiating a regulatory review process that typically results in a final determination and order from the OPUC by the end of the year of filing, with any resulting refund or collection impacting customer prices effective in the following year. RCE costs incurred and deferred are included in each years' respective PCAM filing. On March 18, 2026, the OPUC issued its final order in the 2024 RCE mechanism docket which resulted in the approval for recovery of $70 million in deferred costs, before consideration of interest, after determining that costs should be shared at a level of 90%, resulting in a reduction of $8 million to the recovery request. In addition, the OPUC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disagreed with PGE's method of estimating the impacts related to wind generating resources in the day ahead forecasts of $2 million, resulting in a total reduction of $10 million in previously deferred costs. The OPUC also declined to extend the sunset date for the RCE mechanism. After application of adjustments per the final order, PGE’s deferred balance as of September 30, 2026, related to RCEs was $65 million, which included $63 million related to RCEs deferred in 2024 and $2 million related to RCEs deferred in 2025. The 2024 deferred balance began amortizing into customer prices on April 1, 2026 and is to be collected over a two-year period. On July 1, 2026, under the Company's PCAM, Advice 26-26 was submitted to the OPUC seeking recovery to begin on April 1, 2027 of $2 million in costs deferred during RCEs in 2025. The 2025 PCAM docket was settled as filed in September 2026 and the final order is expected in the fourth quarter of 2026.</w:t>
      </w:r>
    </w:p>
    <w:p>
      <w:pPr>
        <w:spacing w:after="0" w:line="18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i w:val="1"/>
          <w:iCs w:val="1"/>
          <w:color w:val="auto"/>
        </w:rPr>
        <w:t>Wildfire Mitigation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Wildfire Mitigation represents incremental costs and investments made by PGE related to efforts on its system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mitigate the risk of wildfire and improve resiliency to wildfire damage under Oregon Senate Bill 762, enacted in 2021. These efforts include enhanced tree and brush clearing, hardening and undergrounding equipment, and making emergency plans in close partnership with various land and emergency management agencies to further expand the use of a public safety power shutoff, when the risk warrants. On June 25, 2026 PGE's 2026-2028 risk-based Wildfire Mitigation Plan was approved by the OPUC. The plan includes annual updates as part of the ongoing regulatory process.</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September 30, 2026 and December 31, 2025, PGE’s deferred balance related to incremental wildfire mitigation operating expenses was $38 million and $42 million, respectively. The 2026 balance is comprised of:</w:t>
      </w:r>
    </w:p>
    <w:p>
      <w:pPr>
        <w:spacing w:after="0" w:line="277" w:lineRule="exact"/>
        <w:rPr>
          <w:sz w:val="20"/>
          <w:szCs w:val="20"/>
          <w:color w:val="auto"/>
        </w:rPr>
      </w:pPr>
    </w:p>
    <w:p>
      <w:pPr>
        <w:jc w:val="both"/>
        <w:ind w:left="760" w:right="140" w:hanging="378"/>
        <w:spacing w:after="0" w:line="256" w:lineRule="auto"/>
        <w:tabs>
          <w:tab w:leader="none" w:pos="76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2024 Automatic Adjustment Clause (AAC)</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As of September 30, 2026, there was $14 million deferred as a regulatory asset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balancing account related to 2024. On March 18, 2026, PGE received approval to recover this remaining O&amp;M expense beginning May 1, 2026 with a twelve-month amortization period.</w:t>
      </w:r>
    </w:p>
    <w:p>
      <w:pPr>
        <w:spacing w:after="0" w:line="60" w:lineRule="exact"/>
        <w:rPr>
          <w:rFonts w:ascii="Times New Roman" w:cs="Times New Roman" w:eastAsia="Times New Roman" w:hAnsi="Times New Roman"/>
          <w:sz w:val="20"/>
          <w:szCs w:val="20"/>
          <w:b w:val="1"/>
          <w:bCs w:val="1"/>
          <w:i w:val="1"/>
          <w:iCs w:val="1"/>
          <w:color w:val="auto"/>
        </w:rPr>
      </w:pPr>
    </w:p>
    <w:p>
      <w:pPr>
        <w:ind w:left="760" w:hanging="378"/>
        <w:spacing w:after="0" w:line="256" w:lineRule="auto"/>
        <w:tabs>
          <w:tab w:leader="none" w:pos="76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2025 AAC</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of September 30, 2026, there was $7 million deferred as a regulatory asset in the balancing account related to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May 26, 2026, PGE received approval to recover this remaining O&amp;M expense beginning June 1, 2026 with a twelve-month amortization period.</w:t>
      </w:r>
    </w:p>
    <w:p>
      <w:pPr>
        <w:spacing w:after="0" w:line="60" w:lineRule="exact"/>
        <w:rPr>
          <w:rFonts w:ascii="Times New Roman" w:cs="Times New Roman" w:eastAsia="Times New Roman" w:hAnsi="Times New Roman"/>
          <w:sz w:val="20"/>
          <w:szCs w:val="20"/>
          <w:b w:val="1"/>
          <w:bCs w:val="1"/>
          <w:i w:val="1"/>
          <w:iCs w:val="1"/>
          <w:color w:val="auto"/>
        </w:rPr>
      </w:pPr>
    </w:p>
    <w:p>
      <w:pPr>
        <w:ind w:left="760" w:hanging="378"/>
        <w:spacing w:after="0" w:line="242" w:lineRule="auto"/>
        <w:tabs>
          <w:tab w:leader="none" w:pos="76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2026 AAC</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In conjunction with PGE’s filed 2026-2028 Wildfire Mitigation Plan, PGE submitted an advice filing for the first phase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2026 with the intent of recovering $28 million related to O&amp;M, which was approved and effective on April 1, 2026 with a twelve-month amortization period. On October 13, 2026, PGE received an OPUC order approving the second phase, effective October 15, 2026, with a 12-month amortization period. The order authorizes recovery of an additional $14 million of 2026 O&amp;M expense, while bringing the total capital-related revenue requirement to $21 million. Although the OPUC has not approved all of PGE’s 2026 wildfire mitigation O&amp;M, PGE does not believe it is precluded from deferring such costs. Any differences between actual expense and customer collections will be recorded as regulatory assets or liabilities within the AAC balancing account, which will be subject to a prudence review, but will not be subject to an earnings test. As of September 30, 2026, there was $17 million deferred as a regulatory asset in the balancing account related to 2026. The OPUC has significant discretion in making the final determination of recovery. The OPUC’s conclusion of overall prudence could result in a portion, or all, of PGE’s deferrals being disallowed for recovery. Such disallowance would be recognized as a charge to earnings.</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i w:val="1"/>
          <w:iCs w:val="1"/>
          <w:color w:val="auto"/>
        </w:rPr>
        <w:t>Portland Harbor Environmental Remediation Account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The impact of costs related to EPA liabilities on the Company’s results of operations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mitigated by the Portland Harbor Environmental Remediation Account (PHERA) mechanism. As approved by the OPUC, the PHERA allows the Company to defer estimated liabilities and recover prudently incurred environmental expenditures related to Portland Harbor through a combination of third-party proceeds, including but not limited to insurance recoveries, and, if necessary, through customer prices. The mechanism established annual prudency reviews of environmental expenditures and third-party proceeds. Annual expenditures in excess of $6 million, excluding expenses related to contingent liabilities, are subject to an annual earnings test and would be ineligible for recovery to the extent PGE’s actual regulated return on equity exceeds its return on equity as authorized by the OPUC in PGE’s most recent GRC. PGE’s results of operations may be impacted to the extent such expenditures are deemed imprudent by the OPUC or ineligible per the prescribed earnings test. The Company plans to seek recovery of any costs resulting from the EPA’s determination of liability for Portland Harbor through application of the PHERA. For more information on the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determination of PGE's share of liability, see "EPA Investigation of Portland Harbor" in Note 8, Contingencies. At this time, PGE is not collecting any Portland Harbor cost from the PHERA through customer prices. As of September 30, 2026, there was $65 million of eligible costs deferred as a regulatory asset. To conform with current year presentation, the Company has reclassified $24 million as of December 31, 2025 from Other to Portland Harbor environmental remediation account in the Regulatory assets section of the table above.</w:t>
      </w:r>
    </w:p>
    <w:p>
      <w:pPr>
        <w:spacing w:after="0" w:line="17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i w:val="1"/>
          <w:iCs w:val="1"/>
          <w:color w:val="auto"/>
        </w:rPr>
        <w:t>Clearwater RAC</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The Clearwater RAC represents all costs and benefits associated with Clearwater. Under the RAC, during 2023,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submitted a filing for Clearwater proposing to defer the revenue requirement, net of net variable power cost (NVPC) benefits, from the in-service date of January 2024 until Clearwater was reflected in customer prices, which was March 1, 2025. For the year ended December 31, 2024, PGE deferred the revenue requirement, net of NVPC benefits resulting in a net regulatory liability of $40 million, which amortized as a refund to customers over a twelve-month period beginning on March 1, 2025 as approved in OPUC Order 25-075 issued February 21, 2025. For the period of January 1, 2025 through December 31, 2025, PGE deferred an additional net $13 million regulatory liability, which was approved and began amortizing on April 1, 2026 over a twelve-month period. As of September 30, 2026, there was $6 million deferred as a regulatory liability in the balancing account.</w:t>
      </w:r>
    </w:p>
    <w:p>
      <w:pPr>
        <w:spacing w:after="0" w:line="18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Revenue Subject to Refund</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Revenue collected under the Seaside Battery Energy Storage System (BESS) and Distribution System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(DSP) Alternative Recovery Mechanisms are subject to earnings tests that require amounts earned in excess of PGE's authorized return on equity of 9.34% to be refunded to customers. The Company has contested the applicability of an earnings test, which would be for the twelve-month period ended October 31, 2026 for the Seaside BESS and the twelve-month period ended March 31, 2027 for the DSP recovery mechanism. As of September 30, 2026, no amounts have been accrued for refund under the Seaside BESS, as PGE does not forecast to over earn for the period covered by the test. Additionally, the Company has not accrued any probable and reasonably estimable refunds for the DSP recovery mechanism. Such refunds would be recognized as a charge to earnings.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Investments</w:t>
      </w:r>
    </w:p>
    <w:p>
      <w:pPr>
        <w:spacing w:after="0" w:line="112"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PGE has investments in non-marketable equity securities for which the Company does not have controlling financial interest however, based on PGE’s ownership interest, are accounted for under the equity method of accounting. These investments are accounted for at cost, adjusted for the Company’s proportionate share of the investee’s earnings or losses, distributions received, and impairments, if any.</w:t>
      </w:r>
    </w:p>
    <w:p>
      <w:pPr>
        <w:spacing w:after="0" w:line="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As of September 30, 2026 and December 31, 2025, equity method investments were $22 million and $19 million, respectively, recorded in Other noncurrent assets on the Company’s condensed consolidated balance sheets. For the three and nine months ended September 30, 2026, and 2025, the Company's share of net earnings or losses from equity method investments were immaterial. PGE’s share of earnings or losses are recorded as Miscellaneous income, net within Other income, net on the Company’s condensed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w w:val="99"/>
              </w:rPr>
              <w:t>September 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December 31,</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1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155CAB"/>
              </w:rPr>
              <w:t>2025</w:t>
            </w:r>
          </w:p>
        </w:tc>
        <w:tc>
          <w:tcPr>
            <w:tcW w:w="0" w:type="dxa"/>
            <w:vAlign w:val="bottom"/>
          </w:tcPr>
          <w:p>
            <w:pPr>
              <w:spacing w:after="0"/>
              <w:rPr>
                <w:sz w:val="1"/>
                <w:szCs w:val="1"/>
                <w:color w:val="auto"/>
              </w:rPr>
            </w:pPr>
          </w:p>
        </w:tc>
      </w:tr>
      <w:tr>
        <w:trPr>
          <w:trHeight w:val="223"/>
        </w:trPr>
        <w:tc>
          <w:tcPr>
            <w:tcW w:w="488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Accrued employee compensation and benefits</w:t>
            </w:r>
          </w:p>
        </w:tc>
        <w:tc>
          <w:tcPr>
            <w:tcW w:w="296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65</w:t>
            </w:r>
          </w:p>
        </w:tc>
        <w:tc>
          <w:tcPr>
            <w:tcW w:w="30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Accrued taxes payable</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30"/>
        </w:trPr>
        <w:tc>
          <w:tcPr>
            <w:tcW w:w="488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Accrued interest payable</w:t>
            </w:r>
          </w:p>
        </w:tc>
        <w:tc>
          <w:tcPr>
            <w:tcW w:w="28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55</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Accrued dividends payable</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29"/>
        </w:trPr>
        <w:tc>
          <w:tcPr>
            <w:tcW w:w="488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Regulatory liabilities—current</w:t>
            </w:r>
          </w:p>
        </w:tc>
        <w:tc>
          <w:tcPr>
            <w:tcW w:w="28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65</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Margin deposits from wholesale counterparties</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Other</w:t>
            </w:r>
          </w:p>
        </w:tc>
        <w:tc>
          <w:tcPr>
            <w:tcW w:w="284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139</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5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23"/>
        </w:trPr>
        <w:tc>
          <w:tcPr>
            <w:tcW w:w="48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296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462</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478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40" w:type="dxa"/>
            <w:vAlign w:val="bottom"/>
            <w:vMerge w:val="restart"/>
          </w:tcPr>
          <w:p>
            <w:pPr>
              <w:jc w:val="right"/>
              <w:ind w:right="190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-830580</wp:posOffset>
            </wp:positionV>
            <wp:extent cx="1117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Facilities</w:t>
      </w:r>
    </w:p>
    <w:p>
      <w:pPr>
        <w:spacing w:after="0" w:line="11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On September 10, 2025, PGE entered into an amendment of its existing revolving credit facility that extended the scheduled expiration into September 2030. As of September 30, 2026, PGE had a $750 million revolving credit facility that provides the Company the ability to expand to $850 million, if needed. Pursuant to the terms of the agreement, the revolving credit facility may be used for general corporate purposes, including as backup for commercial paper borrowings and to permit the issuance of standby letters of credit. PGE may borrow for one, three, or six months at a fixed interest rate established at the time of the borrowing, or at a variable interest rate for any period up to the then remaining term of the applicable credit facility. The revolving credit facility contains a provision that requires annual fees based on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unsecured credit ratings, and contains customary covenants and default provisions, including a requirement that limits consolidated indebtedness, as defined in the agreement, to 65% of total capitalization. As of September 30, 2026, PGE was in compliance with this covenant with a 53.6% debt-to-total capital ratio.</w:t>
      </w:r>
    </w:p>
    <w:p>
      <w:pPr>
        <w:spacing w:after="0" w:line="18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The Company has a commercial paper program under which it may issue commercial paper for terms of up to 270 days. The Company has elected to limit its borrowings under the revolving credit facility in order to allow for coverage of any potential need to repay commercial paper that may be outstanding at the time. As of September 30, 2026, PGE had no commercial paper outstanding.</w:t>
      </w:r>
    </w:p>
    <w:p>
      <w:pPr>
        <w:spacing w:after="0" w:line="17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Under the revolving credit facility and commercial paper program, as of September 30, 2026, PGE had no borrowings outstanding and there were no letters of credit issued. As a result, the aggregate unused available credit capacity under the revolving credit facility was $750 million.</w:t>
      </w:r>
    </w:p>
    <w:p>
      <w:pPr>
        <w:spacing w:after="0" w:line="174"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PGE typically classifies borrowings under the revolving credit facility and outstanding commercial paper as Short-term debt on the condensed consolidated balance sheets.</w:t>
      </w:r>
    </w:p>
    <w:p>
      <w:pPr>
        <w:spacing w:after="0" w:line="15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In addition, PGE has four letter of credit facilities that provide a total capacity of $320 million under which the Company can request letters of credit for original terms not to exceed one year. The issuance of such letters of credit is subject to the approval of the issuing institution. Under these facilities, letters of credit for a total of $136 million were outstanding as of September 30, 2026. Letters of credit issued are not reflected on the Company’s condensed consolidated balance sheets.</w:t>
      </w:r>
    </w:p>
    <w:p>
      <w:pPr>
        <w:spacing w:after="0" w:line="18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Pursuant to an order issued by the FERC, the Company is authorized to issue short-term debt in an aggregate amount of up to $900 million through February 6, 2028.</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Debt</w:t>
      </w:r>
    </w:p>
    <w:p>
      <w:pPr>
        <w:spacing w:after="0" w:line="11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On March 23, 2026, PGE entered into a 24-month credit agreement with lenders in the aggregate principal amount of $350 million. PGE drew four loans from the Lenders in the aggregate principal amount of $350 million. The final loan, in the amount of $80 million, occurred on July 2, 2026. The loans bear interest for the relevant interest period at the Term Secured Overnight Financing Rate (SOFR) plus an Applicable Margin of 110.0 basis points.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Benefit Retirement Plan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net periodic benefit cost under the defined benefit pension plan are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jc w:val="right"/>
              <w:ind w:right="481"/>
              <w:spacing w:after="0"/>
              <w:rPr>
                <w:sz w:val="20"/>
                <w:szCs w:val="20"/>
                <w:color w:val="auto"/>
              </w:rPr>
            </w:pPr>
            <w:r>
              <w:rPr>
                <w:rFonts w:ascii="Times New Roman" w:cs="Times New Roman" w:eastAsia="Times New Roman" w:hAnsi="Times New Roman"/>
                <w:sz w:val="20"/>
                <w:szCs w:val="20"/>
                <w:b w:val="1"/>
                <w:bCs w:val="1"/>
                <w:color w:val="155CAB"/>
              </w:rPr>
              <w:t>Nine Months Ended</w:t>
            </w:r>
          </w:p>
        </w:tc>
      </w:tr>
      <w:tr>
        <w:trPr>
          <w:trHeight w:val="256"/>
        </w:trPr>
        <w:tc>
          <w:tcPr>
            <w:tcW w:w="5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40" w:type="dxa"/>
            <w:vAlign w:val="bottom"/>
            <w:tcBorders>
              <w:bottom w:val="single" w:sz="8" w:color="155CAB"/>
            </w:tcBorders>
            <w:gridSpan w:val="4"/>
          </w:tcPr>
          <w:p>
            <w:pPr>
              <w:jc w:val="right"/>
              <w:ind w:right="30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380" w:type="dxa"/>
            <w:vAlign w:val="bottom"/>
            <w:tcBorders>
              <w:bottom w:val="single" w:sz="8" w:color="155CAB"/>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155CAB"/>
            </w:tcBorders>
          </w:tcPr>
          <w:p>
            <w:pPr>
              <w:spacing w:after="0"/>
              <w:rPr>
                <w:sz w:val="22"/>
                <w:szCs w:val="22"/>
                <w:color w:val="auto"/>
              </w:rPr>
            </w:pPr>
          </w:p>
        </w:tc>
        <w:tc>
          <w:tcPr>
            <w:tcW w:w="2420" w:type="dxa"/>
            <w:vAlign w:val="bottom"/>
            <w:tcBorders>
              <w:bottom w:val="single" w:sz="8" w:color="155CAB"/>
            </w:tcBorders>
            <w:gridSpan w:val="4"/>
          </w:tcPr>
          <w:p>
            <w:pPr>
              <w:jc w:val="right"/>
              <w:ind w:right="701"/>
              <w:spacing w:after="0"/>
              <w:rPr>
                <w:sz w:val="20"/>
                <w:szCs w:val="20"/>
                <w:color w:val="auto"/>
              </w:rPr>
            </w:pPr>
            <w:r>
              <w:rPr>
                <w:rFonts w:ascii="Times New Roman" w:cs="Times New Roman" w:eastAsia="Times New Roman" w:hAnsi="Times New Roman"/>
                <w:sz w:val="20"/>
                <w:szCs w:val="20"/>
                <w:b w:val="1"/>
                <w:bCs w:val="1"/>
                <w:color w:val="155CAB"/>
              </w:rPr>
              <w:t>September 30,</w:t>
            </w:r>
          </w:p>
        </w:tc>
      </w:tr>
      <w:tr>
        <w:trPr>
          <w:trHeight w:val="223"/>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44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155CAB"/>
            </w:tcBorders>
          </w:tcPr>
          <w:p>
            <w:pPr>
              <w:jc w:val="right"/>
              <w:ind w:right="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38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155CAB"/>
            </w:tcBorders>
          </w:tcPr>
          <w:p>
            <w:pPr>
              <w:spacing w:after="0"/>
              <w:rPr>
                <w:sz w:val="19"/>
                <w:szCs w:val="19"/>
                <w:color w:val="auto"/>
              </w:rPr>
            </w:pPr>
          </w:p>
        </w:tc>
        <w:tc>
          <w:tcPr>
            <w:tcW w:w="1020" w:type="dxa"/>
            <w:vAlign w:val="bottom"/>
            <w:tcBorders>
              <w:bottom w:val="single" w:sz="8" w:color="155CAB"/>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40" w:type="dxa"/>
            <w:vAlign w:val="bottom"/>
          </w:tcPr>
          <w:p>
            <w:pPr>
              <w:spacing w:after="0"/>
              <w:rPr>
                <w:sz w:val="19"/>
                <w:szCs w:val="19"/>
                <w:color w:val="auto"/>
              </w:rPr>
            </w:pPr>
          </w:p>
        </w:tc>
        <w:tc>
          <w:tcPr>
            <w:tcW w:w="220" w:type="dxa"/>
            <w:vAlign w:val="bottom"/>
            <w:tcBorders>
              <w:bottom w:val="single" w:sz="8" w:color="155CAB"/>
            </w:tcBorders>
          </w:tcPr>
          <w:p>
            <w:pPr>
              <w:spacing w:after="0"/>
              <w:rPr>
                <w:sz w:val="19"/>
                <w:szCs w:val="19"/>
                <w:color w:val="auto"/>
              </w:rPr>
            </w:pPr>
          </w:p>
        </w:tc>
        <w:tc>
          <w:tcPr>
            <w:tcW w:w="1040" w:type="dxa"/>
            <w:vAlign w:val="bottom"/>
            <w:tcBorders>
              <w:bottom w:val="single" w:sz="8" w:color="155CAB"/>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58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Service cost</w:t>
            </w:r>
          </w:p>
        </w:tc>
        <w:tc>
          <w:tcPr>
            <w:tcW w:w="820" w:type="dxa"/>
            <w:vAlign w:val="bottom"/>
            <w:gridSpan w:val="2"/>
            <w:shd w:val="clear" w:color="auto" w:fill="EFEFEF"/>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000" w:type="dxa"/>
            <w:vAlign w:val="bottom"/>
            <w:gridSpan w:val="2"/>
            <w:shd w:val="clear" w:color="auto" w:fill="EFEFEF"/>
          </w:tcPr>
          <w:p>
            <w:pPr>
              <w:jc w:val="right"/>
              <w:ind w:right="6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w:t>
            </w:r>
          </w:p>
        </w:tc>
        <w:tc>
          <w:tcPr>
            <w:tcW w:w="380" w:type="dxa"/>
            <w:vAlign w:val="bottom"/>
            <w:gridSpan w:val="2"/>
            <w:shd w:val="clear" w:color="auto" w:fill="EFEFEF"/>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w:t>
            </w:r>
          </w:p>
        </w:tc>
        <w:tc>
          <w:tcPr>
            <w:tcW w:w="360" w:type="dxa"/>
            <w:vAlign w:val="bottom"/>
            <w:gridSpan w:val="2"/>
            <w:shd w:val="clear" w:color="auto" w:fill="EFEFEF"/>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7</w:t>
            </w: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580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20" w:type="dxa"/>
            <w:vAlign w:val="bottom"/>
            <w:tcBorders>
              <w:bottom w:val="single" w:sz="8" w:color="EFEFEF"/>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tcBorders>
              <w:bottom w:val="single" w:sz="8" w:color="EFEFEF"/>
            </w:tcBorders>
            <w:shd w:val="clear" w:color="auto" w:fill="EFEFEF"/>
          </w:tcPr>
          <w:p>
            <w:pPr>
              <w:spacing w:after="0"/>
              <w:rPr>
                <w:sz w:val="19"/>
                <w:szCs w:val="19"/>
                <w:color w:val="auto"/>
              </w:rPr>
            </w:pPr>
          </w:p>
        </w:tc>
        <w:tc>
          <w:tcPr>
            <w:tcW w:w="880" w:type="dxa"/>
            <w:vAlign w:val="bottom"/>
            <w:tcBorders>
              <w:bottom w:val="single" w:sz="8" w:color="auto"/>
            </w:tcBorders>
            <w:shd w:val="clear" w:color="auto" w:fill="EFEFEF"/>
          </w:tcPr>
          <w:p>
            <w:pPr>
              <w:spacing w:after="0"/>
              <w:rPr>
                <w:sz w:val="19"/>
                <w:szCs w:val="19"/>
                <w:color w:val="auto"/>
              </w:rPr>
            </w:pPr>
          </w:p>
        </w:tc>
        <w:tc>
          <w:tcPr>
            <w:tcW w:w="3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10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3"/>
        </w:trPr>
        <w:tc>
          <w:tcPr>
            <w:tcW w:w="580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Net periodic benefit cost</w:t>
            </w:r>
          </w:p>
        </w:tc>
        <w:tc>
          <w:tcPr>
            <w:tcW w:w="820" w:type="dxa"/>
            <w:vAlign w:val="bottom"/>
            <w:gridSpan w:val="2"/>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000" w:type="dxa"/>
            <w:vAlign w:val="bottom"/>
            <w:gridSpan w:val="2"/>
          </w:tcPr>
          <w:p>
            <w:pPr>
              <w:jc w:val="right"/>
              <w:ind w:right="6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38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w:t>
            </w:r>
          </w:p>
        </w:tc>
        <w:tc>
          <w:tcPr>
            <w:tcW w:w="3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4</w:t>
            </w: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-179705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-179705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-179705</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99"/>
        <w:spacing w:after="0"/>
        <w:rPr>
          <w:sz w:val="20"/>
          <w:szCs w:val="20"/>
          <w:color w:val="auto"/>
        </w:rPr>
      </w:pPr>
      <w:r>
        <w:rPr>
          <w:rFonts w:ascii="Times New Roman" w:cs="Times New Roman" w:eastAsia="Times New Roman" w:hAnsi="Times New Roman"/>
          <w:sz w:val="20"/>
          <w:szCs w:val="20"/>
          <w:color w:val="auto"/>
        </w:rPr>
        <w:t>(Unaudited)</w:t>
      </w:r>
    </w:p>
    <w:p>
      <w:pPr>
        <w:spacing w:after="0" w:line="333" w:lineRule="exact"/>
        <w:rPr>
          <w:sz w:val="20"/>
          <w:szCs w:val="20"/>
          <w:color w:val="auto"/>
        </w:rPr>
      </w:pPr>
    </w:p>
    <w:p>
      <w:pPr>
        <w:ind w:right="16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expense portion of non-service cost components are included in Miscellaneous income, net within Other income on the Company’s condensed consolidated statements of income and comprehensive income.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4: FAIR VALUE OF FINANCIAL INSTRUMENTS</w:t>
      </w:r>
    </w:p>
    <w:p>
      <w:pPr>
        <w:spacing w:after="0" w:line="11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PGE estimated the fair value of financial asset and liability instruments as of September 30, 2026 and December 31, 2025, and classified these financial instruments based on a fair value hierarchy that is applied to prioritize the inputs to the valuation techniques used to measure fair value. The three levels of the fair value hierarchy and application to the Company are:</w:t>
      </w:r>
    </w:p>
    <w:p>
      <w:pPr>
        <w:sectPr>
          <w:pgSz w:w="11900" w:h="16838" w:orient="portrait"/>
          <w:cols w:equalWidth="0" w:num="1">
            <w:col w:w="11160"/>
          </w:cols>
          <w:pgMar w:left="320" w:top="114" w:right="419" w:bottom="1440" w:gutter="0" w:footer="0" w:header="0"/>
        </w:sectPr>
      </w:pPr>
    </w:p>
    <w:p>
      <w:pPr>
        <w:spacing w:after="0" w:line="7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9"/>
          <w:szCs w:val="19"/>
          <w:i w:val="1"/>
          <w:iCs w:val="1"/>
          <w:color w:val="auto"/>
        </w:rPr>
        <w:t>Level 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Quoted prices are available in active markets for identical assets or liabilities as of the measurement date;</w:t>
      </w:r>
    </w:p>
    <w:p>
      <w:pPr>
        <w:spacing w:after="0" w:line="115" w:lineRule="exact"/>
        <w:rPr>
          <w:sz w:val="20"/>
          <w:szCs w:val="20"/>
          <w:color w:val="auto"/>
        </w:rPr>
      </w:pPr>
    </w:p>
    <w:p>
      <w:pPr>
        <w:sectPr>
          <w:pgSz w:w="11900" w:h="16838" w:orient="portrait"/>
          <w:cols w:equalWidth="0" w:num="2">
            <w:col w:w="1540" w:space="720"/>
            <w:col w:w="8900"/>
          </w:cols>
          <w:pgMar w:left="320" w:top="114" w:right="41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9"/>
          <w:szCs w:val="19"/>
          <w:i w:val="1"/>
          <w:iCs w:val="1"/>
          <w:color w:val="auto"/>
        </w:rPr>
        <w:t>Level 2</w:t>
      </w:r>
    </w:p>
    <w:p>
      <w:pPr>
        <w:spacing w:after="0" w:line="20" w:lineRule="exact"/>
        <w:rPr>
          <w:sz w:val="20"/>
          <w:szCs w:val="20"/>
          <w:color w:val="auto"/>
        </w:rPr>
      </w:pPr>
      <w:r>
        <w:rPr>
          <w:sz w:val="20"/>
          <w:szCs w:val="20"/>
          <w:color w:val="auto"/>
        </w:rPr>
        <w:br w:type="column"/>
      </w:r>
    </w:p>
    <w:p>
      <w:pPr>
        <w:ind w:right="140"/>
        <w:spacing w:after="0" w:line="269" w:lineRule="auto"/>
        <w:rPr>
          <w:sz w:val="20"/>
          <w:szCs w:val="20"/>
          <w:color w:val="auto"/>
        </w:rPr>
      </w:pPr>
      <w:r>
        <w:rPr>
          <w:rFonts w:ascii="Times New Roman" w:cs="Times New Roman" w:eastAsia="Times New Roman" w:hAnsi="Times New Roman"/>
          <w:sz w:val="20"/>
          <w:szCs w:val="20"/>
          <w:color w:val="auto"/>
        </w:rPr>
        <w:t>Pricing inputs include those that are directly or indirectly observable in the marketplace as of the measurement date; and</w:t>
      </w:r>
    </w:p>
    <w:p>
      <w:pPr>
        <w:spacing w:after="0" w:line="47" w:lineRule="exact"/>
        <w:rPr>
          <w:sz w:val="20"/>
          <w:szCs w:val="20"/>
          <w:color w:val="auto"/>
        </w:rPr>
      </w:pPr>
    </w:p>
    <w:p>
      <w:pPr>
        <w:sectPr>
          <w:pgSz w:w="11900" w:h="16838" w:orient="portrait"/>
          <w:cols w:equalWidth="0" w:num="2">
            <w:col w:w="1540" w:space="720"/>
            <w:col w:w="8900"/>
          </w:cols>
          <w:pgMar w:left="320" w:top="114" w:right="41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9"/>
          <w:szCs w:val="19"/>
          <w:i w:val="1"/>
          <w:iCs w:val="1"/>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Pricing inputs include significant inputs that are unobservable for the asset or liability.</w:t>
      </w:r>
    </w:p>
    <w:p>
      <w:pPr>
        <w:spacing w:after="0" w:line="200" w:lineRule="exact"/>
        <w:rPr>
          <w:sz w:val="20"/>
          <w:szCs w:val="20"/>
          <w:color w:val="auto"/>
        </w:rPr>
      </w:pPr>
    </w:p>
    <w:p>
      <w:pPr>
        <w:sectPr>
          <w:pgSz w:w="11900" w:h="16838" w:orient="portrait"/>
          <w:cols w:equalWidth="0" w:num="2">
            <w:col w:w="1540" w:space="720"/>
            <w:col w:w="8900"/>
          </w:cols>
          <w:pgMar w:left="320" w:top="114" w:right="419" w:bottom="1440" w:gutter="0" w:footer="0" w:header="0"/>
          <w:type w:val="continuous"/>
        </w:sectPr>
      </w:pPr>
    </w:p>
    <w:p>
      <w:pPr>
        <w:spacing w:after="0" w:line="18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assets, liabilities, and their placement within the fair value hierarchy. Assets measured at fair value using net asset value (NAV) as a practical expedient are not categorized in the fair value hierarchy. These assets are listed in the totals of the fair value hierarchy to permit the reconciliation to amounts presented in the financial statements.</w:t>
      </w:r>
    </w:p>
    <w:p>
      <w:pPr>
        <w:spacing w:after="0" w:line="18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Changes to market liquidity conditions, the availability of observable inputs, or changes in the economic structure of a security marketplace may require transfer of the securities between levels.</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Company’s financial assets and liabilities whose values were recognized at fair value in the Company’s condensed consolidated balance sheets are as follows by level within the fair value hierarchy (in millions):</w:t>
      </w: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696"/>
        </w:trPr>
        <w:tc>
          <w:tcPr>
            <w:tcW w:w="152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gridSpan w:val="8"/>
          </w:tcPr>
          <w:p>
            <w:pPr>
              <w:jc w:val="center"/>
              <w:ind w:right="61"/>
              <w:spacing w:after="0"/>
              <w:rPr>
                <w:sz w:val="20"/>
                <w:szCs w:val="20"/>
                <w:color w:val="auto"/>
              </w:rPr>
            </w:pPr>
            <w:r>
              <w:rPr>
                <w:rFonts w:ascii="Times New Roman" w:cs="Times New Roman" w:eastAsia="Times New Roman" w:hAnsi="Times New Roman"/>
                <w:sz w:val="20"/>
                <w:szCs w:val="20"/>
                <w:b w:val="1"/>
                <w:bCs w:val="1"/>
                <w:color w:val="155CAB"/>
                <w:w w:val="98"/>
              </w:rPr>
              <w:t>PORTLAND GENERAL ELECTRIC COMPANY</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3"/>
        </w:trPr>
        <w:tc>
          <w:tcPr>
            <w:tcW w:w="1520" w:type="dxa"/>
            <w:vAlign w:val="bottom"/>
          </w:tcPr>
          <w:p>
            <w:pPr>
              <w:spacing w:after="0"/>
              <w:rPr>
                <w:sz w:val="20"/>
                <w:szCs w:val="20"/>
                <w:color w:val="auto"/>
              </w:rPr>
            </w:pPr>
          </w:p>
        </w:tc>
        <w:tc>
          <w:tcPr>
            <w:tcW w:w="8100" w:type="dxa"/>
            <w:vAlign w:val="bottom"/>
            <w:gridSpan w:val="12"/>
          </w:tcPr>
          <w:p>
            <w:pPr>
              <w:jc w:val="center"/>
              <w:ind w:left="21"/>
              <w:spacing w:after="0"/>
              <w:rPr>
                <w:sz w:val="20"/>
                <w:szCs w:val="20"/>
                <w:color w:val="auto"/>
              </w:rPr>
            </w:pPr>
            <w:r>
              <w:rPr>
                <w:rFonts w:ascii="Times New Roman" w:cs="Times New Roman" w:eastAsia="Times New Roman" w:hAnsi="Times New Roman"/>
                <w:sz w:val="20"/>
                <w:szCs w:val="20"/>
                <w:b w:val="1"/>
                <w:bCs w:val="1"/>
                <w:color w:val="155CAB"/>
                <w:w w:val="98"/>
              </w:rPr>
              <w:t>NOTES TO CONDENSED CONSOLIDATED FINANCIAL STATEMENTS, continued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8"/>
        </w:trPr>
        <w:tc>
          <w:tcPr>
            <w:tcW w:w="15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(Unaudited)</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62"/>
        </w:trPr>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gridSpan w:val="6"/>
          </w:tcPr>
          <w:p>
            <w:pPr>
              <w:jc w:val="right"/>
              <w:ind w:right="661"/>
              <w:spacing w:after="0"/>
              <w:rPr>
                <w:sz w:val="20"/>
                <w:szCs w:val="20"/>
                <w:color w:val="auto"/>
              </w:rPr>
            </w:pPr>
            <w:r>
              <w:rPr>
                <w:rFonts w:ascii="Times New Roman" w:cs="Times New Roman" w:eastAsia="Times New Roman" w:hAnsi="Times New Roman"/>
                <w:sz w:val="20"/>
                <w:szCs w:val="20"/>
                <w:b w:val="1"/>
                <w:bCs w:val="1"/>
                <w:color w:val="155CAB"/>
              </w:rPr>
              <w:t>As of September 30, 2026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6"/>
        </w:trPr>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Borders>
              <w:bottom w:val="single" w:sz="8" w:color="155CAB"/>
            </w:tcBorders>
          </w:tcPr>
          <w:p>
            <w:pPr>
              <w:jc w:val="right"/>
              <w:spacing w:after="0"/>
              <w:rPr>
                <w:sz w:val="20"/>
                <w:szCs w:val="20"/>
                <w:color w:val="auto"/>
              </w:rPr>
            </w:pPr>
            <w:r>
              <w:rPr>
                <w:rFonts w:ascii="Times New Roman" w:cs="Times New Roman" w:eastAsia="Times New Roman" w:hAnsi="Times New Roman"/>
                <w:sz w:val="20"/>
                <w:szCs w:val="20"/>
                <w:b w:val="1"/>
                <w:bCs w:val="1"/>
                <w:color w:val="155CAB"/>
              </w:rPr>
              <w:t>Level 1</w:t>
            </w:r>
          </w:p>
        </w:tc>
        <w:tc>
          <w:tcPr>
            <w:tcW w:w="340" w:type="dxa"/>
            <w:vAlign w:val="bottom"/>
            <w:tcBorders>
              <w:bottom w:val="single" w:sz="8" w:color="155CAB"/>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155CAB"/>
            </w:tcBorders>
          </w:tcPr>
          <w:p>
            <w:pPr>
              <w:spacing w:after="0"/>
              <w:rPr>
                <w:sz w:val="24"/>
                <w:szCs w:val="24"/>
                <w:color w:val="auto"/>
              </w:rPr>
            </w:pPr>
          </w:p>
        </w:tc>
        <w:tc>
          <w:tcPr>
            <w:tcW w:w="980" w:type="dxa"/>
            <w:vAlign w:val="bottom"/>
            <w:tcBorders>
              <w:bottom w:val="single" w:sz="8" w:color="155CAB"/>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Level 2</w:t>
            </w:r>
          </w:p>
        </w:tc>
        <w:tc>
          <w:tcPr>
            <w:tcW w:w="100" w:type="dxa"/>
            <w:vAlign w:val="bottom"/>
          </w:tcPr>
          <w:p>
            <w:pPr>
              <w:spacing w:after="0"/>
              <w:rPr>
                <w:sz w:val="24"/>
                <w:szCs w:val="24"/>
                <w:color w:val="auto"/>
              </w:rPr>
            </w:pPr>
          </w:p>
        </w:tc>
        <w:tc>
          <w:tcPr>
            <w:tcW w:w="1060" w:type="dxa"/>
            <w:vAlign w:val="bottom"/>
            <w:tcBorders>
              <w:bottom w:val="single" w:sz="8" w:color="155CAB"/>
            </w:tcBorders>
          </w:tcPr>
          <w:p>
            <w:pPr>
              <w:jc w:val="right"/>
              <w:spacing w:after="0"/>
              <w:rPr>
                <w:sz w:val="20"/>
                <w:szCs w:val="20"/>
                <w:color w:val="auto"/>
              </w:rPr>
            </w:pPr>
            <w:r>
              <w:rPr>
                <w:rFonts w:ascii="Times New Roman" w:cs="Times New Roman" w:eastAsia="Times New Roman" w:hAnsi="Times New Roman"/>
                <w:sz w:val="20"/>
                <w:szCs w:val="20"/>
                <w:b w:val="1"/>
                <w:bCs w:val="1"/>
                <w:color w:val="155CAB"/>
              </w:rPr>
              <w:t>Level 3</w:t>
            </w:r>
          </w:p>
        </w:tc>
        <w:tc>
          <w:tcPr>
            <w:tcW w:w="420" w:type="dxa"/>
            <w:vAlign w:val="bottom"/>
            <w:tcBorders>
              <w:bottom w:val="single" w:sz="8" w:color="155CAB"/>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155CAB"/>
            </w:tcBorders>
          </w:tcPr>
          <w:p>
            <w:pPr>
              <w:jc w:val="right"/>
              <w:spacing w:after="0" w:line="296" w:lineRule="exact"/>
              <w:rPr>
                <w:sz w:val="20"/>
                <w:szCs w:val="20"/>
                <w:color w:val="auto"/>
              </w:rPr>
            </w:pPr>
            <w:r>
              <w:rPr>
                <w:rFonts w:ascii="Times New Roman" w:cs="Times New Roman" w:eastAsia="Times New Roman" w:hAnsi="Times New Roman"/>
                <w:sz w:val="20"/>
                <w:szCs w:val="20"/>
                <w:b w:val="1"/>
                <w:bCs w:val="1"/>
                <w:color w:val="155CAB"/>
              </w:rPr>
              <w:t xml:space="preserve">Other </w:t>
            </w:r>
            <w:r>
              <w:rPr>
                <w:rFonts w:ascii="Times New Roman" w:cs="Times New Roman" w:eastAsia="Times New Roman" w:hAnsi="Times New Roman"/>
                <w:sz w:val="26"/>
                <w:szCs w:val="26"/>
                <w:b w:val="1"/>
                <w:bCs w:val="1"/>
                <w:color w:val="155CAB"/>
                <w:vertAlign w:val="superscript"/>
              </w:rPr>
              <w:t>(2)</w:t>
            </w:r>
          </w:p>
        </w:tc>
        <w:tc>
          <w:tcPr>
            <w:tcW w:w="400" w:type="dxa"/>
            <w:vAlign w:val="bottom"/>
            <w:tcBorders>
              <w:bottom w:val="single" w:sz="8" w:color="155CAB"/>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155CAB"/>
            </w:tcBorders>
          </w:tcPr>
          <w:p>
            <w:pPr>
              <w:spacing w:after="0"/>
              <w:rPr>
                <w:sz w:val="24"/>
                <w:szCs w:val="24"/>
                <w:color w:val="auto"/>
              </w:rPr>
            </w:pPr>
          </w:p>
        </w:tc>
        <w:tc>
          <w:tcPr>
            <w:tcW w:w="940" w:type="dxa"/>
            <w:vAlign w:val="bottom"/>
            <w:tcBorders>
              <w:bottom w:val="single" w:sz="8" w:color="155CAB"/>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155CAB"/>
              </w:rPr>
              <w:t>Total</w:t>
            </w:r>
          </w:p>
        </w:tc>
      </w:tr>
      <w:tr>
        <w:trPr>
          <w:trHeight w:val="223"/>
        </w:trPr>
        <w:tc>
          <w:tcPr>
            <w:tcW w:w="340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Assets:</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8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8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spacing w:after="0"/>
              <w:rPr>
                <w:sz w:val="19"/>
                <w:szCs w:val="19"/>
                <w:color w:val="auto"/>
              </w:rPr>
            </w:pPr>
          </w:p>
        </w:tc>
      </w:tr>
      <w:tr>
        <w:trPr>
          <w:trHeight w:val="23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Cash equivalents</w:t>
            </w:r>
          </w:p>
        </w:tc>
        <w:tc>
          <w:tcPr>
            <w:tcW w:w="188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57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86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8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w:t>
            </w:r>
          </w:p>
        </w:tc>
      </w:tr>
      <w:tr>
        <w:trPr>
          <w:trHeight w:val="243"/>
        </w:trPr>
        <w:tc>
          <w:tcPr>
            <w:tcW w:w="3400" w:type="dxa"/>
            <w:vAlign w:val="bottom"/>
            <w:gridSpan w:val="2"/>
            <w:shd w:val="clear" w:color="auto" w:fill="EFEFEF"/>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Nuclear decommissioning trust: </w:t>
            </w:r>
            <w:r>
              <w:rPr>
                <w:rFonts w:ascii="Times New Roman" w:cs="Times New Roman" w:eastAsia="Times New Roman" w:hAnsi="Times New Roman"/>
                <w:sz w:val="26"/>
                <w:szCs w:val="26"/>
                <w:color w:val="auto"/>
                <w:vertAlign w:val="superscript"/>
              </w:rPr>
              <w:t>(1)</w:t>
            </w:r>
          </w:p>
        </w:tc>
        <w:tc>
          <w:tcPr>
            <w:tcW w:w="1060" w:type="dxa"/>
            <w:vAlign w:val="bottom"/>
            <w:shd w:val="clear" w:color="auto" w:fill="EFEFEF"/>
          </w:tcPr>
          <w:p>
            <w:pPr>
              <w:spacing w:after="0"/>
              <w:rPr>
                <w:sz w:val="21"/>
                <w:szCs w:val="21"/>
                <w:color w:val="auto"/>
              </w:rPr>
            </w:pPr>
          </w:p>
        </w:tc>
        <w:tc>
          <w:tcPr>
            <w:tcW w:w="820" w:type="dxa"/>
            <w:vAlign w:val="bottom"/>
            <w:shd w:val="clear" w:color="auto" w:fill="EFEFEF"/>
          </w:tcPr>
          <w:p>
            <w:pPr>
              <w:spacing w:after="0"/>
              <w:rPr>
                <w:sz w:val="21"/>
                <w:szCs w:val="21"/>
                <w:color w:val="auto"/>
              </w:rPr>
            </w:pPr>
          </w:p>
        </w:tc>
        <w:tc>
          <w:tcPr>
            <w:tcW w:w="34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98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060" w:type="dxa"/>
            <w:vAlign w:val="bottom"/>
            <w:shd w:val="clear" w:color="auto" w:fill="EFEFEF"/>
          </w:tcPr>
          <w:p>
            <w:pPr>
              <w:spacing w:after="0"/>
              <w:rPr>
                <w:sz w:val="21"/>
                <w:szCs w:val="21"/>
                <w:color w:val="auto"/>
              </w:rPr>
            </w:pPr>
          </w:p>
        </w:tc>
        <w:tc>
          <w:tcPr>
            <w:tcW w:w="42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080" w:type="dxa"/>
            <w:vAlign w:val="bottom"/>
            <w:shd w:val="clear" w:color="auto" w:fill="EFEFEF"/>
          </w:tcPr>
          <w:p>
            <w:pPr>
              <w:spacing w:after="0"/>
              <w:rPr>
                <w:sz w:val="21"/>
                <w:szCs w:val="21"/>
                <w:color w:val="auto"/>
              </w:rPr>
            </w:pPr>
          </w:p>
        </w:tc>
        <w:tc>
          <w:tcPr>
            <w:tcW w:w="40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80" w:type="dxa"/>
            <w:vAlign w:val="bottom"/>
            <w:shd w:val="clear" w:color="auto" w:fill="EFEFEF"/>
          </w:tcPr>
          <w:p>
            <w:pPr>
              <w:spacing w:after="0"/>
              <w:rPr>
                <w:sz w:val="21"/>
                <w:szCs w:val="21"/>
                <w:color w:val="auto"/>
              </w:rPr>
            </w:pPr>
          </w:p>
        </w:tc>
        <w:tc>
          <w:tcPr>
            <w:tcW w:w="940" w:type="dxa"/>
            <w:vAlign w:val="bottom"/>
            <w:shd w:val="clear" w:color="auto" w:fill="EFEFEF"/>
          </w:tcPr>
          <w:p>
            <w:pPr>
              <w:spacing w:after="0"/>
              <w:rPr>
                <w:sz w:val="21"/>
                <w:szCs w:val="21"/>
                <w:color w:val="auto"/>
              </w:rPr>
            </w:pPr>
          </w:p>
        </w:tc>
      </w:tr>
      <w:tr>
        <w:trPr>
          <w:trHeight w:val="230"/>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Debt securities: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400" w:type="dxa"/>
            <w:vAlign w:val="bottom"/>
            <w:gridSpan w:val="2"/>
            <w:shd w:val="clear" w:color="auto" w:fill="EFEFEF"/>
          </w:tcPr>
          <w:p>
            <w:pPr>
              <w:ind w:left="340"/>
              <w:spacing w:after="0"/>
              <w:rPr>
                <w:sz w:val="20"/>
                <w:szCs w:val="20"/>
                <w:color w:val="auto"/>
              </w:rPr>
            </w:pPr>
            <w:r>
              <w:rPr>
                <w:rFonts w:ascii="Times New Roman" w:cs="Times New Roman" w:eastAsia="Times New Roman" w:hAnsi="Times New Roman"/>
                <w:sz w:val="20"/>
                <w:szCs w:val="20"/>
                <w:color w:val="auto"/>
              </w:rPr>
              <w:t>Domestic government</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080" w:type="dxa"/>
            <w:vAlign w:val="bottom"/>
            <w:shd w:val="clear" w:color="auto" w:fill="EFEFEF"/>
          </w:tcPr>
          <w:p>
            <w:pPr>
              <w:spacing w:after="0"/>
              <w:rPr>
                <w:sz w:val="19"/>
                <w:szCs w:val="19"/>
                <w:color w:val="auto"/>
              </w:rPr>
            </w:pPr>
          </w:p>
        </w:tc>
        <w:tc>
          <w:tcPr>
            <w:tcW w:w="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34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Corporate credit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Money market funds</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080" w:type="dxa"/>
            <w:vAlign w:val="bottom"/>
            <w:shd w:val="clear" w:color="auto" w:fill="EFEFEF"/>
          </w:tcPr>
          <w:p>
            <w:pPr>
              <w:spacing w:after="0"/>
              <w:rPr>
                <w:sz w:val="19"/>
                <w:szCs w:val="19"/>
                <w:color w:val="auto"/>
              </w:rPr>
            </w:pPr>
          </w:p>
        </w:tc>
        <w:tc>
          <w:tcPr>
            <w:tcW w:w="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r>
      <w:tr>
        <w:trPr>
          <w:trHeight w:val="243"/>
        </w:trPr>
        <w:tc>
          <w:tcPr>
            <w:tcW w:w="3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Non-qualified benefit plan trust: </w:t>
            </w:r>
            <w:r>
              <w:rPr>
                <w:rFonts w:ascii="Times New Roman" w:cs="Times New Roman" w:eastAsia="Times New Roman" w:hAnsi="Times New Roman"/>
                <w:sz w:val="26"/>
                <w:szCs w:val="26"/>
                <w:color w:val="auto"/>
                <w:vertAlign w:val="superscript"/>
              </w:rPr>
              <w:t>(3)</w:t>
            </w: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Debt securities—domestic government</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080" w:type="dxa"/>
            <w:vAlign w:val="bottom"/>
            <w:shd w:val="clear" w:color="auto" w:fill="EFEFEF"/>
          </w:tcPr>
          <w:p>
            <w:pPr>
              <w:spacing w:after="0"/>
              <w:rPr>
                <w:sz w:val="19"/>
                <w:szCs w:val="19"/>
                <w:color w:val="auto"/>
              </w:rPr>
            </w:pPr>
          </w:p>
        </w:tc>
        <w:tc>
          <w:tcPr>
            <w:tcW w:w="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r>
      <w:tr>
        <w:trPr>
          <w:trHeight w:val="229"/>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Money market funds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3400" w:type="dxa"/>
            <w:vAlign w:val="bottom"/>
            <w:gridSpan w:val="2"/>
            <w:shd w:val="clear" w:color="auto" w:fill="EFEFEF"/>
          </w:tcPr>
          <w:p>
            <w:pPr>
              <w:ind w:left="120"/>
              <w:spacing w:after="0"/>
              <w:rPr>
                <w:sz w:val="20"/>
                <w:szCs w:val="20"/>
                <w:color w:val="auto"/>
              </w:rPr>
            </w:pPr>
            <w:r>
              <w:rPr>
                <w:rFonts w:ascii="Times New Roman" w:cs="Times New Roman" w:eastAsia="Times New Roman" w:hAnsi="Times New Roman"/>
                <w:sz w:val="20"/>
                <w:szCs w:val="20"/>
                <w:color w:val="auto"/>
              </w:rPr>
              <w:t>Paid Leave Oregon Trust</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8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8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spacing w:after="0"/>
              <w:rPr>
                <w:sz w:val="19"/>
                <w:szCs w:val="19"/>
                <w:color w:val="auto"/>
              </w:rPr>
            </w:pPr>
          </w:p>
        </w:tc>
      </w:tr>
      <w:tr>
        <w:trPr>
          <w:trHeight w:val="229"/>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Money market funds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r>
      <w:tr>
        <w:trPr>
          <w:trHeight w:val="243"/>
        </w:trPr>
        <w:tc>
          <w:tcPr>
            <w:tcW w:w="3400" w:type="dxa"/>
            <w:vAlign w:val="bottom"/>
            <w:gridSpan w:val="2"/>
            <w:shd w:val="clear" w:color="auto" w:fill="EFEFEF"/>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Price risk management activities: </w:t>
            </w:r>
            <w:r>
              <w:rPr>
                <w:rFonts w:ascii="Times New Roman" w:cs="Times New Roman" w:eastAsia="Times New Roman" w:hAnsi="Times New Roman"/>
                <w:sz w:val="26"/>
                <w:szCs w:val="26"/>
                <w:color w:val="auto"/>
                <w:vertAlign w:val="superscript"/>
              </w:rPr>
              <w:t>(1) (4)</w:t>
            </w:r>
          </w:p>
        </w:tc>
        <w:tc>
          <w:tcPr>
            <w:tcW w:w="1060" w:type="dxa"/>
            <w:vAlign w:val="bottom"/>
            <w:shd w:val="clear" w:color="auto" w:fill="EFEFEF"/>
          </w:tcPr>
          <w:p>
            <w:pPr>
              <w:spacing w:after="0"/>
              <w:rPr>
                <w:sz w:val="21"/>
                <w:szCs w:val="21"/>
                <w:color w:val="auto"/>
              </w:rPr>
            </w:pPr>
          </w:p>
        </w:tc>
        <w:tc>
          <w:tcPr>
            <w:tcW w:w="820" w:type="dxa"/>
            <w:vAlign w:val="bottom"/>
            <w:shd w:val="clear" w:color="auto" w:fill="EFEFEF"/>
          </w:tcPr>
          <w:p>
            <w:pPr>
              <w:spacing w:after="0"/>
              <w:rPr>
                <w:sz w:val="21"/>
                <w:szCs w:val="21"/>
                <w:color w:val="auto"/>
              </w:rPr>
            </w:pPr>
          </w:p>
        </w:tc>
        <w:tc>
          <w:tcPr>
            <w:tcW w:w="34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98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060" w:type="dxa"/>
            <w:vAlign w:val="bottom"/>
            <w:shd w:val="clear" w:color="auto" w:fill="EFEFEF"/>
          </w:tcPr>
          <w:p>
            <w:pPr>
              <w:spacing w:after="0"/>
              <w:rPr>
                <w:sz w:val="21"/>
                <w:szCs w:val="21"/>
                <w:color w:val="auto"/>
              </w:rPr>
            </w:pPr>
          </w:p>
        </w:tc>
        <w:tc>
          <w:tcPr>
            <w:tcW w:w="42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080" w:type="dxa"/>
            <w:vAlign w:val="bottom"/>
            <w:shd w:val="clear" w:color="auto" w:fill="EFEFEF"/>
          </w:tcPr>
          <w:p>
            <w:pPr>
              <w:spacing w:after="0"/>
              <w:rPr>
                <w:sz w:val="21"/>
                <w:szCs w:val="21"/>
                <w:color w:val="auto"/>
              </w:rPr>
            </w:pPr>
          </w:p>
        </w:tc>
        <w:tc>
          <w:tcPr>
            <w:tcW w:w="40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80" w:type="dxa"/>
            <w:vAlign w:val="bottom"/>
            <w:shd w:val="clear" w:color="auto" w:fill="EFEFEF"/>
          </w:tcPr>
          <w:p>
            <w:pPr>
              <w:spacing w:after="0"/>
              <w:rPr>
                <w:sz w:val="21"/>
                <w:szCs w:val="21"/>
                <w:color w:val="auto"/>
              </w:rPr>
            </w:pPr>
          </w:p>
        </w:tc>
        <w:tc>
          <w:tcPr>
            <w:tcW w:w="940" w:type="dxa"/>
            <w:vAlign w:val="bottom"/>
            <w:shd w:val="clear" w:color="auto" w:fill="EFEFEF"/>
          </w:tcPr>
          <w:p>
            <w:pPr>
              <w:spacing w:after="0"/>
              <w:rPr>
                <w:sz w:val="21"/>
                <w:szCs w:val="21"/>
                <w:color w:val="auto"/>
              </w:rPr>
            </w:pPr>
          </w:p>
        </w:tc>
      </w:tr>
      <w:tr>
        <w:trPr>
          <w:trHeight w:val="229"/>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Electricity</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3400" w:type="dxa"/>
            <w:vAlign w:val="bottom"/>
            <w:tcBorders>
              <w:bottom w:val="single" w:sz="8" w:color="EFEFEF"/>
            </w:tcBorders>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Natural gas</w:t>
            </w:r>
          </w:p>
        </w:tc>
        <w:tc>
          <w:tcPr>
            <w:tcW w:w="1060" w:type="dxa"/>
            <w:vAlign w:val="bottom"/>
            <w:tcBorders>
              <w:bottom w:val="single" w:sz="8" w:color="EFEFEF"/>
            </w:tcBorders>
            <w:shd w:val="clear" w:color="auto" w:fill="EFEFEF"/>
          </w:tcPr>
          <w:p>
            <w:pPr>
              <w:spacing w:after="0"/>
              <w:rPr>
                <w:sz w:val="19"/>
                <w:szCs w:val="19"/>
                <w:color w:val="auto"/>
              </w:rPr>
            </w:pPr>
          </w:p>
        </w:tc>
        <w:tc>
          <w:tcPr>
            <w:tcW w:w="820" w:type="dxa"/>
            <w:vAlign w:val="bottom"/>
            <w:tcBorders>
              <w:bottom w:val="single" w:sz="8" w:color="auto"/>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9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EFEFEF"/>
            </w:tcBorders>
            <w:shd w:val="clear" w:color="auto" w:fill="EFEFEF"/>
          </w:tcPr>
          <w:p>
            <w:pPr>
              <w:spacing w:after="0"/>
              <w:rPr>
                <w:sz w:val="19"/>
                <w:szCs w:val="19"/>
                <w:color w:val="auto"/>
              </w:rPr>
            </w:pPr>
          </w:p>
        </w:tc>
        <w:tc>
          <w:tcPr>
            <w:tcW w:w="106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EFEFEF"/>
            </w:tcBorders>
            <w:shd w:val="clear" w:color="auto" w:fill="EFEFEF"/>
          </w:tcPr>
          <w:p>
            <w:pPr>
              <w:spacing w:after="0"/>
              <w:rPr>
                <w:sz w:val="19"/>
                <w:szCs w:val="19"/>
                <w:color w:val="auto"/>
              </w:rPr>
            </w:pPr>
          </w:p>
        </w:tc>
        <w:tc>
          <w:tcPr>
            <w:tcW w:w="1080" w:type="dxa"/>
            <w:vAlign w:val="bottom"/>
            <w:tcBorders>
              <w:bottom w:val="single" w:sz="8" w:color="auto"/>
            </w:tcBorders>
            <w:shd w:val="clear" w:color="auto" w:fill="EFEFEF"/>
          </w:tcPr>
          <w:p>
            <w:pPr>
              <w:spacing w:after="0"/>
              <w:rPr>
                <w:sz w:val="19"/>
                <w:szCs w:val="19"/>
                <w:color w:val="auto"/>
              </w:rPr>
            </w:pPr>
          </w:p>
        </w:tc>
        <w:tc>
          <w:tcPr>
            <w:tcW w:w="4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18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r>
      <w:tr>
        <w:trPr>
          <w:trHeight w:val="223"/>
        </w:trPr>
        <w:tc>
          <w:tcPr>
            <w:tcW w:w="1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gridSpan w:val="2"/>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89"/>
              </w:rPr>
              <w:t>70</w:t>
            </w:r>
          </w:p>
        </w:tc>
        <w:tc>
          <w:tcPr>
            <w:tcW w:w="26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34</w:t>
            </w:r>
          </w:p>
        </w:tc>
        <w:tc>
          <w:tcPr>
            <w:tcW w:w="1160" w:type="dxa"/>
            <w:vAlign w:val="bottom"/>
            <w:gridSpan w:val="2"/>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180" w:type="dxa"/>
            <w:vAlign w:val="bottom"/>
            <w:gridSpan w:val="2"/>
          </w:tcPr>
          <w:p>
            <w:pPr>
              <w:jc w:val="right"/>
              <w:ind w:right="8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w:t>
            </w:r>
          </w:p>
        </w:tc>
        <w:tc>
          <w:tcPr>
            <w:tcW w:w="28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121</w:t>
            </w:r>
          </w:p>
        </w:tc>
      </w:tr>
      <w:tr>
        <w:trPr>
          <w:trHeight w:val="20"/>
        </w:trPr>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400" w:type="dxa"/>
            <w:vAlign w:val="bottom"/>
            <w:gridSpan w:val="2"/>
            <w:shd w:val="clear" w:color="auto" w:fill="EFEFEF"/>
          </w:tcPr>
          <w:p>
            <w:pPr>
              <w:spacing w:after="0" w:line="210" w:lineRule="exact"/>
              <w:rPr>
                <w:sz w:val="20"/>
                <w:szCs w:val="20"/>
                <w:color w:val="auto"/>
              </w:rPr>
            </w:pPr>
            <w:r>
              <w:rPr>
                <w:rFonts w:ascii="Times New Roman" w:cs="Times New Roman" w:eastAsia="Times New Roman" w:hAnsi="Times New Roman"/>
                <w:sz w:val="20"/>
                <w:szCs w:val="20"/>
                <w:color w:val="auto"/>
              </w:rPr>
              <w:t>Liabilities:</w:t>
            </w:r>
          </w:p>
        </w:tc>
        <w:tc>
          <w:tcPr>
            <w:tcW w:w="1060" w:type="dxa"/>
            <w:vAlign w:val="bottom"/>
            <w:shd w:val="clear" w:color="auto" w:fill="EFEFEF"/>
          </w:tcPr>
          <w:p>
            <w:pPr>
              <w:spacing w:after="0"/>
              <w:rPr>
                <w:sz w:val="18"/>
                <w:szCs w:val="18"/>
                <w:color w:val="auto"/>
              </w:rPr>
            </w:pPr>
          </w:p>
        </w:tc>
        <w:tc>
          <w:tcPr>
            <w:tcW w:w="820" w:type="dxa"/>
            <w:vAlign w:val="bottom"/>
            <w:shd w:val="clear" w:color="auto" w:fill="EFEFEF"/>
          </w:tcPr>
          <w:p>
            <w:pPr>
              <w:spacing w:after="0"/>
              <w:rPr>
                <w:sz w:val="18"/>
                <w:szCs w:val="18"/>
                <w:color w:val="auto"/>
              </w:rPr>
            </w:pPr>
          </w:p>
        </w:tc>
        <w:tc>
          <w:tcPr>
            <w:tcW w:w="340" w:type="dxa"/>
            <w:vAlign w:val="bottom"/>
            <w:shd w:val="clear" w:color="auto" w:fill="EFEFEF"/>
          </w:tcPr>
          <w:p>
            <w:pPr>
              <w:spacing w:after="0"/>
              <w:rPr>
                <w:sz w:val="18"/>
                <w:szCs w:val="18"/>
                <w:color w:val="auto"/>
              </w:rPr>
            </w:pPr>
          </w:p>
        </w:tc>
        <w:tc>
          <w:tcPr>
            <w:tcW w:w="120" w:type="dxa"/>
            <w:vAlign w:val="bottom"/>
            <w:shd w:val="clear" w:color="auto" w:fill="EFEFEF"/>
          </w:tcPr>
          <w:p>
            <w:pPr>
              <w:spacing w:after="0"/>
              <w:rPr>
                <w:sz w:val="18"/>
                <w:szCs w:val="18"/>
                <w:color w:val="auto"/>
              </w:rPr>
            </w:pPr>
          </w:p>
        </w:tc>
        <w:tc>
          <w:tcPr>
            <w:tcW w:w="140" w:type="dxa"/>
            <w:vAlign w:val="bottom"/>
            <w:shd w:val="clear" w:color="auto" w:fill="EFEFEF"/>
          </w:tcPr>
          <w:p>
            <w:pPr>
              <w:spacing w:after="0"/>
              <w:rPr>
                <w:sz w:val="18"/>
                <w:szCs w:val="18"/>
                <w:color w:val="auto"/>
              </w:rPr>
            </w:pPr>
          </w:p>
        </w:tc>
        <w:tc>
          <w:tcPr>
            <w:tcW w:w="980" w:type="dxa"/>
            <w:vAlign w:val="bottom"/>
            <w:shd w:val="clear" w:color="auto" w:fill="EFEFEF"/>
          </w:tcPr>
          <w:p>
            <w:pPr>
              <w:spacing w:after="0"/>
              <w:rPr>
                <w:sz w:val="18"/>
                <w:szCs w:val="18"/>
                <w:color w:val="auto"/>
              </w:rPr>
            </w:pPr>
          </w:p>
        </w:tc>
        <w:tc>
          <w:tcPr>
            <w:tcW w:w="100" w:type="dxa"/>
            <w:vAlign w:val="bottom"/>
            <w:shd w:val="clear" w:color="auto" w:fill="EFEFEF"/>
          </w:tcPr>
          <w:p>
            <w:pPr>
              <w:spacing w:after="0"/>
              <w:rPr>
                <w:sz w:val="18"/>
                <w:szCs w:val="18"/>
                <w:color w:val="auto"/>
              </w:rPr>
            </w:pPr>
          </w:p>
        </w:tc>
        <w:tc>
          <w:tcPr>
            <w:tcW w:w="1060" w:type="dxa"/>
            <w:vAlign w:val="bottom"/>
            <w:shd w:val="clear" w:color="auto" w:fill="EFEFEF"/>
          </w:tcPr>
          <w:p>
            <w:pPr>
              <w:spacing w:after="0"/>
              <w:rPr>
                <w:sz w:val="18"/>
                <w:szCs w:val="18"/>
                <w:color w:val="auto"/>
              </w:rPr>
            </w:pPr>
          </w:p>
        </w:tc>
        <w:tc>
          <w:tcPr>
            <w:tcW w:w="420" w:type="dxa"/>
            <w:vAlign w:val="bottom"/>
            <w:shd w:val="clear" w:color="auto" w:fill="EFEFEF"/>
          </w:tcPr>
          <w:p>
            <w:pPr>
              <w:spacing w:after="0"/>
              <w:rPr>
                <w:sz w:val="18"/>
                <w:szCs w:val="18"/>
                <w:color w:val="auto"/>
              </w:rPr>
            </w:pPr>
          </w:p>
        </w:tc>
        <w:tc>
          <w:tcPr>
            <w:tcW w:w="100" w:type="dxa"/>
            <w:vAlign w:val="bottom"/>
            <w:shd w:val="clear" w:color="auto" w:fill="EFEFEF"/>
          </w:tcPr>
          <w:p>
            <w:pPr>
              <w:spacing w:after="0"/>
              <w:rPr>
                <w:sz w:val="18"/>
                <w:szCs w:val="18"/>
                <w:color w:val="auto"/>
              </w:rPr>
            </w:pPr>
          </w:p>
        </w:tc>
        <w:tc>
          <w:tcPr>
            <w:tcW w:w="1080" w:type="dxa"/>
            <w:vAlign w:val="bottom"/>
            <w:shd w:val="clear" w:color="auto" w:fill="EFEFEF"/>
          </w:tcPr>
          <w:p>
            <w:pPr>
              <w:spacing w:after="0"/>
              <w:rPr>
                <w:sz w:val="18"/>
                <w:szCs w:val="18"/>
                <w:color w:val="auto"/>
              </w:rPr>
            </w:pPr>
          </w:p>
        </w:tc>
        <w:tc>
          <w:tcPr>
            <w:tcW w:w="400" w:type="dxa"/>
            <w:vAlign w:val="bottom"/>
            <w:shd w:val="clear" w:color="auto" w:fill="EFEFEF"/>
          </w:tcPr>
          <w:p>
            <w:pPr>
              <w:spacing w:after="0"/>
              <w:rPr>
                <w:sz w:val="18"/>
                <w:szCs w:val="18"/>
                <w:color w:val="auto"/>
              </w:rPr>
            </w:pPr>
          </w:p>
        </w:tc>
        <w:tc>
          <w:tcPr>
            <w:tcW w:w="100" w:type="dxa"/>
            <w:vAlign w:val="bottom"/>
            <w:shd w:val="clear" w:color="auto" w:fill="EFEFEF"/>
          </w:tcPr>
          <w:p>
            <w:pPr>
              <w:spacing w:after="0"/>
              <w:rPr>
                <w:sz w:val="18"/>
                <w:szCs w:val="18"/>
                <w:color w:val="auto"/>
              </w:rPr>
            </w:pPr>
          </w:p>
        </w:tc>
        <w:tc>
          <w:tcPr>
            <w:tcW w:w="180" w:type="dxa"/>
            <w:vAlign w:val="bottom"/>
            <w:shd w:val="clear" w:color="auto" w:fill="EFEFEF"/>
          </w:tcPr>
          <w:p>
            <w:pPr>
              <w:spacing w:after="0"/>
              <w:rPr>
                <w:sz w:val="18"/>
                <w:szCs w:val="18"/>
                <w:color w:val="auto"/>
              </w:rPr>
            </w:pPr>
          </w:p>
        </w:tc>
        <w:tc>
          <w:tcPr>
            <w:tcW w:w="940" w:type="dxa"/>
            <w:vAlign w:val="bottom"/>
            <w:shd w:val="clear" w:color="auto" w:fill="EFEFEF"/>
          </w:tcPr>
          <w:p>
            <w:pPr>
              <w:spacing w:after="0"/>
              <w:rPr>
                <w:sz w:val="18"/>
                <w:szCs w:val="18"/>
                <w:color w:val="auto"/>
              </w:rPr>
            </w:pPr>
          </w:p>
        </w:tc>
      </w:tr>
      <w:tr>
        <w:trPr>
          <w:trHeight w:val="243"/>
        </w:trPr>
        <w:tc>
          <w:tcPr>
            <w:tcW w:w="3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Price risk management activities: </w:t>
            </w:r>
            <w:r>
              <w:rPr>
                <w:rFonts w:ascii="Times New Roman" w:cs="Times New Roman" w:eastAsia="Times New Roman" w:hAnsi="Times New Roman"/>
                <w:sz w:val="26"/>
                <w:szCs w:val="26"/>
                <w:color w:val="auto"/>
                <w:vertAlign w:val="superscript"/>
              </w:rPr>
              <w:t>(1) (4)</w:t>
            </w: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Electricity</w:t>
            </w:r>
          </w:p>
        </w:tc>
        <w:tc>
          <w:tcPr>
            <w:tcW w:w="1880" w:type="dxa"/>
            <w:vAlign w:val="bottom"/>
            <w:gridSpan w:val="2"/>
            <w:shd w:val="clear" w:color="auto" w:fill="EFEFEF"/>
          </w:tcPr>
          <w:p>
            <w:pPr>
              <w:jc w:val="right"/>
              <w:ind w:right="6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1160" w:type="dxa"/>
            <w:vAlign w:val="bottom"/>
            <w:gridSpan w:val="2"/>
            <w:shd w:val="clear" w:color="auto" w:fill="EFEFEF"/>
          </w:tcPr>
          <w:p>
            <w:pPr>
              <w:jc w:val="right"/>
              <w:ind w:right="86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34</w:t>
            </w:r>
          </w:p>
        </w:tc>
        <w:tc>
          <w:tcPr>
            <w:tcW w:w="1180" w:type="dxa"/>
            <w:vAlign w:val="bottom"/>
            <w:gridSpan w:val="2"/>
            <w:shd w:val="clear" w:color="auto" w:fill="EFEFEF"/>
          </w:tcPr>
          <w:p>
            <w:pPr>
              <w:jc w:val="right"/>
              <w:ind w:right="88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FEFE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41</w:t>
            </w:r>
          </w:p>
        </w:tc>
      </w:tr>
      <w:tr>
        <w:trPr>
          <w:trHeight w:val="229"/>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Natural gas</w:t>
            </w:r>
          </w:p>
        </w:tc>
        <w:tc>
          <w:tcPr>
            <w:tcW w:w="10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111</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121</w:t>
            </w:r>
          </w:p>
        </w:tc>
      </w:tr>
      <w:tr>
        <w:trPr>
          <w:trHeight w:val="243"/>
        </w:trPr>
        <w:tc>
          <w:tcPr>
            <w:tcW w:w="1520" w:type="dxa"/>
            <w:vAlign w:val="bottom"/>
            <w:shd w:val="clear" w:color="auto" w:fill="EFEFEF"/>
          </w:tcPr>
          <w:p>
            <w:pPr>
              <w:spacing w:after="0"/>
              <w:rPr>
                <w:sz w:val="21"/>
                <w:szCs w:val="21"/>
                <w:color w:val="auto"/>
              </w:rPr>
            </w:pPr>
          </w:p>
        </w:tc>
        <w:tc>
          <w:tcPr>
            <w:tcW w:w="1880" w:type="dxa"/>
            <w:vAlign w:val="bottom"/>
            <w:shd w:val="clear" w:color="auto" w:fill="EFEFEF"/>
          </w:tcPr>
          <w:p>
            <w:pPr>
              <w:spacing w:after="0"/>
              <w:rPr>
                <w:sz w:val="21"/>
                <w:szCs w:val="21"/>
                <w:color w:val="auto"/>
              </w:rPr>
            </w:pPr>
          </w:p>
        </w:tc>
        <w:tc>
          <w:tcPr>
            <w:tcW w:w="1060" w:type="dxa"/>
            <w:vAlign w:val="bottom"/>
            <w:shd w:val="clear" w:color="auto" w:fill="EFEFEF"/>
          </w:tcPr>
          <w:p>
            <w:pPr>
              <w:spacing w:after="0"/>
              <w:rPr>
                <w:sz w:val="21"/>
                <w:szCs w:val="21"/>
                <w:color w:val="auto"/>
              </w:rPr>
            </w:pPr>
          </w:p>
        </w:tc>
        <w:tc>
          <w:tcPr>
            <w:tcW w:w="820" w:type="dxa"/>
            <w:vAlign w:val="bottom"/>
            <w:shd w:val="clear" w:color="auto" w:fill="EFEFEF"/>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34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118</w:t>
            </w:r>
          </w:p>
        </w:tc>
        <w:tc>
          <w:tcPr>
            <w:tcW w:w="1160" w:type="dxa"/>
            <w:vAlign w:val="bottom"/>
            <w:gridSpan w:val="2"/>
            <w:shd w:val="clear" w:color="auto" w:fill="EFEFEF"/>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180" w:type="dxa"/>
            <w:vAlign w:val="bottom"/>
            <w:gridSpan w:val="2"/>
            <w:shd w:val="clear" w:color="auto" w:fill="EFEFEF"/>
          </w:tcPr>
          <w:p>
            <w:pPr>
              <w:jc w:val="right"/>
              <w:ind w:right="8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FEFEF"/>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162</w:t>
            </w:r>
          </w:p>
        </w:tc>
      </w:tr>
      <w:tr>
        <w:trPr>
          <w:trHeight w:val="20"/>
        </w:trPr>
        <w:tc>
          <w:tcPr>
            <w:tcW w:w="1520" w:type="dxa"/>
            <w:vAlign w:val="bottom"/>
            <w:tcBorders>
              <w:top w:val="single" w:sz="8" w:color="EFEFEF"/>
            </w:tcBorders>
            <w:shd w:val="clear" w:color="auto" w:fill="EFEFEF"/>
          </w:tcPr>
          <w:p>
            <w:pPr>
              <w:spacing w:after="0" w:line="20" w:lineRule="exact"/>
              <w:rPr>
                <w:sz w:val="1"/>
                <w:szCs w:val="1"/>
                <w:color w:val="auto"/>
              </w:rPr>
            </w:pPr>
          </w:p>
        </w:tc>
        <w:tc>
          <w:tcPr>
            <w:tcW w:w="1880" w:type="dxa"/>
            <w:vAlign w:val="bottom"/>
            <w:tcBorders>
              <w:top w:val="single" w:sz="8" w:color="EFEFEF"/>
            </w:tcBorders>
            <w:shd w:val="clear" w:color="auto" w:fill="EFEFEF"/>
          </w:tcPr>
          <w:p>
            <w:pPr>
              <w:spacing w:after="0" w:line="20" w:lineRule="exact"/>
              <w:rPr>
                <w:sz w:val="1"/>
                <w:szCs w:val="1"/>
                <w:color w:val="auto"/>
              </w:rPr>
            </w:pPr>
          </w:p>
        </w:tc>
        <w:tc>
          <w:tcPr>
            <w:tcW w:w="1060" w:type="dxa"/>
            <w:vAlign w:val="bottom"/>
            <w:tcBorders>
              <w:top w:val="single" w:sz="8" w:color="EFEFEF"/>
            </w:tcBorders>
            <w:shd w:val="clear" w:color="auto" w:fill="EFEFE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-3333750</wp:posOffset>
            </wp:positionV>
            <wp:extent cx="43033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-951230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-951230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-951230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-951230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58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are subject to regulation, with certain gains and losses deferred pursuant to regulatory accounting and included in Regulatory assets or Regulatory liabilities as appropriate.</w:t>
      </w: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measured at NAV as a practical expedient and not subject to hierarchy level classification disclosure.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insurance policies of $32 million, which are recorded at cash surrender value.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information, see Note 5, Risk Management.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696"/>
        </w:trPr>
        <w:tc>
          <w:tcPr>
            <w:tcW w:w="152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gridSpan w:val="9"/>
          </w:tcPr>
          <w:p>
            <w:pPr>
              <w:jc w:val="center"/>
              <w:ind w:right="61"/>
              <w:spacing w:after="0"/>
              <w:rPr>
                <w:sz w:val="20"/>
                <w:szCs w:val="20"/>
                <w:color w:val="auto"/>
              </w:rPr>
            </w:pPr>
            <w:r>
              <w:rPr>
                <w:rFonts w:ascii="Times New Roman" w:cs="Times New Roman" w:eastAsia="Times New Roman" w:hAnsi="Times New Roman"/>
                <w:sz w:val="20"/>
                <w:szCs w:val="20"/>
                <w:b w:val="1"/>
                <w:bCs w:val="1"/>
                <w:color w:val="155CAB"/>
                <w:w w:val="98"/>
              </w:rPr>
              <w:t>PORTLAND GENERAL ELECTRIC COMPANY</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3"/>
        </w:trPr>
        <w:tc>
          <w:tcPr>
            <w:tcW w:w="1520" w:type="dxa"/>
            <w:vAlign w:val="bottom"/>
          </w:tcPr>
          <w:p>
            <w:pPr>
              <w:spacing w:after="0"/>
              <w:rPr>
                <w:sz w:val="20"/>
                <w:szCs w:val="20"/>
                <w:color w:val="auto"/>
              </w:rPr>
            </w:pPr>
          </w:p>
        </w:tc>
        <w:tc>
          <w:tcPr>
            <w:tcW w:w="8120" w:type="dxa"/>
            <w:vAlign w:val="bottom"/>
            <w:gridSpan w:val="13"/>
          </w:tcPr>
          <w:p>
            <w:pPr>
              <w:jc w:val="center"/>
              <w:ind w:left="1"/>
              <w:spacing w:after="0"/>
              <w:rPr>
                <w:sz w:val="20"/>
                <w:szCs w:val="20"/>
                <w:color w:val="auto"/>
              </w:rPr>
            </w:pPr>
            <w:r>
              <w:rPr>
                <w:rFonts w:ascii="Times New Roman" w:cs="Times New Roman" w:eastAsia="Times New Roman" w:hAnsi="Times New Roman"/>
                <w:sz w:val="20"/>
                <w:szCs w:val="20"/>
                <w:b w:val="1"/>
                <w:bCs w:val="1"/>
                <w:color w:val="155CAB"/>
                <w:w w:val="98"/>
              </w:rPr>
              <w:t>NOTES TO CONDENSED CONSOLIDATED FINANCIAL STATEMENTS, continued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8"/>
        </w:trPr>
        <w:tc>
          <w:tcPr>
            <w:tcW w:w="15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8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(Unaudited)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13"/>
        </w:trPr>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00" w:type="dxa"/>
            <w:vAlign w:val="bottom"/>
            <w:gridSpan w:val="6"/>
          </w:tcPr>
          <w:p>
            <w:pPr>
              <w:jc w:val="right"/>
              <w:ind w:right="701"/>
              <w:spacing w:after="0"/>
              <w:rPr>
                <w:sz w:val="20"/>
                <w:szCs w:val="20"/>
                <w:color w:val="auto"/>
              </w:rPr>
            </w:pPr>
            <w:r>
              <w:rPr>
                <w:rFonts w:ascii="Times New Roman" w:cs="Times New Roman" w:eastAsia="Times New Roman" w:hAnsi="Times New Roman"/>
                <w:sz w:val="20"/>
                <w:szCs w:val="20"/>
                <w:b w:val="1"/>
                <w:bCs w:val="1"/>
                <w:color w:val="155CAB"/>
                <w:w w:val="98"/>
              </w:rPr>
              <w:t>As of December 31, 2025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6"/>
        </w:trPr>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Borders>
              <w:bottom w:val="single" w:sz="8" w:color="155CAB"/>
            </w:tcBorders>
          </w:tcPr>
          <w:p>
            <w:pPr>
              <w:jc w:val="right"/>
              <w:spacing w:after="0"/>
              <w:rPr>
                <w:sz w:val="20"/>
                <w:szCs w:val="20"/>
                <w:color w:val="auto"/>
              </w:rPr>
            </w:pPr>
            <w:r>
              <w:rPr>
                <w:rFonts w:ascii="Times New Roman" w:cs="Times New Roman" w:eastAsia="Times New Roman" w:hAnsi="Times New Roman"/>
                <w:sz w:val="20"/>
                <w:szCs w:val="20"/>
                <w:b w:val="1"/>
                <w:bCs w:val="1"/>
                <w:color w:val="155CAB"/>
              </w:rPr>
              <w:t>Level 1</w:t>
            </w:r>
          </w:p>
        </w:tc>
        <w:tc>
          <w:tcPr>
            <w:tcW w:w="340" w:type="dxa"/>
            <w:vAlign w:val="bottom"/>
            <w:tcBorders>
              <w:bottom w:val="single" w:sz="8" w:color="155CAB"/>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155CAB"/>
            </w:tcBorders>
          </w:tcPr>
          <w:p>
            <w:pPr>
              <w:spacing w:after="0"/>
              <w:rPr>
                <w:sz w:val="24"/>
                <w:szCs w:val="24"/>
                <w:color w:val="auto"/>
              </w:rPr>
            </w:pPr>
          </w:p>
        </w:tc>
        <w:tc>
          <w:tcPr>
            <w:tcW w:w="860" w:type="dxa"/>
            <w:vAlign w:val="bottom"/>
            <w:tcBorders>
              <w:bottom w:val="single" w:sz="8" w:color="155CAB"/>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155CAB"/>
              </w:rPr>
              <w:t>Level 2</w:t>
            </w:r>
          </w:p>
        </w:tc>
        <w:tc>
          <w:tcPr>
            <w:tcW w:w="120" w:type="dxa"/>
            <w:vAlign w:val="bottom"/>
            <w:tcBorders>
              <w:bottom w:val="single" w:sz="8" w:color="155CAB"/>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155CAB"/>
            </w:tcBorders>
          </w:tcPr>
          <w:p>
            <w:pPr>
              <w:jc w:val="right"/>
              <w:spacing w:after="0"/>
              <w:rPr>
                <w:sz w:val="20"/>
                <w:szCs w:val="20"/>
                <w:color w:val="auto"/>
              </w:rPr>
            </w:pPr>
            <w:r>
              <w:rPr>
                <w:rFonts w:ascii="Times New Roman" w:cs="Times New Roman" w:eastAsia="Times New Roman" w:hAnsi="Times New Roman"/>
                <w:sz w:val="20"/>
                <w:szCs w:val="20"/>
                <w:b w:val="1"/>
                <w:bCs w:val="1"/>
                <w:color w:val="155CAB"/>
              </w:rPr>
              <w:t>Level 3</w:t>
            </w:r>
          </w:p>
        </w:tc>
        <w:tc>
          <w:tcPr>
            <w:tcW w:w="420" w:type="dxa"/>
            <w:vAlign w:val="bottom"/>
            <w:tcBorders>
              <w:bottom w:val="single" w:sz="8" w:color="155CAB"/>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155CAB"/>
            </w:tcBorders>
          </w:tcPr>
          <w:p>
            <w:pPr>
              <w:jc w:val="right"/>
              <w:spacing w:after="0" w:line="296" w:lineRule="exact"/>
              <w:rPr>
                <w:sz w:val="20"/>
                <w:szCs w:val="20"/>
                <w:color w:val="auto"/>
              </w:rPr>
            </w:pPr>
            <w:r>
              <w:rPr>
                <w:rFonts w:ascii="Times New Roman" w:cs="Times New Roman" w:eastAsia="Times New Roman" w:hAnsi="Times New Roman"/>
                <w:sz w:val="20"/>
                <w:szCs w:val="20"/>
                <w:b w:val="1"/>
                <w:bCs w:val="1"/>
                <w:color w:val="155CAB"/>
              </w:rPr>
              <w:t xml:space="preserve">Other </w:t>
            </w:r>
            <w:r>
              <w:rPr>
                <w:rFonts w:ascii="Times New Roman" w:cs="Times New Roman" w:eastAsia="Times New Roman" w:hAnsi="Times New Roman"/>
                <w:sz w:val="26"/>
                <w:szCs w:val="26"/>
                <w:b w:val="1"/>
                <w:bCs w:val="1"/>
                <w:color w:val="155CAB"/>
                <w:vertAlign w:val="superscript"/>
              </w:rPr>
              <w:t>(2)</w:t>
            </w:r>
          </w:p>
        </w:tc>
        <w:tc>
          <w:tcPr>
            <w:tcW w:w="380" w:type="dxa"/>
            <w:vAlign w:val="bottom"/>
            <w:tcBorders>
              <w:bottom w:val="single" w:sz="8" w:color="155CAB"/>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155CAB"/>
            </w:tcBorders>
          </w:tcPr>
          <w:p>
            <w:pPr>
              <w:spacing w:after="0"/>
              <w:rPr>
                <w:sz w:val="24"/>
                <w:szCs w:val="24"/>
                <w:color w:val="auto"/>
              </w:rPr>
            </w:pPr>
          </w:p>
        </w:tc>
        <w:tc>
          <w:tcPr>
            <w:tcW w:w="940" w:type="dxa"/>
            <w:vAlign w:val="bottom"/>
            <w:tcBorders>
              <w:bottom w:val="single" w:sz="8" w:color="155CAB"/>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155CAB"/>
              </w:rPr>
              <w:t>Total</w:t>
            </w:r>
          </w:p>
        </w:tc>
      </w:tr>
      <w:tr>
        <w:trPr>
          <w:trHeight w:val="223"/>
        </w:trPr>
        <w:tc>
          <w:tcPr>
            <w:tcW w:w="340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Assets:</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8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spacing w:after="0"/>
              <w:rPr>
                <w:sz w:val="19"/>
                <w:szCs w:val="19"/>
                <w:color w:val="auto"/>
              </w:rPr>
            </w:pPr>
          </w:p>
        </w:tc>
      </w:tr>
      <w:tr>
        <w:trPr>
          <w:trHeight w:val="23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Cash equivalents</w:t>
            </w:r>
          </w:p>
        </w:tc>
        <w:tc>
          <w:tcPr>
            <w:tcW w:w="188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86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59</w:t>
            </w:r>
          </w:p>
        </w:tc>
      </w:tr>
      <w:tr>
        <w:trPr>
          <w:trHeight w:val="243"/>
        </w:trPr>
        <w:tc>
          <w:tcPr>
            <w:tcW w:w="3400" w:type="dxa"/>
            <w:vAlign w:val="bottom"/>
            <w:gridSpan w:val="2"/>
            <w:shd w:val="clear" w:color="auto" w:fill="EFEFEF"/>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Nuclear decommissioning trust: </w:t>
            </w:r>
            <w:r>
              <w:rPr>
                <w:rFonts w:ascii="Times New Roman" w:cs="Times New Roman" w:eastAsia="Times New Roman" w:hAnsi="Times New Roman"/>
                <w:sz w:val="26"/>
                <w:szCs w:val="26"/>
                <w:color w:val="auto"/>
                <w:vertAlign w:val="superscript"/>
              </w:rPr>
              <w:t>(1)</w:t>
            </w:r>
          </w:p>
        </w:tc>
        <w:tc>
          <w:tcPr>
            <w:tcW w:w="1060" w:type="dxa"/>
            <w:vAlign w:val="bottom"/>
            <w:shd w:val="clear" w:color="auto" w:fill="EFEFEF"/>
          </w:tcPr>
          <w:p>
            <w:pPr>
              <w:spacing w:after="0"/>
              <w:rPr>
                <w:sz w:val="21"/>
                <w:szCs w:val="21"/>
                <w:color w:val="auto"/>
              </w:rPr>
            </w:pPr>
          </w:p>
        </w:tc>
        <w:tc>
          <w:tcPr>
            <w:tcW w:w="820" w:type="dxa"/>
            <w:vAlign w:val="bottom"/>
            <w:shd w:val="clear" w:color="auto" w:fill="EFEFEF"/>
          </w:tcPr>
          <w:p>
            <w:pPr>
              <w:spacing w:after="0"/>
              <w:rPr>
                <w:sz w:val="21"/>
                <w:szCs w:val="21"/>
                <w:color w:val="auto"/>
              </w:rPr>
            </w:pPr>
          </w:p>
        </w:tc>
        <w:tc>
          <w:tcPr>
            <w:tcW w:w="34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86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060" w:type="dxa"/>
            <w:vAlign w:val="bottom"/>
            <w:shd w:val="clear" w:color="auto" w:fill="EFEFEF"/>
          </w:tcPr>
          <w:p>
            <w:pPr>
              <w:spacing w:after="0"/>
              <w:rPr>
                <w:sz w:val="21"/>
                <w:szCs w:val="21"/>
                <w:color w:val="auto"/>
              </w:rPr>
            </w:pPr>
          </w:p>
        </w:tc>
        <w:tc>
          <w:tcPr>
            <w:tcW w:w="42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100" w:type="dxa"/>
            <w:vAlign w:val="bottom"/>
            <w:shd w:val="clear" w:color="auto" w:fill="EFEFEF"/>
          </w:tcPr>
          <w:p>
            <w:pPr>
              <w:spacing w:after="0"/>
              <w:rPr>
                <w:sz w:val="21"/>
                <w:szCs w:val="21"/>
                <w:color w:val="auto"/>
              </w:rPr>
            </w:pPr>
          </w:p>
        </w:tc>
        <w:tc>
          <w:tcPr>
            <w:tcW w:w="38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80" w:type="dxa"/>
            <w:vAlign w:val="bottom"/>
            <w:shd w:val="clear" w:color="auto" w:fill="EFEFEF"/>
          </w:tcPr>
          <w:p>
            <w:pPr>
              <w:spacing w:after="0"/>
              <w:rPr>
                <w:sz w:val="21"/>
                <w:szCs w:val="21"/>
                <w:color w:val="auto"/>
              </w:rPr>
            </w:pPr>
          </w:p>
        </w:tc>
        <w:tc>
          <w:tcPr>
            <w:tcW w:w="940" w:type="dxa"/>
            <w:vAlign w:val="bottom"/>
            <w:shd w:val="clear" w:color="auto" w:fill="EFEFEF"/>
          </w:tcPr>
          <w:p>
            <w:pPr>
              <w:spacing w:after="0"/>
              <w:rPr>
                <w:sz w:val="21"/>
                <w:szCs w:val="21"/>
                <w:color w:val="auto"/>
              </w:rPr>
            </w:pPr>
          </w:p>
        </w:tc>
      </w:tr>
      <w:tr>
        <w:trPr>
          <w:trHeight w:val="230"/>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Debt securities: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400" w:type="dxa"/>
            <w:vAlign w:val="bottom"/>
            <w:gridSpan w:val="2"/>
            <w:shd w:val="clear" w:color="auto" w:fill="EFEFEF"/>
          </w:tcPr>
          <w:p>
            <w:pPr>
              <w:ind w:left="340"/>
              <w:spacing w:after="0"/>
              <w:rPr>
                <w:sz w:val="20"/>
                <w:szCs w:val="20"/>
                <w:color w:val="auto"/>
              </w:rPr>
            </w:pPr>
            <w:r>
              <w:rPr>
                <w:rFonts w:ascii="Times New Roman" w:cs="Times New Roman" w:eastAsia="Times New Roman" w:hAnsi="Times New Roman"/>
                <w:sz w:val="20"/>
                <w:szCs w:val="20"/>
                <w:color w:val="auto"/>
              </w:rPr>
              <w:t>Domestic government</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14</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25</w:t>
            </w:r>
          </w:p>
        </w:tc>
      </w:tr>
      <w:tr>
        <w:trPr>
          <w:trHeight w:val="229"/>
        </w:trPr>
        <w:tc>
          <w:tcPr>
            <w:tcW w:w="34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Corporate credit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Money market funds</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r>
      <w:tr>
        <w:trPr>
          <w:trHeight w:val="243"/>
        </w:trPr>
        <w:tc>
          <w:tcPr>
            <w:tcW w:w="3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Non-qualified benefit plan trust: </w:t>
            </w:r>
            <w:r>
              <w:rPr>
                <w:rFonts w:ascii="Times New Roman" w:cs="Times New Roman" w:eastAsia="Times New Roman" w:hAnsi="Times New Roman"/>
                <w:sz w:val="26"/>
                <w:szCs w:val="26"/>
                <w:color w:val="auto"/>
                <w:vertAlign w:val="superscript"/>
              </w:rPr>
              <w:t>(3)</w:t>
            </w: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Debt securities—domestic government</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Paid Leave Oregon Trust: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Money market funds</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r>
      <w:tr>
        <w:trPr>
          <w:trHeight w:val="243"/>
        </w:trPr>
        <w:tc>
          <w:tcPr>
            <w:tcW w:w="3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Price risk management activities: </w:t>
            </w:r>
            <w:r>
              <w:rPr>
                <w:rFonts w:ascii="Times New Roman" w:cs="Times New Roman" w:eastAsia="Times New Roman" w:hAnsi="Times New Roman"/>
                <w:sz w:val="26"/>
                <w:szCs w:val="26"/>
                <w:color w:val="auto"/>
                <w:vertAlign w:val="superscript"/>
              </w:rPr>
              <w:t>(1) (4)</w:t>
            </w: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3400" w:type="dxa"/>
            <w:vAlign w:val="bottom"/>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Electricity</w:t>
            </w:r>
          </w:p>
        </w:tc>
        <w:tc>
          <w:tcPr>
            <w:tcW w:w="1060" w:type="dxa"/>
            <w:vAlign w:val="bottom"/>
            <w:shd w:val="clear" w:color="auto" w:fill="EFEFEF"/>
          </w:tcPr>
          <w:p>
            <w:pPr>
              <w:spacing w:after="0"/>
              <w:rPr>
                <w:sz w:val="19"/>
                <w:szCs w:val="19"/>
                <w:color w:val="auto"/>
              </w:rPr>
            </w:pPr>
          </w:p>
        </w:tc>
        <w:tc>
          <w:tcPr>
            <w:tcW w:w="820" w:type="dxa"/>
            <w:vAlign w:val="bottom"/>
            <w:shd w:val="clear" w:color="auto" w:fill="EFEFEF"/>
          </w:tcPr>
          <w:p>
            <w:pPr>
              <w:spacing w:after="0"/>
              <w:rPr>
                <w:sz w:val="19"/>
                <w:szCs w:val="19"/>
                <w:color w:val="auto"/>
              </w:rPr>
            </w:pPr>
          </w:p>
        </w:tc>
        <w:tc>
          <w:tcPr>
            <w:tcW w:w="34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6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Natural gas</w:t>
            </w:r>
          </w:p>
        </w:tc>
        <w:tc>
          <w:tcPr>
            <w:tcW w:w="10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r>
      <w:tr>
        <w:trPr>
          <w:trHeight w:val="263"/>
        </w:trPr>
        <w:tc>
          <w:tcPr>
            <w:tcW w:w="1520" w:type="dxa"/>
            <w:vAlign w:val="bottom"/>
            <w:shd w:val="clear" w:color="auto" w:fill="EFEFEF"/>
          </w:tcPr>
          <w:p>
            <w:pPr>
              <w:spacing w:after="0"/>
              <w:rPr>
                <w:sz w:val="22"/>
                <w:szCs w:val="22"/>
                <w:color w:val="auto"/>
              </w:rPr>
            </w:pPr>
          </w:p>
        </w:tc>
        <w:tc>
          <w:tcPr>
            <w:tcW w:w="1880" w:type="dxa"/>
            <w:vAlign w:val="bottom"/>
            <w:shd w:val="clear" w:color="auto" w:fill="EFEFEF"/>
          </w:tcPr>
          <w:p>
            <w:pPr>
              <w:spacing w:after="0"/>
              <w:rPr>
                <w:sz w:val="22"/>
                <w:szCs w:val="22"/>
                <w:color w:val="auto"/>
              </w:rPr>
            </w:pPr>
          </w:p>
        </w:tc>
        <w:tc>
          <w:tcPr>
            <w:tcW w:w="1880" w:type="dxa"/>
            <w:vAlign w:val="bottom"/>
            <w:gridSpan w:val="2"/>
            <w:shd w:val="clear" w:color="auto" w:fill="EFEFEF"/>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89"/>
              </w:rPr>
              <w:t>74</w:t>
            </w:r>
          </w:p>
        </w:tc>
        <w:tc>
          <w:tcPr>
            <w:tcW w:w="26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53</w:t>
            </w:r>
          </w:p>
        </w:tc>
        <w:tc>
          <w:tcPr>
            <w:tcW w:w="1280" w:type="dxa"/>
            <w:vAlign w:val="bottom"/>
            <w:gridSpan w:val="3"/>
            <w:shd w:val="clear" w:color="auto" w:fill="EFEFEF"/>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200" w:type="dxa"/>
            <w:vAlign w:val="bottom"/>
            <w:gridSpan w:val="2"/>
            <w:shd w:val="clear" w:color="auto" w:fill="EFEFEF"/>
          </w:tcPr>
          <w:p>
            <w:pPr>
              <w:jc w:val="right"/>
              <w:ind w:right="9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280" w:type="dxa"/>
            <w:vAlign w:val="bottom"/>
            <w:gridSpan w:val="2"/>
            <w:shd w:val="clear" w:color="auto" w:fill="EFEFEF"/>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142</w:t>
            </w:r>
          </w:p>
        </w:tc>
      </w:tr>
      <w:tr>
        <w:trPr>
          <w:trHeight w:val="210"/>
        </w:trPr>
        <w:tc>
          <w:tcPr>
            <w:tcW w:w="3400" w:type="dxa"/>
            <w:vAlign w:val="bottom"/>
            <w:tcBorders>
              <w:top w:val="single" w:sz="8" w:color="EFEFEF"/>
            </w:tcBorders>
            <w:gridSpan w:val="2"/>
          </w:tcPr>
          <w:p>
            <w:pPr>
              <w:spacing w:after="0" w:line="210" w:lineRule="exact"/>
              <w:rPr>
                <w:sz w:val="20"/>
                <w:szCs w:val="20"/>
                <w:color w:val="auto"/>
              </w:rPr>
            </w:pPr>
            <w:r>
              <w:rPr>
                <w:rFonts w:ascii="Times New Roman" w:cs="Times New Roman" w:eastAsia="Times New Roman" w:hAnsi="Times New Roman"/>
                <w:sz w:val="20"/>
                <w:szCs w:val="20"/>
                <w:color w:val="auto"/>
              </w:rPr>
              <w:t>Liabilities:</w:t>
            </w:r>
          </w:p>
        </w:tc>
        <w:tc>
          <w:tcPr>
            <w:tcW w:w="1060" w:type="dxa"/>
            <w:vAlign w:val="bottom"/>
            <w:tcBorders>
              <w:top w:val="single" w:sz="8" w:color="EFEFE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43"/>
        </w:trPr>
        <w:tc>
          <w:tcPr>
            <w:tcW w:w="3400" w:type="dxa"/>
            <w:vAlign w:val="bottom"/>
            <w:gridSpan w:val="2"/>
            <w:shd w:val="clear" w:color="auto" w:fill="EFEFEF"/>
          </w:tcPr>
          <w:p>
            <w:pPr>
              <w:ind w:left="120"/>
              <w:spacing w:after="0" w:line="243" w:lineRule="exact"/>
              <w:rPr>
                <w:sz w:val="20"/>
                <w:szCs w:val="20"/>
                <w:color w:val="auto"/>
              </w:rPr>
            </w:pPr>
            <w:r>
              <w:rPr>
                <w:rFonts w:ascii="Times New Roman" w:cs="Times New Roman" w:eastAsia="Times New Roman" w:hAnsi="Times New Roman"/>
                <w:sz w:val="20"/>
                <w:szCs w:val="20"/>
                <w:color w:val="auto"/>
              </w:rPr>
              <w:t xml:space="preserve">Price risk management activities: </w:t>
            </w:r>
            <w:r>
              <w:rPr>
                <w:rFonts w:ascii="Times New Roman" w:cs="Times New Roman" w:eastAsia="Times New Roman" w:hAnsi="Times New Roman"/>
                <w:sz w:val="26"/>
                <w:szCs w:val="26"/>
                <w:color w:val="auto"/>
                <w:vertAlign w:val="superscript"/>
              </w:rPr>
              <w:t>(1) (4)</w:t>
            </w:r>
          </w:p>
        </w:tc>
        <w:tc>
          <w:tcPr>
            <w:tcW w:w="1060" w:type="dxa"/>
            <w:vAlign w:val="bottom"/>
            <w:shd w:val="clear" w:color="auto" w:fill="EFEFEF"/>
          </w:tcPr>
          <w:p>
            <w:pPr>
              <w:spacing w:after="0"/>
              <w:rPr>
                <w:sz w:val="21"/>
                <w:szCs w:val="21"/>
                <w:color w:val="auto"/>
              </w:rPr>
            </w:pPr>
          </w:p>
        </w:tc>
        <w:tc>
          <w:tcPr>
            <w:tcW w:w="820" w:type="dxa"/>
            <w:vAlign w:val="bottom"/>
            <w:shd w:val="clear" w:color="auto" w:fill="EFEFEF"/>
          </w:tcPr>
          <w:p>
            <w:pPr>
              <w:spacing w:after="0"/>
              <w:rPr>
                <w:sz w:val="21"/>
                <w:szCs w:val="21"/>
                <w:color w:val="auto"/>
              </w:rPr>
            </w:pPr>
          </w:p>
        </w:tc>
        <w:tc>
          <w:tcPr>
            <w:tcW w:w="34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86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060" w:type="dxa"/>
            <w:vAlign w:val="bottom"/>
            <w:shd w:val="clear" w:color="auto" w:fill="EFEFEF"/>
          </w:tcPr>
          <w:p>
            <w:pPr>
              <w:spacing w:after="0"/>
              <w:rPr>
                <w:sz w:val="21"/>
                <w:szCs w:val="21"/>
                <w:color w:val="auto"/>
              </w:rPr>
            </w:pPr>
          </w:p>
        </w:tc>
        <w:tc>
          <w:tcPr>
            <w:tcW w:w="42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100" w:type="dxa"/>
            <w:vAlign w:val="bottom"/>
            <w:shd w:val="clear" w:color="auto" w:fill="EFEFEF"/>
          </w:tcPr>
          <w:p>
            <w:pPr>
              <w:spacing w:after="0"/>
              <w:rPr>
                <w:sz w:val="21"/>
                <w:szCs w:val="21"/>
                <w:color w:val="auto"/>
              </w:rPr>
            </w:pPr>
          </w:p>
        </w:tc>
        <w:tc>
          <w:tcPr>
            <w:tcW w:w="38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80" w:type="dxa"/>
            <w:vAlign w:val="bottom"/>
            <w:shd w:val="clear" w:color="auto" w:fill="EFEFEF"/>
          </w:tcPr>
          <w:p>
            <w:pPr>
              <w:spacing w:after="0"/>
              <w:rPr>
                <w:sz w:val="21"/>
                <w:szCs w:val="21"/>
                <w:color w:val="auto"/>
              </w:rPr>
            </w:pPr>
          </w:p>
        </w:tc>
        <w:tc>
          <w:tcPr>
            <w:tcW w:w="940" w:type="dxa"/>
            <w:vAlign w:val="bottom"/>
            <w:shd w:val="clear" w:color="auto" w:fill="EFEFEF"/>
          </w:tcPr>
          <w:p>
            <w:pPr>
              <w:spacing w:after="0"/>
              <w:rPr>
                <w:sz w:val="21"/>
                <w:szCs w:val="21"/>
                <w:color w:val="auto"/>
              </w:rPr>
            </w:pPr>
          </w:p>
        </w:tc>
      </w:tr>
      <w:tr>
        <w:trPr>
          <w:trHeight w:val="229"/>
        </w:trPr>
        <w:tc>
          <w:tcPr>
            <w:tcW w:w="3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Electricity</w:t>
            </w:r>
          </w:p>
        </w:tc>
        <w:tc>
          <w:tcPr>
            <w:tcW w:w="188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280" w:type="dxa"/>
            <w:vAlign w:val="bottom"/>
            <w:gridSpan w:val="3"/>
          </w:tcPr>
          <w:p>
            <w:pPr>
              <w:jc w:val="right"/>
              <w:ind w:right="86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37</w:t>
            </w:r>
          </w:p>
        </w:tc>
        <w:tc>
          <w:tcPr>
            <w:tcW w:w="1200" w:type="dxa"/>
            <w:vAlign w:val="bottom"/>
            <w:gridSpan w:val="2"/>
          </w:tcPr>
          <w:p>
            <w:pPr>
              <w:jc w:val="right"/>
              <w:ind w:right="90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3400" w:type="dxa"/>
            <w:vAlign w:val="bottom"/>
            <w:tcBorders>
              <w:bottom w:val="single" w:sz="8" w:color="EFEFEF"/>
            </w:tcBorders>
            <w:gridSpan w:val="2"/>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Natural gas</w:t>
            </w:r>
          </w:p>
        </w:tc>
        <w:tc>
          <w:tcPr>
            <w:tcW w:w="1060" w:type="dxa"/>
            <w:vAlign w:val="bottom"/>
            <w:tcBorders>
              <w:bottom w:val="single" w:sz="8" w:color="EFEFEF"/>
            </w:tcBorders>
            <w:shd w:val="clear" w:color="auto" w:fill="EFEFEF"/>
          </w:tcPr>
          <w:p>
            <w:pPr>
              <w:spacing w:after="0"/>
              <w:rPr>
                <w:sz w:val="19"/>
                <w:szCs w:val="19"/>
                <w:color w:val="auto"/>
              </w:rPr>
            </w:pPr>
          </w:p>
        </w:tc>
        <w:tc>
          <w:tcPr>
            <w:tcW w:w="820" w:type="dxa"/>
            <w:vAlign w:val="bottom"/>
            <w:tcBorders>
              <w:bottom w:val="single" w:sz="8" w:color="auto"/>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120" w:type="dxa"/>
            <w:vAlign w:val="bottom"/>
            <w:tcBorders>
              <w:bottom w:val="single" w:sz="8" w:color="auto"/>
            </w:tcBorders>
            <w:shd w:val="clear" w:color="auto" w:fill="EFEFEF"/>
          </w:tcPr>
          <w:p>
            <w:pPr>
              <w:spacing w:after="0"/>
              <w:rPr>
                <w:sz w:val="19"/>
                <w:szCs w:val="19"/>
                <w:color w:val="auto"/>
              </w:rPr>
            </w:pPr>
          </w:p>
        </w:tc>
        <w:tc>
          <w:tcPr>
            <w:tcW w:w="100" w:type="dxa"/>
            <w:vAlign w:val="bottom"/>
            <w:tcBorders>
              <w:bottom w:val="single" w:sz="8" w:color="EFEFEF"/>
            </w:tcBorders>
            <w:shd w:val="clear" w:color="auto" w:fill="EFEFEF"/>
          </w:tcPr>
          <w:p>
            <w:pPr>
              <w:spacing w:after="0"/>
              <w:rPr>
                <w:sz w:val="19"/>
                <w:szCs w:val="19"/>
                <w:color w:val="auto"/>
              </w:rPr>
            </w:pPr>
          </w:p>
        </w:tc>
        <w:tc>
          <w:tcPr>
            <w:tcW w:w="106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EFEFEF"/>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spacing w:after="0"/>
              <w:rPr>
                <w:sz w:val="19"/>
                <w:szCs w:val="19"/>
                <w:color w:val="auto"/>
              </w:rPr>
            </w:pPr>
          </w:p>
        </w:tc>
        <w:tc>
          <w:tcPr>
            <w:tcW w:w="3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18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164</w:t>
            </w:r>
          </w:p>
        </w:tc>
      </w:tr>
      <w:tr>
        <w:trPr>
          <w:trHeight w:val="223"/>
        </w:trPr>
        <w:tc>
          <w:tcPr>
            <w:tcW w:w="1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gridSpan w:val="2"/>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173</w:t>
            </w:r>
          </w:p>
        </w:tc>
        <w:tc>
          <w:tcPr>
            <w:tcW w:w="1280" w:type="dxa"/>
            <w:vAlign w:val="bottom"/>
            <w:gridSpan w:val="3"/>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1200" w:type="dxa"/>
            <w:vAlign w:val="bottom"/>
            <w:gridSpan w:val="2"/>
          </w:tcPr>
          <w:p>
            <w:pPr>
              <w:jc w:val="right"/>
              <w:ind w:right="9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214</w:t>
            </w:r>
          </w:p>
        </w:tc>
      </w:tr>
      <w:tr>
        <w:trPr>
          <w:trHeight w:val="20"/>
        </w:trPr>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-3188335</wp:posOffset>
            </wp:positionV>
            <wp:extent cx="43033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-796925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-779145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-796925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-779145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-796925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-779145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-796925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-779145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-179705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-179705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-179705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-179705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0" w:firstLine="8"/>
        <w:spacing w:after="0" w:line="261" w:lineRule="auto"/>
        <w:tabs>
          <w:tab w:leader="none" w:pos="2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are subject to regulation, with certain gains and losses deferred pursuant to regulatory accounting and included in Regulatory assets or Regulatory liabilities as appropriate.</w:t>
      </w: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measured at NAV as a practical expedient and not subject to hierarchy level classification disclosure.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insurance policies of $35 million, which are recorded at cash surrender value.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information, see Note 5, Risk Management.</w:t>
      </w:r>
    </w:p>
    <w:p>
      <w:pPr>
        <w:spacing w:after="0" w:line="19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equivalents </w:t>
      </w:r>
      <w:r>
        <w:rPr>
          <w:rFonts w:ascii="Times New Roman" w:cs="Times New Roman" w:eastAsia="Times New Roman" w:hAnsi="Times New Roman"/>
          <w:sz w:val="20"/>
          <w:szCs w:val="20"/>
          <w:color w:val="auto"/>
        </w:rPr>
        <w:t>are highly liquid investments with maturities of three months or less at the date of acquisition and primarily consist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money market funds. Such funds seek to maintain a stable NAV and are comprised of short-term, government funds. Policies of such funds require that the weighted average maturity of securities holdings of such funds not exceed 90 days and provide investors with the ability to redeem shares of the funds daily at their respective NAV. Cash equivalents are classified as Level 1 in the fair value hierarchy due to the availability of quoted prices for identical assets in an active market as of the measurement date. Principal markets for money market fund prices include published exchanges such as the National Association of Securities Dealers Automated Quotations (Nasdaq) and the New York Stock Exchange (NYSE).</w:t>
      </w:r>
    </w:p>
    <w:p>
      <w:pPr>
        <w:spacing w:after="0" w:line="1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Assets held in the Nuclear decommissioning trust (NDT), Non-qualified benefit plan (NQBP) trust, and Paid Leave Oregon trust </w:t>
      </w:r>
      <w:r>
        <w:rPr>
          <w:rFonts w:ascii="Times New Roman" w:cs="Times New Roman" w:eastAsia="Times New Roman" w:hAnsi="Times New Roman"/>
          <w:sz w:val="20"/>
          <w:szCs w:val="20"/>
          <w:color w:val="auto"/>
        </w:rPr>
        <w:t>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recorded at fair value in PGE’s condensed consolidated balance sheets and invested in securities that are exposed to interest rate, credit, and market volatility risks. These assets are classified within Level 1, 2, or 3 based on the following factors:</w:t>
      </w:r>
    </w:p>
    <w:p>
      <w:pPr>
        <w:spacing w:after="0" w:line="169"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20"/>
          <w:szCs w:val="20"/>
          <w:i w:val="1"/>
          <w:iCs w:val="1"/>
          <w:color w:val="auto"/>
        </w:rPr>
        <w:t>Debt securities</w:t>
      </w:r>
      <w:r>
        <w:rPr>
          <w:rFonts w:ascii="Times New Roman" w:cs="Times New Roman" w:eastAsia="Times New Roman" w:hAnsi="Times New Roman"/>
          <w:sz w:val="20"/>
          <w:szCs w:val="20"/>
          <w:color w:val="auto"/>
        </w:rPr>
        <w:t>—PGE invests in highly-liquid United States Treasury securities to support the investment objectives of the trusts.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These domestic government securities are classified as Level 1 in the fair value hierarchy due to the availability of quoted prices for identical assets in an active market as of the measurement date.</w:t>
      </w:r>
    </w:p>
    <w:p>
      <w:pPr>
        <w:spacing w:after="0" w:line="173"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20"/>
          <w:szCs w:val="20"/>
          <w:color w:val="auto"/>
        </w:rPr>
        <w:t>Assets classified as Level 2 in the fair value hierarchy include domestic government debt securities, such as municipal debt, and corporate credit securities. Prices are determined by evaluating pricing data such as broker quotes for similar securities and adjusted for observable differences. Significant inputs used in valuation models generally include benchmark yields and issuer spreads. The external credit rating, coupon rate, and maturity of each security are considered in the valuation, as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19" w:lineRule="exact"/>
        <w:rPr>
          <w:sz w:val="20"/>
          <w:szCs w:val="20"/>
          <w:color w:val="auto"/>
        </w:rPr>
      </w:pPr>
    </w:p>
    <w:p>
      <w:pPr>
        <w:ind w:left="760" w:right="60"/>
        <w:spacing w:after="0" w:line="250" w:lineRule="auto"/>
        <w:rPr>
          <w:sz w:val="20"/>
          <w:szCs w:val="20"/>
          <w:color w:val="auto"/>
        </w:rPr>
      </w:pPr>
      <w:r>
        <w:rPr>
          <w:rFonts w:ascii="Times New Roman" w:cs="Times New Roman" w:eastAsia="Times New Roman" w:hAnsi="Times New Roman"/>
          <w:sz w:val="20"/>
          <w:szCs w:val="20"/>
          <w:i w:val="1"/>
          <w:iCs w:val="1"/>
          <w:color w:val="auto"/>
        </w:rPr>
        <w:t>Money market funds</w:t>
      </w:r>
      <w:r>
        <w:rPr>
          <w:rFonts w:ascii="Times New Roman" w:cs="Times New Roman" w:eastAsia="Times New Roman" w:hAnsi="Times New Roman"/>
          <w:sz w:val="20"/>
          <w:szCs w:val="20"/>
          <w:color w:val="auto"/>
        </w:rPr>
        <w:t>—PGE invests in money market funds that seek to maintain a stable NAV. These funds invest in high-quality,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short-term, diversified money market instruments, short-term treasury bills, federal agency securities, certificates of deposits, and commercial paper. The Company believes the redemption value of these funds is likely to be the fair value, which is represented by the NAV. Redemption is permitted daily without written notice.</w:t>
      </w:r>
    </w:p>
    <w:p>
      <w:pPr>
        <w:spacing w:after="0" w:line="180"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20"/>
          <w:szCs w:val="20"/>
          <w:color w:val="auto"/>
        </w:rPr>
        <w:t>The NQBP trust is invested in a money market fund that is invested in domestic debt securities such as government debt securities, corporate securities and municipal debt and is classified as Level 2 in the fair value hierarchy due to the availability of the underlying assets being quoted prices in published exchanges such as Nasdaq and the NYSE. The money market fund in the NDT is valued at NAV as a practical expedient and is not included in the fair value hierarchy.</w:t>
      </w:r>
    </w:p>
    <w:p>
      <w:pPr>
        <w:spacing w:after="0" w:line="17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Assets and liabilities from price risk management activities, </w:t>
      </w:r>
      <w:r>
        <w:rPr>
          <w:rFonts w:ascii="Times New Roman" w:cs="Times New Roman" w:eastAsia="Times New Roman" w:hAnsi="Times New Roman"/>
          <w:sz w:val="20"/>
          <w:szCs w:val="20"/>
          <w:color w:val="auto"/>
        </w:rPr>
        <w:t>recorded at fair value in PGE’s condensed consolidated balance sheets, consist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derivative instruments entered into by the Company to manage its risk exposure to commodity price and foreign currency exchange rates and reduce volatility in NVPC for the Company’s retail customers. For additional information regarding these assets and liabilities, see Note 5, Risk Management.</w:t>
      </w:r>
    </w:p>
    <w:p>
      <w:pPr>
        <w:spacing w:after="0" w:line="18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For those assets and liabilities from price risk management activities classified as Level 2, fair value is derived using present value formulas that utilize inputs such as forward commodity prices and interest rates. Substantially all of these inputs are observable in the marketplace throughout the full term of the instrument, can be derived from observable data, or are supported by observable levels at which transactions are executed in the marketplace. Instruments in this category include commodity forwards, futures, and swaps.</w:t>
      </w:r>
    </w:p>
    <w:p>
      <w:pPr>
        <w:spacing w:after="0" w:line="180"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Assets and liabilities from price risk management activities classified as Level 3 consist of longer-term commodity forwards, futures, swaps, and options for which fair value is derived using one or more significant inputs that are not observable for the entire term of the instrument, such as tenor of observable market quotes.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Quantitative information regarding the significant, unobservable inputs used in the measurement of Level 3 assets and liabilities from price risk management activities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420" w:type="dxa"/>
            <w:vAlign w:val="bottom"/>
            <w:tcBorders>
              <w:bottom w:val="single" w:sz="8" w:color="155CAB"/>
            </w:tcBorders>
            <w:gridSpan w:val="3"/>
          </w:tcPr>
          <w:p>
            <w:pPr>
              <w:jc w:val="center"/>
              <w:ind w:left="61"/>
              <w:spacing w:after="0"/>
              <w:rPr>
                <w:sz w:val="20"/>
                <w:szCs w:val="20"/>
                <w:color w:val="auto"/>
              </w:rPr>
            </w:pPr>
            <w:r>
              <w:rPr>
                <w:rFonts w:ascii="Times New Roman" w:cs="Times New Roman" w:eastAsia="Times New Roman" w:hAnsi="Times New Roman"/>
                <w:sz w:val="20"/>
                <w:szCs w:val="20"/>
                <w:b w:val="1"/>
                <w:bCs w:val="1"/>
                <w:color w:val="155CAB"/>
                <w:w w:val="98"/>
              </w:rPr>
              <w:t>Fair Value</w:t>
            </w:r>
          </w:p>
        </w:tc>
        <w:tc>
          <w:tcPr>
            <w:tcW w:w="380" w:type="dxa"/>
            <w:vAlign w:val="bottom"/>
            <w:tcBorders>
              <w:bottom w:val="single" w:sz="8" w:color="155CAB"/>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155CAB"/>
              </w:rPr>
              <w:t>Significant</w:t>
            </w:r>
          </w:p>
        </w:tc>
        <w:tc>
          <w:tcPr>
            <w:tcW w:w="12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660" w:type="dxa"/>
            <w:vAlign w:val="bottom"/>
            <w:tcBorders>
              <w:bottom w:val="single" w:sz="8" w:color="155CAB"/>
            </w:tcBorders>
          </w:tcPr>
          <w:p>
            <w:pPr>
              <w:spacing w:after="0"/>
              <w:rPr>
                <w:sz w:val="22"/>
                <w:szCs w:val="22"/>
                <w:color w:val="auto"/>
              </w:rPr>
            </w:pPr>
          </w:p>
        </w:tc>
        <w:tc>
          <w:tcPr>
            <w:tcW w:w="1240" w:type="dxa"/>
            <w:vAlign w:val="bottom"/>
            <w:tcBorders>
              <w:bottom w:val="single" w:sz="8" w:color="155CAB"/>
            </w:tcBorders>
            <w:gridSpan w:val="5"/>
          </w:tcPr>
          <w:p>
            <w:pPr>
              <w:ind w:left="20"/>
              <w:spacing w:after="0"/>
              <w:rPr>
                <w:sz w:val="20"/>
                <w:szCs w:val="20"/>
                <w:color w:val="auto"/>
              </w:rPr>
            </w:pPr>
            <w:r>
              <w:rPr>
                <w:rFonts w:ascii="Times New Roman" w:cs="Times New Roman" w:eastAsia="Times New Roman" w:hAnsi="Times New Roman"/>
                <w:sz w:val="20"/>
                <w:szCs w:val="20"/>
                <w:b w:val="1"/>
                <w:bCs w:val="1"/>
                <w:color w:val="155CAB"/>
                <w:w w:val="99"/>
              </w:rPr>
              <w:t>Price per Unit</w:t>
            </w:r>
          </w:p>
        </w:tc>
        <w:tc>
          <w:tcPr>
            <w:tcW w:w="240" w:type="dxa"/>
            <w:vAlign w:val="bottom"/>
            <w:tcBorders>
              <w:bottom w:val="single" w:sz="8" w:color="155CAB"/>
            </w:tcBorders>
          </w:tcPr>
          <w:p>
            <w:pPr>
              <w:spacing w:after="0"/>
              <w:rPr>
                <w:sz w:val="22"/>
                <w:szCs w:val="22"/>
                <w:color w:val="auto"/>
              </w:rPr>
            </w:pPr>
          </w:p>
        </w:tc>
        <w:tc>
          <w:tcPr>
            <w:tcW w:w="700" w:type="dxa"/>
            <w:vAlign w:val="bottom"/>
            <w:tcBorders>
              <w:bottom w:val="single" w:sz="8" w:color="155CAB"/>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55CAB"/>
              </w:rPr>
              <w:t>Liabilitie</w:t>
            </w:r>
          </w:p>
        </w:tc>
        <w:tc>
          <w:tcPr>
            <w:tcW w:w="1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155CAB"/>
              </w:rPr>
              <w:t>Valuation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55CAB"/>
              </w:rPr>
              <w:t>Unobservabl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55CAB"/>
              </w:rPr>
              <w:t>Weighted</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155CAB"/>
            </w:tcBorders>
          </w:tcPr>
          <w:p>
            <w:pPr>
              <w:spacing w:after="0"/>
              <w:rPr>
                <w:sz w:val="20"/>
                <w:szCs w:val="20"/>
                <w:color w:val="auto"/>
              </w:rPr>
            </w:pPr>
            <w:r>
              <w:rPr>
                <w:rFonts w:ascii="Times New Roman" w:cs="Times New Roman" w:eastAsia="Times New Roman" w:hAnsi="Times New Roman"/>
                <w:sz w:val="20"/>
                <w:szCs w:val="20"/>
                <w:b w:val="1"/>
                <w:bCs w:val="1"/>
                <w:color w:val="155CAB"/>
              </w:rPr>
              <w:t>Commodity Contracts</w:t>
            </w:r>
          </w:p>
        </w:tc>
        <w:tc>
          <w:tcPr>
            <w:tcW w:w="10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780" w:type="dxa"/>
            <w:vAlign w:val="bottom"/>
            <w:tcBorders>
              <w:bottom w:val="single" w:sz="8" w:color="155CAB"/>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155CAB"/>
                <w:w w:val="97"/>
              </w:rPr>
              <w:t>Assets</w:t>
            </w:r>
          </w:p>
        </w:tc>
        <w:tc>
          <w:tcPr>
            <w:tcW w:w="120" w:type="dxa"/>
            <w:vAlign w:val="bottom"/>
          </w:tcPr>
          <w:p>
            <w:pPr>
              <w:spacing w:after="0"/>
              <w:rPr>
                <w:sz w:val="22"/>
                <w:szCs w:val="22"/>
                <w:color w:val="auto"/>
              </w:rPr>
            </w:pPr>
          </w:p>
        </w:tc>
        <w:tc>
          <w:tcPr>
            <w:tcW w:w="520" w:type="dxa"/>
            <w:vAlign w:val="bottom"/>
            <w:tcBorders>
              <w:bottom w:val="single" w:sz="8" w:color="155CAB"/>
            </w:tcBorders>
          </w:tcPr>
          <w:p>
            <w:pPr>
              <w:ind w:left="360"/>
              <w:spacing w:after="0"/>
              <w:rPr>
                <w:sz w:val="20"/>
                <w:szCs w:val="20"/>
                <w:color w:val="auto"/>
              </w:rPr>
            </w:pPr>
            <w:r>
              <w:rPr>
                <w:rFonts w:ascii="Times New Roman" w:cs="Times New Roman" w:eastAsia="Times New Roman" w:hAnsi="Times New Roman"/>
                <w:sz w:val="20"/>
                <w:szCs w:val="20"/>
                <w:b w:val="1"/>
                <w:bCs w:val="1"/>
                <w:color w:val="155CAB"/>
              </w:rPr>
              <w:t>s</w:t>
            </w:r>
          </w:p>
        </w:tc>
        <w:tc>
          <w:tcPr>
            <w:tcW w:w="380" w:type="dxa"/>
            <w:vAlign w:val="bottom"/>
            <w:tcBorders>
              <w:bottom w:val="single" w:sz="8" w:color="155CAB"/>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bottom w:val="single" w:sz="8" w:color="155CAB"/>
            </w:tcBorders>
          </w:tcPr>
          <w:p>
            <w:pPr>
              <w:ind w:left="140"/>
              <w:spacing w:after="0"/>
              <w:rPr>
                <w:sz w:val="20"/>
                <w:szCs w:val="20"/>
                <w:color w:val="auto"/>
              </w:rPr>
            </w:pPr>
            <w:r>
              <w:rPr>
                <w:rFonts w:ascii="Times New Roman" w:cs="Times New Roman" w:eastAsia="Times New Roman" w:hAnsi="Times New Roman"/>
                <w:sz w:val="20"/>
                <w:szCs w:val="20"/>
                <w:b w:val="1"/>
                <w:bCs w:val="1"/>
                <w:color w:val="155CAB"/>
              </w:rPr>
              <w:t>Technique</w:t>
            </w:r>
          </w:p>
        </w:tc>
        <w:tc>
          <w:tcPr>
            <w:tcW w:w="120" w:type="dxa"/>
            <w:vAlign w:val="bottom"/>
          </w:tcPr>
          <w:p>
            <w:pPr>
              <w:spacing w:after="0"/>
              <w:rPr>
                <w:sz w:val="22"/>
                <w:szCs w:val="22"/>
                <w:color w:val="auto"/>
              </w:rPr>
            </w:pPr>
          </w:p>
        </w:tc>
        <w:tc>
          <w:tcPr>
            <w:tcW w:w="1160" w:type="dxa"/>
            <w:vAlign w:val="bottom"/>
            <w:tcBorders>
              <w:bottom w:val="single" w:sz="8" w:color="155CAB"/>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155CAB"/>
              </w:rPr>
              <w:t>e Input</w:t>
            </w:r>
          </w:p>
        </w:tc>
        <w:tc>
          <w:tcPr>
            <w:tcW w:w="12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660" w:type="dxa"/>
            <w:vAlign w:val="bottom"/>
            <w:tcBorders>
              <w:bottom w:val="single" w:sz="8" w:color="155CAB"/>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155CAB"/>
              </w:rPr>
              <w:t>Low</w:t>
            </w:r>
          </w:p>
        </w:tc>
        <w:tc>
          <w:tcPr>
            <w:tcW w:w="100" w:type="dxa"/>
            <w:vAlign w:val="bottom"/>
            <w:tcBorders>
              <w:bottom w:val="single" w:sz="8" w:color="155CAB"/>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760" w:type="dxa"/>
            <w:vAlign w:val="bottom"/>
            <w:tcBorders>
              <w:bottom w:val="single" w:sz="8" w:color="155CAB"/>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155CAB"/>
              </w:rPr>
              <w:t>High</w:t>
            </w:r>
          </w:p>
        </w:tc>
        <w:tc>
          <w:tcPr>
            <w:tcW w:w="120" w:type="dxa"/>
            <w:vAlign w:val="bottom"/>
          </w:tcPr>
          <w:p>
            <w:pPr>
              <w:spacing w:after="0"/>
              <w:rPr>
                <w:sz w:val="22"/>
                <w:szCs w:val="22"/>
                <w:color w:val="auto"/>
              </w:rPr>
            </w:pPr>
          </w:p>
        </w:tc>
        <w:tc>
          <w:tcPr>
            <w:tcW w:w="940" w:type="dxa"/>
            <w:vAlign w:val="bottom"/>
            <w:tcBorders>
              <w:bottom w:val="single" w:sz="8" w:color="155CAB"/>
            </w:tcBorders>
            <w:gridSpan w:val="2"/>
          </w:tcPr>
          <w:p>
            <w:pPr>
              <w:jc w:val="right"/>
              <w:ind w:right="81"/>
              <w:spacing w:after="0"/>
              <w:rPr>
                <w:sz w:val="20"/>
                <w:szCs w:val="20"/>
                <w:color w:val="auto"/>
              </w:rPr>
            </w:pPr>
            <w:r>
              <w:rPr>
                <w:rFonts w:ascii="Times New Roman" w:cs="Times New Roman" w:eastAsia="Times New Roman" w:hAnsi="Times New Roman"/>
                <w:sz w:val="20"/>
                <w:szCs w:val="20"/>
                <w:b w:val="1"/>
                <w:bCs w:val="1"/>
                <w:color w:val="155CAB"/>
              </w:rPr>
              <w:t>Average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center"/>
              <w:ind w:left="61"/>
              <w:spacing w:after="0" w:line="223" w:lineRule="exact"/>
              <w:rPr>
                <w:sz w:val="20"/>
                <w:szCs w:val="20"/>
                <w:color w:val="auto"/>
              </w:rPr>
            </w:pPr>
            <w:r>
              <w:rPr>
                <w:rFonts w:ascii="Times New Roman" w:cs="Times New Roman" w:eastAsia="Times New Roman" w:hAnsi="Times New Roman"/>
                <w:sz w:val="20"/>
                <w:szCs w:val="20"/>
                <w:b w:val="1"/>
                <w:bCs w:val="1"/>
                <w:color w:val="auto"/>
                <w:w w:val="99"/>
              </w:rPr>
              <w:t>(in millions)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b w:val="1"/>
                <w:bCs w:val="1"/>
                <w:color w:val="auto"/>
              </w:rPr>
              <w:t>As of September 30, 2026</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52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1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1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66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7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7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forward price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Discounted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(per megawatt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Electricity physical forwards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1"/>
                <w:szCs w:val="21"/>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cash flow</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hour (MWh))</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93.51</w:t>
            </w:r>
          </w:p>
        </w:tc>
        <w:tc>
          <w:tcPr>
            <w:tcW w:w="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57.26</w:t>
            </w:r>
          </w:p>
        </w:tc>
        <w:tc>
          <w:tcPr>
            <w:tcW w:w="0" w:type="dxa"/>
            <w:vAlign w:val="bottom"/>
          </w:tcPr>
          <w:p>
            <w:pPr>
              <w:spacing w:after="0"/>
              <w:rPr>
                <w:sz w:val="1"/>
                <w:szCs w:val="1"/>
                <w:color w:val="auto"/>
              </w:rPr>
            </w:pPr>
          </w:p>
        </w:tc>
      </w:tr>
      <w:tr>
        <w:trPr>
          <w:trHeight w:val="207"/>
        </w:trPr>
        <w:tc>
          <w:tcPr>
            <w:tcW w:w="354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7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52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1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160" w:type="dxa"/>
            <w:vAlign w:val="bottom"/>
            <w:shd w:val="clear" w:color="auto" w:fill="EFEFEF"/>
          </w:tcPr>
          <w:p>
            <w:pPr>
              <w:jc w:val="right"/>
              <w:spacing w:after="0" w:line="207" w:lineRule="exact"/>
              <w:rPr>
                <w:sz w:val="20"/>
                <w:szCs w:val="20"/>
                <w:color w:val="auto"/>
              </w:rPr>
            </w:pPr>
            <w:r>
              <w:rPr>
                <w:rFonts w:ascii="Times New Roman" w:cs="Times New Roman" w:eastAsia="Times New Roman" w:hAnsi="Times New Roman"/>
                <w:sz w:val="20"/>
                <w:szCs w:val="20"/>
                <w:color w:val="auto"/>
              </w:rPr>
              <w:t>Natural gas</w:t>
            </w:r>
          </w:p>
        </w:tc>
        <w:tc>
          <w:tcPr>
            <w:tcW w:w="120" w:type="dxa"/>
            <w:vAlign w:val="bottom"/>
            <w:shd w:val="clear" w:color="auto" w:fill="EFEFEF"/>
          </w:tcPr>
          <w:p>
            <w:pPr>
              <w:spacing w:after="0"/>
              <w:rPr>
                <w:sz w:val="17"/>
                <w:szCs w:val="17"/>
                <w:color w:val="auto"/>
              </w:rPr>
            </w:pPr>
          </w:p>
        </w:tc>
        <w:tc>
          <w:tcPr>
            <w:tcW w:w="140" w:type="dxa"/>
            <w:vAlign w:val="bottom"/>
            <w:shd w:val="clear" w:color="auto" w:fill="EFEFEF"/>
          </w:tcPr>
          <w:p>
            <w:pPr>
              <w:spacing w:after="0"/>
              <w:rPr>
                <w:sz w:val="17"/>
                <w:szCs w:val="17"/>
                <w:color w:val="auto"/>
              </w:rPr>
            </w:pPr>
          </w:p>
        </w:tc>
        <w:tc>
          <w:tcPr>
            <w:tcW w:w="66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76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70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52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1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w w:val="99"/>
              </w:rPr>
              <w:t>forward price</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66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7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7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52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180" w:type="dxa"/>
            <w:vAlign w:val="bottom"/>
            <w:shd w:val="clear" w:color="auto" w:fill="EFEFEF"/>
          </w:tcPr>
          <w:p>
            <w:pPr>
              <w:ind w:left="220"/>
              <w:spacing w:after="0"/>
              <w:rPr>
                <w:sz w:val="20"/>
                <w:szCs w:val="20"/>
                <w:color w:val="auto"/>
              </w:rPr>
            </w:pPr>
            <w:r>
              <w:rPr>
                <w:rFonts w:ascii="Times New Roman" w:cs="Times New Roman" w:eastAsia="Times New Roman" w:hAnsi="Times New Roman"/>
                <w:sz w:val="20"/>
                <w:szCs w:val="20"/>
                <w:color w:val="auto"/>
              </w:rPr>
              <w:t>Discounted</w:t>
            </w:r>
          </w:p>
        </w:tc>
        <w:tc>
          <w:tcPr>
            <w:tcW w:w="120" w:type="dxa"/>
            <w:vAlign w:val="bottom"/>
            <w:shd w:val="clear" w:color="auto" w:fill="EFEFEF"/>
          </w:tcPr>
          <w:p>
            <w:pPr>
              <w:spacing w:after="0"/>
              <w:rPr>
                <w:sz w:val="19"/>
                <w:szCs w:val="19"/>
                <w:color w:val="auto"/>
              </w:rPr>
            </w:pPr>
          </w:p>
        </w:tc>
        <w:tc>
          <w:tcPr>
            <w:tcW w:w="1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(per</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66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7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7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5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Natural gas financial swaps</w:t>
            </w:r>
          </w:p>
        </w:tc>
        <w:tc>
          <w:tcPr>
            <w:tcW w:w="100" w:type="dxa"/>
            <w:vAlign w:val="bottom"/>
            <w:shd w:val="clear" w:color="auto" w:fill="EFEFEF"/>
          </w:tcPr>
          <w:p>
            <w:pPr>
              <w:spacing w:after="0"/>
              <w:rPr>
                <w:sz w:val="21"/>
                <w:szCs w:val="21"/>
                <w:color w:val="auto"/>
              </w:rPr>
            </w:pPr>
          </w:p>
        </w:tc>
        <w:tc>
          <w:tcPr>
            <w:tcW w:w="120" w:type="dxa"/>
            <w:vAlign w:val="bottom"/>
            <w:shd w:val="clear" w:color="auto" w:fill="EFEFEF"/>
          </w:tcPr>
          <w:p>
            <w:pPr>
              <w:spacing w:after="0"/>
              <w:rPr>
                <w:sz w:val="21"/>
                <w:szCs w:val="21"/>
                <w:color w:val="auto"/>
              </w:rPr>
            </w:pPr>
          </w:p>
        </w:tc>
        <w:tc>
          <w:tcPr>
            <w:tcW w:w="7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EFEFEF"/>
          </w:tcPr>
          <w:p>
            <w:pPr>
              <w:spacing w:after="0"/>
              <w:rPr>
                <w:sz w:val="21"/>
                <w:szCs w:val="21"/>
                <w:color w:val="auto"/>
              </w:rPr>
            </w:pPr>
          </w:p>
        </w:tc>
        <w:tc>
          <w:tcPr>
            <w:tcW w:w="520" w:type="dxa"/>
            <w:vAlign w:val="bottom"/>
            <w:shd w:val="clear" w:color="auto" w:fill="EFEFEF"/>
          </w:tcPr>
          <w:p>
            <w:pPr>
              <w:spacing w:after="0"/>
              <w:rPr>
                <w:sz w:val="21"/>
                <w:szCs w:val="21"/>
                <w:color w:val="auto"/>
              </w:rPr>
            </w:pP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EFEFEF"/>
          </w:tcPr>
          <w:p>
            <w:pPr>
              <w:spacing w:after="0"/>
              <w:rPr>
                <w:sz w:val="21"/>
                <w:szCs w:val="21"/>
                <w:color w:val="auto"/>
              </w:rPr>
            </w:pPr>
          </w:p>
        </w:tc>
        <w:tc>
          <w:tcPr>
            <w:tcW w:w="1180" w:type="dxa"/>
            <w:vAlign w:val="bottom"/>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w w:val="98"/>
              </w:rPr>
              <w:t>cash flow</w:t>
            </w:r>
          </w:p>
        </w:tc>
        <w:tc>
          <w:tcPr>
            <w:tcW w:w="120" w:type="dxa"/>
            <w:vAlign w:val="bottom"/>
            <w:shd w:val="clear" w:color="auto" w:fill="EFEFEF"/>
          </w:tcPr>
          <w:p>
            <w:pPr>
              <w:spacing w:after="0"/>
              <w:rPr>
                <w:sz w:val="21"/>
                <w:szCs w:val="21"/>
                <w:color w:val="auto"/>
              </w:rPr>
            </w:pPr>
          </w:p>
        </w:tc>
        <w:tc>
          <w:tcPr>
            <w:tcW w:w="1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Decatherm)</w:t>
            </w:r>
          </w:p>
        </w:tc>
        <w:tc>
          <w:tcPr>
            <w:tcW w:w="12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6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10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60" w:type="dxa"/>
            <w:vAlign w:val="bottom"/>
            <w:shd w:val="clear" w:color="auto" w:fill="EFEFEF"/>
          </w:tcPr>
          <w:p>
            <w:pPr>
              <w:spacing w:after="0"/>
              <w:rPr>
                <w:sz w:val="21"/>
                <w:szCs w:val="21"/>
                <w:color w:val="auto"/>
              </w:rPr>
            </w:pPr>
          </w:p>
        </w:tc>
        <w:tc>
          <w:tcPr>
            <w:tcW w:w="7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3.61</w:t>
            </w:r>
          </w:p>
        </w:tc>
        <w:tc>
          <w:tcPr>
            <w:tcW w:w="120" w:type="dxa"/>
            <w:vAlign w:val="bottom"/>
            <w:shd w:val="clear" w:color="auto" w:fill="EFEFEF"/>
          </w:tcPr>
          <w:p>
            <w:pPr>
              <w:spacing w:after="0"/>
              <w:rPr>
                <w:sz w:val="21"/>
                <w:szCs w:val="21"/>
                <w:color w:val="auto"/>
              </w:rPr>
            </w:pPr>
          </w:p>
        </w:tc>
        <w:tc>
          <w:tcPr>
            <w:tcW w:w="240" w:type="dxa"/>
            <w:vAlign w:val="bottom"/>
            <w:shd w:val="clear" w:color="auto" w:fill="EFEFEF"/>
          </w:tcPr>
          <w:p>
            <w:pPr>
              <w:spacing w:after="0"/>
              <w:rPr>
                <w:sz w:val="21"/>
                <w:szCs w:val="21"/>
                <w:color w:val="auto"/>
              </w:rPr>
            </w:pPr>
          </w:p>
        </w:tc>
        <w:tc>
          <w:tcPr>
            <w:tcW w:w="7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Discounted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forward price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Electricity financial futures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cash flow</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(per MWh)</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88.00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63.76</w:t>
            </w:r>
          </w:p>
        </w:tc>
        <w:tc>
          <w:tcPr>
            <w:tcW w:w="0" w:type="dxa"/>
            <w:vAlign w:val="bottom"/>
          </w:tcPr>
          <w:p>
            <w:pPr>
              <w:spacing w:after="0"/>
              <w:rPr>
                <w:sz w:val="1"/>
                <w:szCs w:val="1"/>
                <w:color w:val="auto"/>
              </w:rPr>
            </w:pPr>
          </w:p>
        </w:tc>
      </w:tr>
      <w:tr>
        <w:trPr>
          <w:trHeight w:val="263"/>
        </w:trPr>
        <w:tc>
          <w:tcPr>
            <w:tcW w:w="3540" w:type="dxa"/>
            <w:vAlign w:val="bottom"/>
            <w:shd w:val="clear" w:color="auto" w:fill="EFEFEF"/>
          </w:tcPr>
          <w:p>
            <w:pPr>
              <w:spacing w:after="0"/>
              <w:rPr>
                <w:sz w:val="22"/>
                <w:szCs w:val="22"/>
                <w:color w:val="auto"/>
              </w:rPr>
            </w:pPr>
          </w:p>
        </w:tc>
        <w:tc>
          <w:tcPr>
            <w:tcW w:w="22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w:t>
            </w:r>
          </w:p>
        </w:tc>
        <w:tc>
          <w:tcPr>
            <w:tcW w:w="640" w:type="dxa"/>
            <w:vAlign w:val="bottom"/>
            <w:gridSpan w:val="2"/>
            <w:shd w:val="clear" w:color="auto" w:fill="EFEFEF"/>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20" w:type="dxa"/>
            <w:vAlign w:val="bottom"/>
            <w:shd w:val="clear" w:color="auto" w:fill="EFEFEF"/>
          </w:tcPr>
          <w:p>
            <w:pPr>
              <w:spacing w:after="0"/>
              <w:rPr>
                <w:sz w:val="22"/>
                <w:szCs w:val="22"/>
                <w:color w:val="auto"/>
              </w:rPr>
            </w:pPr>
          </w:p>
        </w:tc>
        <w:tc>
          <w:tcPr>
            <w:tcW w:w="1180" w:type="dxa"/>
            <w:vAlign w:val="bottom"/>
            <w:shd w:val="clear" w:color="auto" w:fill="EFEFEF"/>
          </w:tcPr>
          <w:p>
            <w:pPr>
              <w:spacing w:after="0"/>
              <w:rPr>
                <w:sz w:val="22"/>
                <w:szCs w:val="22"/>
                <w:color w:val="auto"/>
              </w:rPr>
            </w:pPr>
          </w:p>
        </w:tc>
        <w:tc>
          <w:tcPr>
            <w:tcW w:w="120" w:type="dxa"/>
            <w:vAlign w:val="bottom"/>
            <w:shd w:val="clear" w:color="auto" w:fill="EFEFEF"/>
          </w:tcPr>
          <w:p>
            <w:pPr>
              <w:spacing w:after="0"/>
              <w:rPr>
                <w:sz w:val="22"/>
                <w:szCs w:val="22"/>
                <w:color w:val="auto"/>
              </w:rPr>
            </w:pPr>
          </w:p>
        </w:tc>
        <w:tc>
          <w:tcPr>
            <w:tcW w:w="1160" w:type="dxa"/>
            <w:vAlign w:val="bottom"/>
            <w:shd w:val="clear" w:color="auto" w:fill="EFEFEF"/>
          </w:tcPr>
          <w:p>
            <w:pPr>
              <w:spacing w:after="0"/>
              <w:rPr>
                <w:sz w:val="22"/>
                <w:szCs w:val="22"/>
                <w:color w:val="auto"/>
              </w:rPr>
            </w:pPr>
          </w:p>
        </w:tc>
        <w:tc>
          <w:tcPr>
            <w:tcW w:w="120" w:type="dxa"/>
            <w:vAlign w:val="bottom"/>
            <w:shd w:val="clear" w:color="auto" w:fill="EFEFEF"/>
          </w:tcPr>
          <w:p>
            <w:pPr>
              <w:spacing w:after="0"/>
              <w:rPr>
                <w:sz w:val="22"/>
                <w:szCs w:val="22"/>
                <w:color w:val="auto"/>
              </w:rPr>
            </w:pPr>
          </w:p>
        </w:tc>
        <w:tc>
          <w:tcPr>
            <w:tcW w:w="140" w:type="dxa"/>
            <w:vAlign w:val="bottom"/>
            <w:shd w:val="clear" w:color="auto" w:fill="EFEFEF"/>
          </w:tcPr>
          <w:p>
            <w:pPr>
              <w:spacing w:after="0"/>
              <w:rPr>
                <w:sz w:val="22"/>
                <w:szCs w:val="22"/>
                <w:color w:val="auto"/>
              </w:rPr>
            </w:pPr>
          </w:p>
        </w:tc>
        <w:tc>
          <w:tcPr>
            <w:tcW w:w="660" w:type="dxa"/>
            <w:vAlign w:val="bottom"/>
            <w:shd w:val="clear" w:color="auto" w:fill="EFEFEF"/>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160" w:type="dxa"/>
            <w:vAlign w:val="bottom"/>
            <w:shd w:val="clear" w:color="auto" w:fill="EFEFEF"/>
          </w:tcPr>
          <w:p>
            <w:pPr>
              <w:spacing w:after="0"/>
              <w:rPr>
                <w:sz w:val="22"/>
                <w:szCs w:val="22"/>
                <w:color w:val="auto"/>
              </w:rPr>
            </w:pPr>
          </w:p>
        </w:tc>
        <w:tc>
          <w:tcPr>
            <w:tcW w:w="760" w:type="dxa"/>
            <w:vAlign w:val="bottom"/>
            <w:shd w:val="clear" w:color="auto" w:fill="EFEFEF"/>
          </w:tcPr>
          <w:p>
            <w:pPr>
              <w:spacing w:after="0"/>
              <w:rPr>
                <w:sz w:val="22"/>
                <w:szCs w:val="22"/>
                <w:color w:val="auto"/>
              </w:rPr>
            </w:pPr>
          </w:p>
        </w:tc>
        <w:tc>
          <w:tcPr>
            <w:tcW w:w="120" w:type="dxa"/>
            <w:vAlign w:val="bottom"/>
            <w:shd w:val="clear" w:color="auto" w:fill="EFEFEF"/>
          </w:tcPr>
          <w:p>
            <w:pPr>
              <w:spacing w:after="0"/>
              <w:rPr>
                <w:sz w:val="22"/>
                <w:szCs w:val="22"/>
                <w:color w:val="auto"/>
              </w:rPr>
            </w:pPr>
          </w:p>
        </w:tc>
        <w:tc>
          <w:tcPr>
            <w:tcW w:w="240" w:type="dxa"/>
            <w:vAlign w:val="bottom"/>
            <w:shd w:val="clear" w:color="auto" w:fill="EFEFEF"/>
          </w:tcPr>
          <w:p>
            <w:pPr>
              <w:spacing w:after="0"/>
              <w:rPr>
                <w:sz w:val="22"/>
                <w:szCs w:val="22"/>
                <w:color w:val="auto"/>
              </w:rPr>
            </w:pPr>
          </w:p>
        </w:tc>
        <w:tc>
          <w:tcPr>
            <w:tcW w:w="700" w:type="dxa"/>
            <w:vAlign w:val="bottom"/>
            <w:shd w:val="clear" w:color="auto" w:fill="EFEFE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EFEFEF"/>
            </w:tcBorders>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00" w:type="dxa"/>
            <w:vAlign w:val="bottom"/>
            <w:tcBorders>
              <w:top w:val="single" w:sz="8" w:color="EFEFE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1180" w:type="dxa"/>
            <w:vAlign w:val="bottom"/>
            <w:tcBorders>
              <w:top w:val="single" w:sz="8" w:color="EFEFEF"/>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1160" w:type="dxa"/>
            <w:vAlign w:val="bottom"/>
            <w:tcBorders>
              <w:top w:val="single" w:sz="8" w:color="EFEFEF"/>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140" w:type="dxa"/>
            <w:vAlign w:val="bottom"/>
            <w:tcBorders>
              <w:top w:val="single" w:sz="8" w:color="EFEFEF"/>
            </w:tcBorders>
          </w:tcPr>
          <w:p>
            <w:pPr>
              <w:spacing w:after="0"/>
              <w:rPr>
                <w:sz w:val="18"/>
                <w:szCs w:val="18"/>
                <w:color w:val="auto"/>
              </w:rPr>
            </w:pPr>
          </w:p>
        </w:tc>
        <w:tc>
          <w:tcPr>
            <w:tcW w:w="660" w:type="dxa"/>
            <w:vAlign w:val="bottom"/>
            <w:tcBorders>
              <w:top w:val="single" w:sz="8" w:color="EFEFEF"/>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160" w:type="dxa"/>
            <w:vAlign w:val="bottom"/>
            <w:tcBorders>
              <w:top w:val="single" w:sz="8" w:color="EFEFEF"/>
            </w:tcBorders>
          </w:tcPr>
          <w:p>
            <w:pPr>
              <w:spacing w:after="0"/>
              <w:rPr>
                <w:sz w:val="18"/>
                <w:szCs w:val="18"/>
                <w:color w:val="auto"/>
              </w:rPr>
            </w:pPr>
          </w:p>
        </w:tc>
        <w:tc>
          <w:tcPr>
            <w:tcW w:w="760" w:type="dxa"/>
            <w:vAlign w:val="bottom"/>
            <w:tcBorders>
              <w:top w:val="single" w:sz="8" w:color="EFEFEF"/>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240" w:type="dxa"/>
            <w:vAlign w:val="bottom"/>
            <w:tcBorders>
              <w:top w:val="single" w:sz="8" w:color="EFEFEF"/>
            </w:tcBorders>
          </w:tcPr>
          <w:p>
            <w:pPr>
              <w:spacing w:after="0"/>
              <w:rPr>
                <w:sz w:val="18"/>
                <w:szCs w:val="18"/>
                <w:color w:val="auto"/>
              </w:rPr>
            </w:pPr>
          </w:p>
        </w:tc>
        <w:tc>
          <w:tcPr>
            <w:tcW w:w="700" w:type="dxa"/>
            <w:vAlign w:val="bottom"/>
            <w:tcBorders>
              <w:top w:val="single" w:sz="8" w:color="EFEFE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4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7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52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1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160" w:type="dxa"/>
            <w:vAlign w:val="bottom"/>
            <w:shd w:val="clear" w:color="auto" w:fill="EFEFEF"/>
          </w:tcPr>
          <w:p>
            <w:pPr>
              <w:jc w:val="right"/>
              <w:spacing w:after="0" w:line="207" w:lineRule="exact"/>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shd w:val="clear" w:color="auto" w:fill="EFEFEF"/>
          </w:tcPr>
          <w:p>
            <w:pPr>
              <w:spacing w:after="0"/>
              <w:rPr>
                <w:sz w:val="17"/>
                <w:szCs w:val="17"/>
                <w:color w:val="auto"/>
              </w:rPr>
            </w:pPr>
          </w:p>
        </w:tc>
        <w:tc>
          <w:tcPr>
            <w:tcW w:w="140" w:type="dxa"/>
            <w:vAlign w:val="bottom"/>
            <w:shd w:val="clear" w:color="auto" w:fill="EFEFEF"/>
          </w:tcPr>
          <w:p>
            <w:pPr>
              <w:spacing w:after="0"/>
              <w:rPr>
                <w:sz w:val="17"/>
                <w:szCs w:val="17"/>
                <w:color w:val="auto"/>
              </w:rPr>
            </w:pPr>
          </w:p>
        </w:tc>
        <w:tc>
          <w:tcPr>
            <w:tcW w:w="66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76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70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52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180" w:type="dxa"/>
            <w:vAlign w:val="bottom"/>
            <w:shd w:val="clear" w:color="auto" w:fill="EFEFEF"/>
          </w:tcPr>
          <w:p>
            <w:pPr>
              <w:ind w:left="220"/>
              <w:spacing w:after="0"/>
              <w:rPr>
                <w:sz w:val="20"/>
                <w:szCs w:val="20"/>
                <w:color w:val="auto"/>
              </w:rPr>
            </w:pPr>
            <w:r>
              <w:rPr>
                <w:rFonts w:ascii="Times New Roman" w:cs="Times New Roman" w:eastAsia="Times New Roman" w:hAnsi="Times New Roman"/>
                <w:sz w:val="20"/>
                <w:szCs w:val="20"/>
                <w:color w:val="auto"/>
              </w:rPr>
              <w:t>Discounted</w:t>
            </w:r>
          </w:p>
        </w:tc>
        <w:tc>
          <w:tcPr>
            <w:tcW w:w="120" w:type="dxa"/>
            <w:vAlign w:val="bottom"/>
            <w:shd w:val="clear" w:color="auto" w:fill="EFEFEF"/>
          </w:tcPr>
          <w:p>
            <w:pPr>
              <w:spacing w:after="0"/>
              <w:rPr>
                <w:sz w:val="19"/>
                <w:szCs w:val="19"/>
                <w:color w:val="auto"/>
              </w:rPr>
            </w:pPr>
          </w:p>
        </w:tc>
        <w:tc>
          <w:tcPr>
            <w:tcW w:w="1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w w:val="99"/>
              </w:rPr>
              <w:t>forward price</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66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7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7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5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Electricity physical forwards</w:t>
            </w:r>
          </w:p>
        </w:tc>
        <w:tc>
          <w:tcPr>
            <w:tcW w:w="220" w:type="dxa"/>
            <w:vAlign w:val="bottom"/>
            <w:gridSpan w:val="2"/>
            <w:shd w:val="clear" w:color="auto" w:fill="EFEFE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shd w:val="clear" w:color="auto" w:fill="EFEFE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37</w:t>
            </w:r>
          </w:p>
        </w:tc>
        <w:tc>
          <w:tcPr>
            <w:tcW w:w="120" w:type="dxa"/>
            <w:vAlign w:val="bottom"/>
            <w:shd w:val="clear" w:color="auto" w:fill="EFEFEF"/>
          </w:tcPr>
          <w:p>
            <w:pPr>
              <w:spacing w:after="0"/>
              <w:rPr>
                <w:sz w:val="21"/>
                <w:szCs w:val="21"/>
                <w:color w:val="auto"/>
              </w:rPr>
            </w:pPr>
          </w:p>
        </w:tc>
        <w:tc>
          <w:tcPr>
            <w:tcW w:w="1180" w:type="dxa"/>
            <w:vAlign w:val="bottom"/>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w w:val="98"/>
              </w:rPr>
              <w:t>cash flow</w:t>
            </w:r>
          </w:p>
        </w:tc>
        <w:tc>
          <w:tcPr>
            <w:tcW w:w="120" w:type="dxa"/>
            <w:vAlign w:val="bottom"/>
            <w:shd w:val="clear" w:color="auto" w:fill="EFEFEF"/>
          </w:tcPr>
          <w:p>
            <w:pPr>
              <w:spacing w:after="0"/>
              <w:rPr>
                <w:sz w:val="21"/>
                <w:szCs w:val="21"/>
                <w:color w:val="auto"/>
              </w:rPr>
            </w:pPr>
          </w:p>
        </w:tc>
        <w:tc>
          <w:tcPr>
            <w:tcW w:w="1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(per MWh)</w:t>
            </w:r>
          </w:p>
        </w:tc>
        <w:tc>
          <w:tcPr>
            <w:tcW w:w="26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22.99</w:t>
            </w:r>
          </w:p>
        </w:tc>
        <w:tc>
          <w:tcPr>
            <w:tcW w:w="360" w:type="dxa"/>
            <w:vAlign w:val="bottom"/>
            <w:gridSpan w:val="3"/>
            <w:shd w:val="clear" w:color="auto" w:fill="EFEFE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94.65</w:t>
            </w:r>
          </w:p>
        </w:tc>
        <w:tc>
          <w:tcPr>
            <w:tcW w:w="120" w:type="dxa"/>
            <w:vAlign w:val="bottom"/>
            <w:shd w:val="clear" w:color="auto" w:fill="EFEFEF"/>
          </w:tcPr>
          <w:p>
            <w:pPr>
              <w:spacing w:after="0"/>
              <w:rPr>
                <w:sz w:val="21"/>
                <w:szCs w:val="21"/>
                <w:color w:val="auto"/>
              </w:rPr>
            </w:pPr>
          </w:p>
        </w:tc>
        <w:tc>
          <w:tcPr>
            <w:tcW w:w="2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59.28</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Natural gas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forward price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Discounted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Natural gas financial swaps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1"/>
                <w:szCs w:val="21"/>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cash flow</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Decatherm)</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2.15</w:t>
            </w:r>
          </w:p>
        </w:tc>
        <w:tc>
          <w:tcPr>
            <w:tcW w:w="0" w:type="dxa"/>
            <w:vAlign w:val="bottom"/>
          </w:tcPr>
          <w:p>
            <w:pPr>
              <w:spacing w:after="0"/>
              <w:rPr>
                <w:sz w:val="1"/>
                <w:szCs w:val="1"/>
                <w:color w:val="auto"/>
              </w:rPr>
            </w:pPr>
          </w:p>
        </w:tc>
      </w:tr>
      <w:tr>
        <w:trPr>
          <w:trHeight w:val="207"/>
        </w:trPr>
        <w:tc>
          <w:tcPr>
            <w:tcW w:w="354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7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52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1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160" w:type="dxa"/>
            <w:vAlign w:val="bottom"/>
            <w:shd w:val="clear" w:color="auto" w:fill="EFEFEF"/>
          </w:tcPr>
          <w:p>
            <w:pPr>
              <w:jc w:val="right"/>
              <w:spacing w:after="0" w:line="207" w:lineRule="exact"/>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shd w:val="clear" w:color="auto" w:fill="EFEFEF"/>
          </w:tcPr>
          <w:p>
            <w:pPr>
              <w:spacing w:after="0"/>
              <w:rPr>
                <w:sz w:val="17"/>
                <w:szCs w:val="17"/>
                <w:color w:val="auto"/>
              </w:rPr>
            </w:pPr>
          </w:p>
        </w:tc>
        <w:tc>
          <w:tcPr>
            <w:tcW w:w="140" w:type="dxa"/>
            <w:vAlign w:val="bottom"/>
            <w:shd w:val="clear" w:color="auto" w:fill="EFEFEF"/>
          </w:tcPr>
          <w:p>
            <w:pPr>
              <w:spacing w:after="0"/>
              <w:rPr>
                <w:sz w:val="17"/>
                <w:szCs w:val="17"/>
                <w:color w:val="auto"/>
              </w:rPr>
            </w:pPr>
          </w:p>
        </w:tc>
        <w:tc>
          <w:tcPr>
            <w:tcW w:w="66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76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70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780" w:type="dxa"/>
            <w:vAlign w:val="bottom"/>
            <w:vMerge w:val="restart"/>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EFEFEF"/>
          </w:tcPr>
          <w:p>
            <w:pPr>
              <w:spacing w:after="0"/>
              <w:rPr>
                <w:sz w:val="19"/>
                <w:szCs w:val="19"/>
                <w:color w:val="auto"/>
              </w:rPr>
            </w:pPr>
          </w:p>
        </w:tc>
        <w:tc>
          <w:tcPr>
            <w:tcW w:w="520" w:type="dxa"/>
            <w:vAlign w:val="bottom"/>
            <w:shd w:val="clear" w:color="auto" w:fill="EFEFEF"/>
          </w:tcPr>
          <w:p>
            <w:pPr>
              <w:spacing w:after="0"/>
              <w:rPr>
                <w:sz w:val="19"/>
                <w:szCs w:val="19"/>
                <w:color w:val="auto"/>
              </w:rPr>
            </w:pPr>
          </w:p>
        </w:tc>
        <w:tc>
          <w:tcPr>
            <w:tcW w:w="380" w:type="dxa"/>
            <w:vAlign w:val="bottom"/>
            <w:vMerge w:val="restart"/>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180" w:type="dxa"/>
            <w:vAlign w:val="bottom"/>
            <w:shd w:val="clear" w:color="auto" w:fill="EFEFEF"/>
          </w:tcPr>
          <w:p>
            <w:pPr>
              <w:ind w:left="220"/>
              <w:spacing w:after="0"/>
              <w:rPr>
                <w:sz w:val="20"/>
                <w:szCs w:val="20"/>
                <w:color w:val="auto"/>
              </w:rPr>
            </w:pPr>
            <w:r>
              <w:rPr>
                <w:rFonts w:ascii="Times New Roman" w:cs="Times New Roman" w:eastAsia="Times New Roman" w:hAnsi="Times New Roman"/>
                <w:sz w:val="20"/>
                <w:szCs w:val="20"/>
                <w:color w:val="auto"/>
              </w:rPr>
              <w:t>Discounted</w:t>
            </w:r>
          </w:p>
        </w:tc>
        <w:tc>
          <w:tcPr>
            <w:tcW w:w="120" w:type="dxa"/>
            <w:vAlign w:val="bottom"/>
            <w:shd w:val="clear" w:color="auto" w:fill="EFEFEF"/>
          </w:tcPr>
          <w:p>
            <w:pPr>
              <w:spacing w:after="0"/>
              <w:rPr>
                <w:sz w:val="19"/>
                <w:szCs w:val="19"/>
                <w:color w:val="auto"/>
              </w:rPr>
            </w:pPr>
          </w:p>
        </w:tc>
        <w:tc>
          <w:tcPr>
            <w:tcW w:w="1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w w:val="99"/>
              </w:rPr>
              <w:t>forward price</w:t>
            </w:r>
          </w:p>
        </w:tc>
        <w:tc>
          <w:tcPr>
            <w:tcW w:w="1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66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7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7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Electricity financial futures</w:t>
            </w:r>
          </w:p>
        </w:tc>
        <w:tc>
          <w:tcPr>
            <w:tcW w:w="100" w:type="dxa"/>
            <w:vAlign w:val="bottom"/>
            <w:tcBorders>
              <w:bottom w:val="single" w:sz="8" w:color="EFEFEF"/>
            </w:tcBorders>
            <w:shd w:val="clear" w:color="auto" w:fill="EFEFEF"/>
          </w:tcPr>
          <w:p>
            <w:pPr>
              <w:spacing w:after="0"/>
              <w:rPr>
                <w:sz w:val="20"/>
                <w:szCs w:val="20"/>
                <w:color w:val="auto"/>
              </w:rPr>
            </w:pPr>
          </w:p>
        </w:tc>
        <w:tc>
          <w:tcPr>
            <w:tcW w:w="120" w:type="dxa"/>
            <w:vAlign w:val="bottom"/>
            <w:tcBorders>
              <w:bottom w:val="single" w:sz="8" w:color="auto"/>
            </w:tcBorders>
            <w:shd w:val="clear" w:color="auto" w:fill="EFEFEF"/>
          </w:tcPr>
          <w:p>
            <w:pPr>
              <w:spacing w:after="0"/>
              <w:rPr>
                <w:sz w:val="20"/>
                <w:szCs w:val="20"/>
                <w:color w:val="auto"/>
              </w:rPr>
            </w:pPr>
          </w:p>
        </w:tc>
        <w:tc>
          <w:tcPr>
            <w:tcW w:w="780" w:type="dxa"/>
            <w:vAlign w:val="bottom"/>
            <w:tcBorders>
              <w:bottom w:val="single" w:sz="8" w:color="auto"/>
            </w:tcBorders>
            <w:vMerge w:val="continue"/>
            <w:shd w:val="clear" w:color="auto" w:fill="EFEFEF"/>
          </w:tcPr>
          <w:p>
            <w:pPr>
              <w:spacing w:after="0"/>
              <w:rPr>
                <w:sz w:val="20"/>
                <w:szCs w:val="20"/>
                <w:color w:val="auto"/>
              </w:rPr>
            </w:pPr>
          </w:p>
        </w:tc>
        <w:tc>
          <w:tcPr>
            <w:tcW w:w="120" w:type="dxa"/>
            <w:vAlign w:val="bottom"/>
            <w:tcBorders>
              <w:bottom w:val="single" w:sz="8" w:color="EFEFEF"/>
            </w:tcBorders>
            <w:shd w:val="clear" w:color="auto" w:fill="EFEFEF"/>
          </w:tcPr>
          <w:p>
            <w:pPr>
              <w:spacing w:after="0"/>
              <w:rPr>
                <w:sz w:val="20"/>
                <w:szCs w:val="20"/>
                <w:color w:val="auto"/>
              </w:rPr>
            </w:pPr>
          </w:p>
        </w:tc>
        <w:tc>
          <w:tcPr>
            <w:tcW w:w="520" w:type="dxa"/>
            <w:vAlign w:val="bottom"/>
            <w:tcBorders>
              <w:bottom w:val="single" w:sz="8" w:color="auto"/>
            </w:tcBorders>
            <w:shd w:val="clear" w:color="auto" w:fill="EFEFEF"/>
          </w:tcPr>
          <w:p>
            <w:pPr>
              <w:spacing w:after="0"/>
              <w:rPr>
                <w:sz w:val="20"/>
                <w:szCs w:val="20"/>
                <w:color w:val="auto"/>
              </w:rPr>
            </w:pPr>
          </w:p>
        </w:tc>
        <w:tc>
          <w:tcPr>
            <w:tcW w:w="380" w:type="dxa"/>
            <w:vAlign w:val="bottom"/>
            <w:tcBorders>
              <w:bottom w:val="single" w:sz="8" w:color="auto"/>
            </w:tcBorders>
            <w:vMerge w:val="continue"/>
            <w:shd w:val="clear" w:color="auto" w:fill="EFEFEF"/>
          </w:tcPr>
          <w:p>
            <w:pPr>
              <w:spacing w:after="0"/>
              <w:rPr>
                <w:sz w:val="20"/>
                <w:szCs w:val="20"/>
                <w:color w:val="auto"/>
              </w:rPr>
            </w:pPr>
          </w:p>
        </w:tc>
        <w:tc>
          <w:tcPr>
            <w:tcW w:w="120" w:type="dxa"/>
            <w:vAlign w:val="bottom"/>
            <w:tcBorders>
              <w:bottom w:val="single" w:sz="8" w:color="EFEFEF"/>
            </w:tcBorders>
            <w:shd w:val="clear" w:color="auto" w:fill="EFEFEF"/>
          </w:tcPr>
          <w:p>
            <w:pPr>
              <w:spacing w:after="0"/>
              <w:rPr>
                <w:sz w:val="20"/>
                <w:szCs w:val="20"/>
                <w:color w:val="auto"/>
              </w:rPr>
            </w:pPr>
          </w:p>
        </w:tc>
        <w:tc>
          <w:tcPr>
            <w:tcW w:w="1180" w:type="dxa"/>
            <w:vAlign w:val="bottom"/>
            <w:tcBorders>
              <w:bottom w:val="single" w:sz="8" w:color="EFEFEF"/>
            </w:tcBorders>
            <w:shd w:val="clear" w:color="auto" w:fill="EFEFEF"/>
          </w:tcPr>
          <w:p>
            <w:pPr>
              <w:ind w:left="400"/>
              <w:spacing w:after="0"/>
              <w:rPr>
                <w:sz w:val="20"/>
                <w:szCs w:val="20"/>
                <w:color w:val="auto"/>
              </w:rPr>
            </w:pPr>
            <w:r>
              <w:rPr>
                <w:rFonts w:ascii="Times New Roman" w:cs="Times New Roman" w:eastAsia="Times New Roman" w:hAnsi="Times New Roman"/>
                <w:sz w:val="20"/>
                <w:szCs w:val="20"/>
                <w:color w:val="auto"/>
                <w:w w:val="98"/>
              </w:rPr>
              <w:t>cash flow</w:t>
            </w:r>
          </w:p>
        </w:tc>
        <w:tc>
          <w:tcPr>
            <w:tcW w:w="120" w:type="dxa"/>
            <w:vAlign w:val="bottom"/>
            <w:tcBorders>
              <w:bottom w:val="single" w:sz="8" w:color="EFEFEF"/>
            </w:tcBorders>
            <w:shd w:val="clear" w:color="auto" w:fill="EFEFEF"/>
          </w:tcPr>
          <w:p>
            <w:pPr>
              <w:spacing w:after="0"/>
              <w:rPr>
                <w:sz w:val="20"/>
                <w:szCs w:val="20"/>
                <w:color w:val="auto"/>
              </w:rPr>
            </w:pPr>
          </w:p>
        </w:tc>
        <w:tc>
          <w:tcPr>
            <w:tcW w:w="1160" w:type="dxa"/>
            <w:vAlign w:val="bottom"/>
            <w:tcBorders>
              <w:bottom w:val="single" w:sz="8" w:color="EFEFEF"/>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(per MWh)</w:t>
            </w:r>
          </w:p>
        </w:tc>
        <w:tc>
          <w:tcPr>
            <w:tcW w:w="120" w:type="dxa"/>
            <w:vAlign w:val="bottom"/>
            <w:tcBorders>
              <w:bottom w:val="single" w:sz="8" w:color="EFEFEF"/>
            </w:tcBorders>
            <w:shd w:val="clear" w:color="auto" w:fill="EFEFEF"/>
          </w:tcPr>
          <w:p>
            <w:pPr>
              <w:spacing w:after="0"/>
              <w:rPr>
                <w:sz w:val="20"/>
                <w:szCs w:val="20"/>
                <w:color w:val="auto"/>
              </w:rPr>
            </w:pPr>
          </w:p>
        </w:tc>
        <w:tc>
          <w:tcPr>
            <w:tcW w:w="140" w:type="dxa"/>
            <w:vAlign w:val="bottom"/>
            <w:tcBorders>
              <w:bottom w:val="single" w:sz="8" w:color="EFEFEF"/>
            </w:tcBorders>
            <w:shd w:val="clear" w:color="auto" w:fill="EFEFEF"/>
          </w:tcPr>
          <w:p>
            <w:pPr>
              <w:spacing w:after="0"/>
              <w:rPr>
                <w:sz w:val="20"/>
                <w:szCs w:val="20"/>
                <w:color w:val="auto"/>
              </w:rPr>
            </w:pPr>
          </w:p>
        </w:tc>
        <w:tc>
          <w:tcPr>
            <w:tcW w:w="660" w:type="dxa"/>
            <w:vAlign w:val="bottom"/>
            <w:tcBorders>
              <w:bottom w:val="single" w:sz="8" w:color="EFEFEF"/>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31.00</w:t>
            </w:r>
          </w:p>
        </w:tc>
        <w:tc>
          <w:tcPr>
            <w:tcW w:w="100" w:type="dxa"/>
            <w:vAlign w:val="bottom"/>
            <w:tcBorders>
              <w:bottom w:val="single" w:sz="8" w:color="EFEFEF"/>
            </w:tcBorders>
            <w:shd w:val="clear" w:color="auto" w:fill="EFEFEF"/>
          </w:tcPr>
          <w:p>
            <w:pPr>
              <w:spacing w:after="0"/>
              <w:rPr>
                <w:sz w:val="20"/>
                <w:szCs w:val="20"/>
                <w:color w:val="auto"/>
              </w:rPr>
            </w:pPr>
          </w:p>
        </w:tc>
        <w:tc>
          <w:tcPr>
            <w:tcW w:w="100" w:type="dxa"/>
            <w:vAlign w:val="bottom"/>
            <w:tcBorders>
              <w:bottom w:val="single" w:sz="8" w:color="EFEFEF"/>
            </w:tcBorders>
            <w:shd w:val="clear" w:color="auto" w:fill="EFEFEF"/>
          </w:tcPr>
          <w:p>
            <w:pPr>
              <w:spacing w:after="0"/>
              <w:rPr>
                <w:sz w:val="20"/>
                <w:szCs w:val="20"/>
                <w:color w:val="auto"/>
              </w:rPr>
            </w:pPr>
          </w:p>
        </w:tc>
        <w:tc>
          <w:tcPr>
            <w:tcW w:w="160" w:type="dxa"/>
            <w:vAlign w:val="bottom"/>
            <w:tcBorders>
              <w:bottom w:val="single" w:sz="8" w:color="EFEFEF"/>
            </w:tcBorders>
            <w:shd w:val="clear" w:color="auto" w:fill="EFEFEF"/>
          </w:tcPr>
          <w:p>
            <w:pPr>
              <w:spacing w:after="0"/>
              <w:rPr>
                <w:sz w:val="20"/>
                <w:szCs w:val="20"/>
                <w:color w:val="auto"/>
              </w:rPr>
            </w:pPr>
          </w:p>
        </w:tc>
        <w:tc>
          <w:tcPr>
            <w:tcW w:w="760" w:type="dxa"/>
            <w:vAlign w:val="bottom"/>
            <w:tcBorders>
              <w:bottom w:val="single" w:sz="8" w:color="EFEFEF"/>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84.00</w:t>
            </w:r>
          </w:p>
        </w:tc>
        <w:tc>
          <w:tcPr>
            <w:tcW w:w="120" w:type="dxa"/>
            <w:vAlign w:val="bottom"/>
            <w:tcBorders>
              <w:bottom w:val="single" w:sz="8" w:color="EFEFEF"/>
            </w:tcBorders>
            <w:shd w:val="clear" w:color="auto" w:fill="EFEFEF"/>
          </w:tcPr>
          <w:p>
            <w:pPr>
              <w:spacing w:after="0"/>
              <w:rPr>
                <w:sz w:val="20"/>
                <w:szCs w:val="20"/>
                <w:color w:val="auto"/>
              </w:rPr>
            </w:pPr>
          </w:p>
        </w:tc>
        <w:tc>
          <w:tcPr>
            <w:tcW w:w="240" w:type="dxa"/>
            <w:vAlign w:val="bottom"/>
            <w:tcBorders>
              <w:bottom w:val="single" w:sz="8" w:color="EFEFEF"/>
            </w:tcBorders>
            <w:shd w:val="clear" w:color="auto" w:fill="EFEFEF"/>
          </w:tcPr>
          <w:p>
            <w:pPr>
              <w:spacing w:after="0"/>
              <w:rPr>
                <w:sz w:val="20"/>
                <w:szCs w:val="20"/>
                <w:color w:val="auto"/>
              </w:rPr>
            </w:pPr>
          </w:p>
        </w:tc>
        <w:tc>
          <w:tcPr>
            <w:tcW w:w="700" w:type="dxa"/>
            <w:vAlign w:val="bottom"/>
            <w:tcBorders>
              <w:bottom w:val="single" w:sz="8" w:color="EFEFEF"/>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52.13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64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-1799590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-1782445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-1799590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-1782445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-179705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-179705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The significant unobservable inputs used in the Company’s fair value measurement of price risk management assets and liabilities are long-term forward prices for commodity derivatives. For certain long-term contracts, observable, liquid market transactions are not available for the duration of the delivery period. In such instances, the Company uses internally-developed long-term price curves that utilize observable data when available. When not available, regression techniques are used to estimate unobservable future prices.</w:t>
      </w:r>
    </w:p>
    <w:p>
      <w:pPr>
        <w:spacing w:after="0" w:line="18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The Company’s Level 3 assets and liabilities from price risk management activities are sensitive to market price changes in the respective underlying commodities. The significance of the impact is dependent upon the magnitude of the price change and PGE’s position as either the buyer or seller under the contract. Sensitivity of the fair value measurements to changes in the significant unobservable inputs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0" w:type="dxa"/>
            <w:vAlign w:val="bottom"/>
            <w:tcBorders>
              <w:bottom w:val="single" w:sz="8" w:color="155CAB"/>
            </w:tcBorders>
          </w:tcPr>
          <w:p>
            <w:pPr>
              <w:spacing w:after="0"/>
              <w:rPr>
                <w:sz w:val="20"/>
                <w:szCs w:val="20"/>
                <w:color w:val="auto"/>
              </w:rPr>
            </w:pPr>
            <w:r>
              <w:rPr>
                <w:rFonts w:ascii="Times New Roman" w:cs="Times New Roman" w:eastAsia="Times New Roman" w:hAnsi="Times New Roman"/>
                <w:sz w:val="20"/>
                <w:szCs w:val="20"/>
                <w:b w:val="1"/>
                <w:bCs w:val="1"/>
                <w:color w:val="155CAB"/>
              </w:rPr>
              <w:t>Significant Unobservable Input</w:t>
            </w:r>
          </w:p>
        </w:tc>
        <w:tc>
          <w:tcPr>
            <w:tcW w:w="160" w:type="dxa"/>
            <w:vAlign w:val="bottom"/>
          </w:tcPr>
          <w:p>
            <w:pPr>
              <w:spacing w:after="0"/>
              <w:rPr>
                <w:sz w:val="22"/>
                <w:szCs w:val="22"/>
                <w:color w:val="auto"/>
              </w:rPr>
            </w:pPr>
          </w:p>
        </w:tc>
        <w:tc>
          <w:tcPr>
            <w:tcW w:w="148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Position</w:t>
            </w:r>
          </w:p>
        </w:tc>
        <w:tc>
          <w:tcPr>
            <w:tcW w:w="160" w:type="dxa"/>
            <w:vAlign w:val="bottom"/>
          </w:tcPr>
          <w:p>
            <w:pPr>
              <w:spacing w:after="0"/>
              <w:rPr>
                <w:sz w:val="22"/>
                <w:szCs w:val="22"/>
                <w:color w:val="auto"/>
              </w:rPr>
            </w:pPr>
          </w:p>
        </w:tc>
        <w:tc>
          <w:tcPr>
            <w:tcW w:w="150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Change to Input</w:t>
            </w:r>
          </w:p>
        </w:tc>
        <w:tc>
          <w:tcPr>
            <w:tcW w:w="160" w:type="dxa"/>
            <w:vAlign w:val="bottom"/>
          </w:tcPr>
          <w:p>
            <w:pPr>
              <w:spacing w:after="0"/>
              <w:rPr>
                <w:sz w:val="22"/>
                <w:szCs w:val="22"/>
                <w:color w:val="auto"/>
              </w:rPr>
            </w:pPr>
          </w:p>
        </w:tc>
        <w:tc>
          <w:tcPr>
            <w:tcW w:w="198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Impact on Fair Value</w:t>
            </w:r>
          </w:p>
        </w:tc>
      </w:tr>
      <w:tr>
        <w:trPr>
          <w:trHeight w:val="200"/>
        </w:trPr>
        <w:tc>
          <w:tcPr>
            <w:tcW w:w="580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148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1500" w:type="dxa"/>
            <w:vAlign w:val="bottom"/>
            <w:shd w:val="clear" w:color="auto" w:fill="EFEFEF"/>
          </w:tcPr>
          <w:p>
            <w:pPr>
              <w:jc w:val="center"/>
              <w:spacing w:after="0" w:line="200" w:lineRule="exact"/>
              <w:rPr>
                <w:sz w:val="20"/>
                <w:szCs w:val="20"/>
                <w:color w:val="auto"/>
              </w:rPr>
            </w:pPr>
            <w:r>
              <w:rPr>
                <w:rFonts w:ascii="Times New Roman" w:cs="Times New Roman" w:eastAsia="Times New Roman" w:hAnsi="Times New Roman"/>
                <w:sz w:val="20"/>
                <w:szCs w:val="20"/>
                <w:color w:val="auto"/>
                <w:w w:val="95"/>
              </w:rPr>
              <w:t>Increase</w:t>
            </w:r>
          </w:p>
        </w:tc>
        <w:tc>
          <w:tcPr>
            <w:tcW w:w="160" w:type="dxa"/>
            <w:vAlign w:val="bottom"/>
            <w:shd w:val="clear" w:color="auto" w:fill="EFEFEF"/>
          </w:tcPr>
          <w:p>
            <w:pPr>
              <w:spacing w:after="0"/>
              <w:rPr>
                <w:sz w:val="17"/>
                <w:szCs w:val="17"/>
                <w:color w:val="auto"/>
              </w:rPr>
            </w:pPr>
          </w:p>
        </w:tc>
        <w:tc>
          <w:tcPr>
            <w:tcW w:w="1980" w:type="dxa"/>
            <w:vAlign w:val="bottom"/>
            <w:shd w:val="clear" w:color="auto" w:fill="EFEFEF"/>
          </w:tcPr>
          <w:p>
            <w:pPr>
              <w:spacing w:after="0"/>
              <w:rPr>
                <w:sz w:val="17"/>
                <w:szCs w:val="17"/>
                <w:color w:val="auto"/>
              </w:rPr>
            </w:pPr>
          </w:p>
        </w:tc>
      </w:tr>
      <w:tr>
        <w:trPr>
          <w:trHeight w:val="252"/>
        </w:trPr>
        <w:tc>
          <w:tcPr>
            <w:tcW w:w="580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Market price</w:t>
            </w:r>
          </w:p>
        </w:tc>
        <w:tc>
          <w:tcPr>
            <w:tcW w:w="160" w:type="dxa"/>
            <w:vAlign w:val="bottom"/>
            <w:shd w:val="clear" w:color="auto" w:fill="EFEFEF"/>
          </w:tcPr>
          <w:p>
            <w:pPr>
              <w:spacing w:after="0"/>
              <w:rPr>
                <w:sz w:val="21"/>
                <w:szCs w:val="21"/>
                <w:color w:val="auto"/>
              </w:rPr>
            </w:pPr>
          </w:p>
        </w:tc>
        <w:tc>
          <w:tcPr>
            <w:tcW w:w="148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5"/>
              </w:rPr>
              <w:t>Buy</w:t>
            </w:r>
          </w:p>
        </w:tc>
        <w:tc>
          <w:tcPr>
            <w:tcW w:w="160" w:type="dxa"/>
            <w:vAlign w:val="bottom"/>
            <w:shd w:val="clear" w:color="auto" w:fill="EFEFEF"/>
          </w:tcPr>
          <w:p>
            <w:pPr>
              <w:spacing w:after="0"/>
              <w:rPr>
                <w:sz w:val="21"/>
                <w:szCs w:val="21"/>
                <w:color w:val="auto"/>
              </w:rPr>
            </w:pPr>
          </w:p>
        </w:tc>
        <w:tc>
          <w:tcPr>
            <w:tcW w:w="150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9"/>
              </w:rPr>
              <w:t>(decrease)</w:t>
            </w:r>
          </w:p>
        </w:tc>
        <w:tc>
          <w:tcPr>
            <w:tcW w:w="160" w:type="dxa"/>
            <w:vAlign w:val="bottom"/>
            <w:shd w:val="clear" w:color="auto" w:fill="EFEFEF"/>
          </w:tcPr>
          <w:p>
            <w:pPr>
              <w:spacing w:after="0"/>
              <w:rPr>
                <w:sz w:val="21"/>
                <w:szCs w:val="21"/>
                <w:color w:val="auto"/>
              </w:rPr>
            </w:pPr>
          </w:p>
        </w:tc>
        <w:tc>
          <w:tcPr>
            <w:tcW w:w="198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9"/>
              </w:rPr>
              <w:t>Gain (loss)</w:t>
            </w:r>
          </w:p>
        </w:tc>
      </w:tr>
      <w:tr>
        <w:trPr>
          <w:trHeight w:val="207"/>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5"/>
              </w:rPr>
              <w:t>Increase</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5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Market price</w:t>
            </w:r>
          </w:p>
        </w:tc>
        <w:tc>
          <w:tcPr>
            <w:tcW w:w="16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Sell</w:t>
            </w:r>
          </w:p>
        </w:tc>
        <w:tc>
          <w:tcPr>
            <w:tcW w:w="1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(decrease)</w:t>
            </w:r>
          </w:p>
        </w:tc>
        <w:tc>
          <w:tcPr>
            <w:tcW w:w="16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Loss (gain)</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fair value of net liabilities from price risk management activities (net of assets from price risk management activities)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classified as Level 3 in the fair value hierarchy were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4"/>
          </w:tcPr>
          <w:p>
            <w:pPr>
              <w:jc w:val="right"/>
              <w:ind w:right="81"/>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20"/>
                <w:szCs w:val="20"/>
                <w:b w:val="1"/>
                <w:bCs w:val="1"/>
                <w:color w:val="155CAB"/>
              </w:rPr>
              <w:t>Nine Months Ended September</w:t>
            </w:r>
          </w:p>
        </w:tc>
      </w:tr>
      <w:tr>
        <w:trPr>
          <w:trHeight w:val="256"/>
        </w:trPr>
        <w:tc>
          <w:tcPr>
            <w:tcW w:w="5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tcBorders>
              <w:bottom w:val="single" w:sz="8" w:color="155CAB"/>
            </w:tcBorders>
            <w:gridSpan w:val="4"/>
          </w:tcPr>
          <w:p>
            <w:pPr>
              <w:jc w:val="right"/>
              <w:ind w:right="34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420" w:type="dxa"/>
            <w:vAlign w:val="bottom"/>
            <w:tcBorders>
              <w:bottom w:val="single" w:sz="8" w:color="155CAB"/>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155CAB"/>
            </w:tcBorders>
          </w:tcPr>
          <w:p>
            <w:pPr>
              <w:spacing w:after="0"/>
              <w:rPr>
                <w:sz w:val="22"/>
                <w:szCs w:val="22"/>
                <w:color w:val="auto"/>
              </w:rPr>
            </w:pPr>
          </w:p>
        </w:tc>
        <w:tc>
          <w:tcPr>
            <w:tcW w:w="980" w:type="dxa"/>
            <w:vAlign w:val="bottom"/>
            <w:tcBorders>
              <w:bottom w:val="single" w:sz="8" w:color="155CAB"/>
            </w:tcBorders>
          </w:tcPr>
          <w:p>
            <w:pPr>
              <w:spacing w:after="0"/>
              <w:rPr>
                <w:sz w:val="22"/>
                <w:szCs w:val="22"/>
                <w:color w:val="auto"/>
              </w:rPr>
            </w:pPr>
          </w:p>
        </w:tc>
        <w:tc>
          <w:tcPr>
            <w:tcW w:w="260" w:type="dxa"/>
            <w:vAlign w:val="bottom"/>
            <w:tcBorders>
              <w:bottom w:val="single" w:sz="8" w:color="155CAB"/>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55CAB"/>
                <w:w w:val="95"/>
              </w:rPr>
              <w:t>30,</w:t>
            </w:r>
          </w:p>
        </w:tc>
        <w:tc>
          <w:tcPr>
            <w:tcW w:w="260" w:type="dxa"/>
            <w:vAlign w:val="bottom"/>
            <w:tcBorders>
              <w:bottom w:val="single" w:sz="8" w:color="155CAB"/>
            </w:tcBorders>
          </w:tcPr>
          <w:p>
            <w:pPr>
              <w:spacing w:after="0"/>
              <w:rPr>
                <w:sz w:val="22"/>
                <w:szCs w:val="22"/>
                <w:color w:val="auto"/>
              </w:rPr>
            </w:pPr>
          </w:p>
        </w:tc>
        <w:tc>
          <w:tcPr>
            <w:tcW w:w="1120" w:type="dxa"/>
            <w:vAlign w:val="bottom"/>
            <w:tcBorders>
              <w:bottom w:val="single" w:sz="8" w:color="155CAB"/>
            </w:tcBorders>
          </w:tcPr>
          <w:p>
            <w:pPr>
              <w:spacing w:after="0"/>
              <w:rPr>
                <w:sz w:val="22"/>
                <w:szCs w:val="22"/>
                <w:color w:val="auto"/>
              </w:rPr>
            </w:pPr>
          </w:p>
        </w:tc>
      </w:tr>
      <w:tr>
        <w:trPr>
          <w:trHeight w:val="223"/>
        </w:trPr>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155CAB"/>
            </w:tcBorders>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42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155CAB"/>
            </w:tcBorders>
          </w:tcPr>
          <w:p>
            <w:pPr>
              <w:jc w:val="right"/>
              <w:ind w:right="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42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155CAB"/>
            </w:tcBorders>
          </w:tcPr>
          <w:p>
            <w:pPr>
              <w:spacing w:after="0"/>
              <w:rPr>
                <w:sz w:val="19"/>
                <w:szCs w:val="19"/>
                <w:color w:val="auto"/>
              </w:rPr>
            </w:pPr>
          </w:p>
        </w:tc>
        <w:tc>
          <w:tcPr>
            <w:tcW w:w="980" w:type="dxa"/>
            <w:vAlign w:val="bottom"/>
            <w:tcBorders>
              <w:bottom w:val="single" w:sz="8" w:color="155CAB"/>
            </w:tcBorders>
          </w:tcPr>
          <w:p>
            <w:pPr>
              <w:jc w:val="right"/>
              <w:ind w:right="32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155CAB"/>
            </w:tcBorders>
          </w:tcPr>
          <w:p>
            <w:pPr>
              <w:spacing w:after="0"/>
              <w:rPr>
                <w:sz w:val="19"/>
                <w:szCs w:val="19"/>
                <w:color w:val="auto"/>
              </w:rPr>
            </w:pPr>
          </w:p>
        </w:tc>
        <w:tc>
          <w:tcPr>
            <w:tcW w:w="1120" w:type="dxa"/>
            <w:vAlign w:val="bottom"/>
            <w:tcBorders>
              <w:bottom w:val="single" w:sz="8" w:color="155CAB"/>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54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 as of the beginning of the period</w:t>
            </w:r>
          </w:p>
        </w:tc>
        <w:tc>
          <w:tcPr>
            <w:tcW w:w="920" w:type="dxa"/>
            <w:vAlign w:val="bottom"/>
            <w:gridSpan w:val="2"/>
            <w:shd w:val="clear" w:color="auto" w:fill="EFEFEF"/>
          </w:tcPr>
          <w:p>
            <w:pPr>
              <w:jc w:val="right"/>
              <w:ind w:right="7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49</w:t>
            </w:r>
          </w:p>
        </w:tc>
        <w:tc>
          <w:tcPr>
            <w:tcW w:w="1060" w:type="dxa"/>
            <w:vAlign w:val="bottom"/>
            <w:gridSpan w:val="2"/>
            <w:shd w:val="clear" w:color="auto" w:fill="EFEFEF"/>
          </w:tcPr>
          <w:p>
            <w:pPr>
              <w:jc w:val="right"/>
              <w:ind w:right="7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400" w:type="dxa"/>
            <w:vAlign w:val="bottom"/>
            <w:gridSpan w:val="2"/>
            <w:shd w:val="clear" w:color="auto" w:fill="EFEFEF"/>
          </w:tcPr>
          <w:p>
            <w:pPr>
              <w:ind w:lef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520" w:type="dxa"/>
            <w:vAlign w:val="bottom"/>
            <w:gridSpan w:val="3"/>
            <w:shd w:val="clear" w:color="auto" w:fill="EFEFEF"/>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34</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realized and unrealized losses/(gains)*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5400" w:type="dxa"/>
            <w:vAlign w:val="bottom"/>
            <w:tcBorders>
              <w:bottom w:val="single" w:sz="8" w:color="EFEFEF"/>
            </w:tcBorders>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Transfers from Level 3 to Level 2</w:t>
            </w:r>
          </w:p>
        </w:tc>
        <w:tc>
          <w:tcPr>
            <w:tcW w:w="20" w:type="dxa"/>
            <w:vAlign w:val="bottom"/>
            <w:tcBorders>
              <w:bottom w:val="single" w:sz="8" w:color="EFEFEF"/>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bottom w:val="single" w:sz="8" w:color="EFEFEF"/>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Borders>
              <w:bottom w:val="single" w:sz="8" w:color="EFEFEF"/>
            </w:tcBorders>
            <w:shd w:val="clear" w:color="auto" w:fill="EFEFEF"/>
          </w:tcPr>
          <w:p>
            <w:pPr>
              <w:spacing w:after="0"/>
              <w:rPr>
                <w:sz w:val="19"/>
                <w:szCs w:val="19"/>
                <w:color w:val="auto"/>
              </w:rPr>
            </w:pPr>
          </w:p>
        </w:tc>
        <w:tc>
          <w:tcPr>
            <w:tcW w:w="260" w:type="dxa"/>
            <w:vAlign w:val="bottom"/>
            <w:tcBorders>
              <w:bottom w:val="single" w:sz="8" w:color="auto"/>
            </w:tcBorders>
            <w:shd w:val="clear" w:color="auto" w:fill="EFEFEF"/>
          </w:tcPr>
          <w:p>
            <w:pPr>
              <w:spacing w:after="0"/>
              <w:rPr>
                <w:sz w:val="19"/>
                <w:szCs w:val="19"/>
                <w:color w:val="auto"/>
              </w:rPr>
            </w:pP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shd w:val="clear" w:color="auto" w:fill="EFEFEF"/>
          </w:tcPr>
          <w:p>
            <w:pPr>
              <w:spacing w:after="0"/>
              <w:rPr>
                <w:sz w:val="19"/>
                <w:szCs w:val="19"/>
                <w:color w:val="auto"/>
              </w:rPr>
            </w:pPr>
          </w:p>
        </w:tc>
        <w:tc>
          <w:tcPr>
            <w:tcW w:w="140" w:type="dxa"/>
            <w:vAlign w:val="bottom"/>
            <w:tcBorders>
              <w:bottom w:val="single" w:sz="8" w:color="EFEFEF"/>
            </w:tcBorders>
            <w:shd w:val="clear" w:color="auto" w:fill="EFEFEF"/>
          </w:tcPr>
          <w:p>
            <w:pPr>
              <w:spacing w:after="0"/>
              <w:rPr>
                <w:sz w:val="19"/>
                <w:szCs w:val="19"/>
                <w:color w:val="auto"/>
              </w:rPr>
            </w:pPr>
          </w:p>
        </w:tc>
        <w:tc>
          <w:tcPr>
            <w:tcW w:w="260" w:type="dxa"/>
            <w:vAlign w:val="bottom"/>
            <w:tcBorders>
              <w:bottom w:val="single" w:sz="8" w:color="auto"/>
            </w:tcBorders>
            <w:shd w:val="clear" w:color="auto" w:fill="EFEFEF"/>
          </w:tcPr>
          <w:p>
            <w:pPr>
              <w:spacing w:after="0"/>
              <w:rPr>
                <w:sz w:val="19"/>
                <w:szCs w:val="19"/>
                <w:color w:val="auto"/>
              </w:rPr>
            </w:pPr>
          </w:p>
        </w:tc>
        <w:tc>
          <w:tcPr>
            <w:tcW w:w="11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3"/>
        </w:trPr>
        <w:tc>
          <w:tcPr>
            <w:tcW w:w="54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 as of the end of the period</w:t>
            </w:r>
          </w:p>
        </w:tc>
        <w:tc>
          <w:tcPr>
            <w:tcW w:w="920" w:type="dxa"/>
            <w:vAlign w:val="bottom"/>
            <w:gridSpan w:val="2"/>
          </w:tcPr>
          <w:p>
            <w:pPr>
              <w:jc w:val="right"/>
              <w:ind w:right="7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42</w:t>
            </w:r>
          </w:p>
        </w:tc>
        <w:tc>
          <w:tcPr>
            <w:tcW w:w="1060" w:type="dxa"/>
            <w:vAlign w:val="bottom"/>
            <w:gridSpan w:val="2"/>
          </w:tcPr>
          <w:p>
            <w:pPr>
              <w:jc w:val="right"/>
              <w:ind w:right="7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35</w:t>
            </w:r>
          </w:p>
        </w:tc>
        <w:tc>
          <w:tcPr>
            <w:tcW w:w="40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w:t>
            </w:r>
          </w:p>
        </w:tc>
        <w:tc>
          <w:tcPr>
            <w:tcW w:w="52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35</w:t>
            </w:r>
          </w:p>
        </w:tc>
      </w:tr>
      <w:tr>
        <w:trPr>
          <w:trHeight w:val="20"/>
        </w:trPr>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-179070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-179070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-179070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40" w:firstLine="8"/>
        <w:spacing w:after="0" w:line="263"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realized and unrealized losses/(gains), of which the unrealized portions are offset by the effects of regulatory accounting until settlement of the underlying transactions, are recorded in Revenues, net or Purchased power and fuel expense in the condensed consolidated statements of income and comprehensive income. Amounts include $2 million in net realized gains for the three-month period ended September 30, 2026 and none for the same period in 2025. For the nine months ended September 30, 2026 and 2025, amounts include $6 </w:t>
      </w:r>
      <w:r>
        <w:rPr>
          <w:rFonts w:ascii="Times New Roman" w:cs="Times New Roman" w:eastAsia="Times New Roman" w:hAnsi="Times New Roman"/>
          <w:sz w:val="19"/>
          <w:szCs w:val="19"/>
          <w:color w:val="auto"/>
        </w:rPr>
        <w:t>million and</w:t>
      </w:r>
      <w:r>
        <w:rPr>
          <w:rFonts w:ascii="Times New Roman" w:cs="Times New Roman" w:eastAsia="Times New Roman" w:hAnsi="Times New Roman"/>
          <w:sz w:val="18"/>
          <w:szCs w:val="18"/>
          <w:color w:val="auto"/>
        </w:rPr>
        <w:t xml:space="preserve"> $4 million in net realized gains, respectively.</w:t>
      </w:r>
    </w:p>
    <w:p>
      <w:pPr>
        <w:spacing w:after="0" w:line="12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Transfers out of Level 3 occur when the significant inputs become more observable, such as when the time between the valuation date and the delivery term of a transaction becomes shorter.</w:t>
      </w:r>
    </w:p>
    <w:p>
      <w:pPr>
        <w:spacing w:after="0" w:line="12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Long-term debt </w:t>
      </w:r>
      <w:r>
        <w:rPr>
          <w:rFonts w:ascii="Times New Roman" w:cs="Times New Roman" w:eastAsia="Times New Roman" w:hAnsi="Times New Roman"/>
          <w:sz w:val="20"/>
          <w:szCs w:val="20"/>
          <w:color w:val="auto"/>
        </w:rPr>
        <w:t>is recorded at amortized cost in PGE’s condensed consolidated balance sheets. The value of the Company’s Long-term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classified as a Level 2 fair value measurement.</w:t>
      </w:r>
    </w:p>
    <w:p>
      <w:pPr>
        <w:spacing w:after="0" w:line="1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As of September 30, 2026, the carrying amount of PGE’s long-term debt was $5,010 million, net of $19 million of unamortized debt expense, and its estimated aggregate fair value was $4,354 million. As of December 31, 2025, the carrying amount of PGE’s long-term debt was $4,662 million, net of $17 million of unamortized debt expense, and its estimated aggregate fair value was $4,311 million.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5: RISK MANAGEMENT</w:t>
      </w:r>
    </w:p>
    <w:p>
      <w:pPr>
        <w:spacing w:after="0" w:line="1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PGE participates in the wholesale marketplace to balance its supply of power, which consists of its own generation combined with wholesale market transactions, to meet the needs of its retail customers, manage risk, and administer the Company’s long-term wholesale contracts. Wholesale market transactions include purchases and sales of both power and fuel resulting from economic dispatch decisions with respect to Company-owned generation resources. The Company also performs wholesale market services for third parties in the region and purchases and sells environmental credits in the wholesale marketplace. As a result of this ongoing business activity, PGE is exposed to commodity price risk and foreign currency exchange rate risk, from which changes in prices and/or rates may affect the Company’s financial position, results of operations, or cash flows.</w:t>
      </w:r>
    </w:p>
    <w:p>
      <w:pPr>
        <w:spacing w:after="0" w:line="18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PGE utilizes derivative instruments to manage its exposure to commodity price risk and foreign exchange rate risk in order to reduce volatility in NVPC for its retail customers. Such derivative instruments, recorded at fair value on the condensed consolidated balance sheets, may include forwards, futures, swaps, and options contracts for electricity, natural gas, and foreign currency, with changes in fair value recorded in the condensed consolidated statements of income and comprehensive income. In accordance with ratemaking and cost recovery processes authorized by the OPUC, PGE recognizes a regulatory asset or liability to defer the gains and losses from derivative activity until settlement of the associated derivative instrument. The Company may designate certain derivative instruments as cash flow hedges or may use derivative instruments as economic hedges. PGE does not intend to engage in trading activities for non-retail purposes.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PGE’s Assets and Liabilities from price risk management activities consist of the following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4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2000" w:type="dxa"/>
            <w:vAlign w:val="bottom"/>
            <w:tcBorders>
              <w:bottom w:val="single" w:sz="8" w:color="155CAB"/>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155CAB"/>
              </w:rPr>
              <w:t>September 30, 2026</w:t>
            </w:r>
          </w:p>
        </w:tc>
        <w:tc>
          <w:tcPr>
            <w:tcW w:w="1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880" w:type="dxa"/>
            <w:vAlign w:val="bottom"/>
            <w:tcBorders>
              <w:bottom w:val="single" w:sz="8" w:color="155CAB"/>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155CAB"/>
                <w:w w:val="98"/>
              </w:rPr>
              <w:t>December 31, 2025</w:t>
            </w:r>
          </w:p>
        </w:tc>
      </w:tr>
      <w:tr>
        <w:trPr>
          <w:trHeight w:val="223"/>
        </w:trPr>
        <w:tc>
          <w:tcPr>
            <w:tcW w:w="694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Current assets:</w:t>
            </w:r>
          </w:p>
        </w:tc>
        <w:tc>
          <w:tcPr>
            <w:tcW w:w="120" w:type="dxa"/>
            <w:vAlign w:val="bottom"/>
            <w:shd w:val="clear" w:color="auto" w:fill="EFEFEF"/>
          </w:tcPr>
          <w:p>
            <w:pPr>
              <w:spacing w:after="0"/>
              <w:rPr>
                <w:sz w:val="19"/>
                <w:szCs w:val="19"/>
                <w:color w:val="auto"/>
              </w:rPr>
            </w:pPr>
          </w:p>
        </w:tc>
        <w:tc>
          <w:tcPr>
            <w:tcW w:w="20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880" w:type="dxa"/>
            <w:vAlign w:val="bottom"/>
            <w:shd w:val="clear" w:color="auto" w:fill="EFEFEF"/>
          </w:tcPr>
          <w:p>
            <w:pPr>
              <w:spacing w:after="0"/>
              <w:rPr>
                <w:sz w:val="19"/>
                <w:szCs w:val="19"/>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Commodity contracts:</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940" w:type="dxa"/>
            <w:vAlign w:val="bottom"/>
            <w:shd w:val="clear" w:color="auto" w:fill="EFEFEF"/>
          </w:tcPr>
          <w:p>
            <w:pPr>
              <w:ind w:left="360"/>
              <w:spacing w:after="0"/>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gridSpan w:val="2"/>
            <w:shd w:val="clear" w:color="auto" w:fill="EFEFE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Natural gas</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r>
      <w:tr>
        <w:trPr>
          <w:trHeight w:val="223"/>
        </w:trPr>
        <w:tc>
          <w:tcPr>
            <w:tcW w:w="6940" w:type="dxa"/>
            <w:vAlign w:val="bottom"/>
            <w:tcBorders>
              <w:bottom w:val="single" w:sz="8" w:color="EFEFEF"/>
            </w:tcBorders>
            <w:shd w:val="clear" w:color="auto" w:fill="EFEFEF"/>
          </w:tcPr>
          <w:p>
            <w:pPr>
              <w:ind w:left="540"/>
              <w:spacing w:after="0" w:line="223" w:lineRule="exact"/>
              <w:rPr>
                <w:sz w:val="20"/>
                <w:szCs w:val="20"/>
                <w:color w:val="auto"/>
              </w:rPr>
            </w:pPr>
            <w:r>
              <w:rPr>
                <w:rFonts w:ascii="Times New Roman" w:cs="Times New Roman" w:eastAsia="Times New Roman" w:hAnsi="Times New Roman"/>
                <w:sz w:val="19"/>
                <w:szCs w:val="19"/>
                <w:color w:val="auto"/>
              </w:rPr>
              <w:t xml:space="preserve">Total current derivative assets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shd w:val="clear" w:color="auto" w:fill="EFEFEF"/>
          </w:tcPr>
          <w:p>
            <w:pPr>
              <w:spacing w:after="0"/>
              <w:rPr>
                <w:sz w:val="19"/>
                <w:szCs w:val="19"/>
                <w:color w:val="auto"/>
              </w:rPr>
            </w:pPr>
          </w:p>
        </w:tc>
        <w:tc>
          <w:tcPr>
            <w:tcW w:w="20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8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32</w:t>
            </w:r>
          </w:p>
        </w:tc>
      </w:tr>
      <w:tr>
        <w:trPr>
          <w:trHeight w:val="223"/>
        </w:trPr>
        <w:tc>
          <w:tcPr>
            <w:tcW w:w="69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Noncurrent assets:</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9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20"/>
                <w:szCs w:val="20"/>
                <w:color w:val="auto"/>
              </w:rPr>
              <w:t>Commodity contracts:</w:t>
            </w:r>
          </w:p>
        </w:tc>
        <w:tc>
          <w:tcPr>
            <w:tcW w:w="120" w:type="dxa"/>
            <w:vAlign w:val="bottom"/>
            <w:shd w:val="clear" w:color="auto" w:fill="EFEFEF"/>
          </w:tcPr>
          <w:p>
            <w:pPr>
              <w:spacing w:after="0"/>
              <w:rPr>
                <w:sz w:val="19"/>
                <w:szCs w:val="19"/>
                <w:color w:val="auto"/>
              </w:rPr>
            </w:pPr>
          </w:p>
        </w:tc>
        <w:tc>
          <w:tcPr>
            <w:tcW w:w="20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880" w:type="dxa"/>
            <w:vAlign w:val="bottom"/>
            <w:shd w:val="clear" w:color="auto" w:fill="EFEFEF"/>
          </w:tcPr>
          <w:p>
            <w:pPr>
              <w:spacing w:after="0"/>
              <w:rPr>
                <w:sz w:val="19"/>
                <w:szCs w:val="19"/>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tcPr>
          <w:p>
            <w:pPr>
              <w:spacing w:after="0"/>
              <w:rPr>
                <w:sz w:val="19"/>
                <w:szCs w:val="19"/>
                <w:color w:val="auto"/>
              </w:rPr>
            </w:pPr>
          </w:p>
        </w:tc>
        <w:tc>
          <w:tcPr>
            <w:tcW w:w="2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6940" w:type="dxa"/>
            <w:vAlign w:val="bottom"/>
            <w:tcBorders>
              <w:bottom w:val="single" w:sz="8" w:color="EFEFEF"/>
            </w:tcBorders>
            <w:shd w:val="clear" w:color="auto" w:fill="EFEFEF"/>
          </w:tcPr>
          <w:p>
            <w:pPr>
              <w:ind w:left="360"/>
              <w:spacing w:after="0"/>
              <w:rPr>
                <w:sz w:val="20"/>
                <w:szCs w:val="20"/>
                <w:color w:val="auto"/>
              </w:rPr>
            </w:pPr>
            <w:r>
              <w:rPr>
                <w:rFonts w:ascii="Times New Roman" w:cs="Times New Roman" w:eastAsia="Times New Roman" w:hAnsi="Times New Roman"/>
                <w:sz w:val="20"/>
                <w:szCs w:val="20"/>
                <w:color w:val="auto"/>
              </w:rPr>
              <w:t>Natural gas</w:t>
            </w:r>
          </w:p>
        </w:tc>
        <w:tc>
          <w:tcPr>
            <w:tcW w:w="120" w:type="dxa"/>
            <w:vAlign w:val="bottom"/>
            <w:tcBorders>
              <w:bottom w:val="single" w:sz="8" w:color="auto"/>
            </w:tcBorders>
            <w:shd w:val="clear" w:color="auto" w:fill="EFEFEF"/>
          </w:tcPr>
          <w:p>
            <w:pPr>
              <w:spacing w:after="0"/>
              <w:rPr>
                <w:sz w:val="19"/>
                <w:szCs w:val="19"/>
                <w:color w:val="auto"/>
              </w:rPr>
            </w:pPr>
          </w:p>
        </w:tc>
        <w:tc>
          <w:tcPr>
            <w:tcW w:w="20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8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6940" w:type="dxa"/>
            <w:vAlign w:val="bottom"/>
          </w:tcPr>
          <w:p>
            <w:pPr>
              <w:ind w:left="540"/>
              <w:spacing w:after="0" w:line="223" w:lineRule="exact"/>
              <w:rPr>
                <w:sz w:val="20"/>
                <w:szCs w:val="20"/>
                <w:color w:val="auto"/>
              </w:rPr>
            </w:pPr>
            <w:r>
              <w:rPr>
                <w:rFonts w:ascii="Times New Roman" w:cs="Times New Roman" w:eastAsia="Times New Roman" w:hAnsi="Times New Roman"/>
                <w:sz w:val="19"/>
                <w:szCs w:val="19"/>
                <w:color w:val="auto"/>
              </w:rPr>
              <w:t xml:space="preserve">Total noncurrent derivative assets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63"/>
        </w:trPr>
        <w:tc>
          <w:tcPr>
            <w:tcW w:w="6940" w:type="dxa"/>
            <w:vAlign w:val="bottom"/>
            <w:shd w:val="clear" w:color="auto" w:fill="EFEFEF"/>
          </w:tcPr>
          <w:p>
            <w:pPr>
              <w:ind w:left="540"/>
              <w:spacing w:after="0" w:line="223" w:lineRule="exact"/>
              <w:rPr>
                <w:sz w:val="20"/>
                <w:szCs w:val="20"/>
                <w:color w:val="auto"/>
              </w:rPr>
            </w:pPr>
            <w:r>
              <w:rPr>
                <w:rFonts w:ascii="Times New Roman" w:cs="Times New Roman" w:eastAsia="Times New Roman" w:hAnsi="Times New Roman"/>
                <w:sz w:val="19"/>
                <w:szCs w:val="19"/>
                <w:color w:val="auto"/>
              </w:rPr>
              <w:t xml:space="preserve">Total derivative assets </w:t>
            </w:r>
            <w:r>
              <w:rPr>
                <w:rFonts w:ascii="Times New Roman" w:cs="Times New Roman" w:eastAsia="Times New Roman" w:hAnsi="Times New Roman"/>
                <w:sz w:val="25"/>
                <w:szCs w:val="25"/>
                <w:color w:val="auto"/>
                <w:vertAlign w:val="superscript"/>
              </w:rPr>
              <w:t>(2)</w:t>
            </w:r>
          </w:p>
        </w:tc>
        <w:tc>
          <w:tcPr>
            <w:tcW w:w="12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w:t>
            </w:r>
          </w:p>
        </w:tc>
        <w:tc>
          <w:tcPr>
            <w:tcW w:w="30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33</w:t>
            </w:r>
          </w:p>
        </w:tc>
      </w:tr>
      <w:tr>
        <w:trPr>
          <w:trHeight w:val="210"/>
        </w:trPr>
        <w:tc>
          <w:tcPr>
            <w:tcW w:w="6940" w:type="dxa"/>
            <w:vAlign w:val="bottom"/>
            <w:tcBorders>
              <w:top w:val="single" w:sz="8" w:color="EFEFEF"/>
            </w:tcBorders>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Current liabilities:</w:t>
            </w:r>
          </w:p>
        </w:tc>
        <w:tc>
          <w:tcPr>
            <w:tcW w:w="1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60" w:type="dxa"/>
            <w:vAlign w:val="bottom"/>
            <w:tcBorders>
              <w:top w:val="single" w:sz="8" w:color="EFEFE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29"/>
        </w:trPr>
        <w:tc>
          <w:tcPr>
            <w:tcW w:w="69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20"/>
                <w:szCs w:val="20"/>
                <w:color w:val="auto"/>
              </w:rPr>
              <w:t>Commodity contracts:</w:t>
            </w:r>
          </w:p>
        </w:tc>
        <w:tc>
          <w:tcPr>
            <w:tcW w:w="120" w:type="dxa"/>
            <w:vAlign w:val="bottom"/>
            <w:shd w:val="clear" w:color="auto" w:fill="EFEFEF"/>
          </w:tcPr>
          <w:p>
            <w:pPr>
              <w:spacing w:after="0"/>
              <w:rPr>
                <w:sz w:val="19"/>
                <w:szCs w:val="19"/>
                <w:color w:val="auto"/>
              </w:rPr>
            </w:pPr>
          </w:p>
        </w:tc>
        <w:tc>
          <w:tcPr>
            <w:tcW w:w="20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880" w:type="dxa"/>
            <w:vAlign w:val="bottom"/>
            <w:shd w:val="clear" w:color="auto" w:fill="EFEFEF"/>
          </w:tcPr>
          <w:p>
            <w:pPr>
              <w:spacing w:after="0"/>
              <w:rPr>
                <w:sz w:val="19"/>
                <w:szCs w:val="19"/>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6940" w:type="dxa"/>
            <w:vAlign w:val="bottom"/>
            <w:tcBorders>
              <w:bottom w:val="single" w:sz="8" w:color="EFEFEF"/>
            </w:tcBorders>
            <w:shd w:val="clear" w:color="auto" w:fill="EFEFEF"/>
          </w:tcPr>
          <w:p>
            <w:pPr>
              <w:ind w:left="360"/>
              <w:spacing w:after="0"/>
              <w:rPr>
                <w:sz w:val="20"/>
                <w:szCs w:val="20"/>
                <w:color w:val="auto"/>
              </w:rPr>
            </w:pPr>
            <w:r>
              <w:rPr>
                <w:rFonts w:ascii="Times New Roman" w:cs="Times New Roman" w:eastAsia="Times New Roman" w:hAnsi="Times New Roman"/>
                <w:sz w:val="20"/>
                <w:szCs w:val="20"/>
                <w:color w:val="auto"/>
              </w:rPr>
              <w:t>Natural gas</w:t>
            </w:r>
          </w:p>
        </w:tc>
        <w:tc>
          <w:tcPr>
            <w:tcW w:w="120" w:type="dxa"/>
            <w:vAlign w:val="bottom"/>
            <w:tcBorders>
              <w:bottom w:val="single" w:sz="8" w:color="auto"/>
            </w:tcBorders>
            <w:shd w:val="clear" w:color="auto" w:fill="EFEFEF"/>
          </w:tcPr>
          <w:p>
            <w:pPr>
              <w:spacing w:after="0"/>
              <w:rPr>
                <w:sz w:val="19"/>
                <w:szCs w:val="19"/>
                <w:color w:val="auto"/>
              </w:rPr>
            </w:pPr>
          </w:p>
        </w:tc>
        <w:tc>
          <w:tcPr>
            <w:tcW w:w="20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101</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8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139</w:t>
            </w:r>
          </w:p>
        </w:tc>
      </w:tr>
      <w:tr>
        <w:trPr>
          <w:trHeight w:val="223"/>
        </w:trPr>
        <w:tc>
          <w:tcPr>
            <w:tcW w:w="6940" w:type="dxa"/>
            <w:vAlign w:val="bottom"/>
          </w:tcPr>
          <w:p>
            <w:pPr>
              <w:ind w:left="540"/>
              <w:spacing w:after="0" w:line="223" w:lineRule="exact"/>
              <w:rPr>
                <w:sz w:val="20"/>
                <w:szCs w:val="20"/>
                <w:color w:val="auto"/>
              </w:rPr>
            </w:pPr>
            <w:r>
              <w:rPr>
                <w:rFonts w:ascii="Times New Roman" w:cs="Times New Roman" w:eastAsia="Times New Roman" w:hAnsi="Times New Roman"/>
                <w:sz w:val="20"/>
                <w:szCs w:val="20"/>
                <w:color w:val="auto"/>
              </w:rPr>
              <w:t>Total current derivative liabilities</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158</w:t>
            </w:r>
          </w:p>
        </w:tc>
      </w:tr>
      <w:tr>
        <w:trPr>
          <w:trHeight w:val="223"/>
        </w:trPr>
        <w:tc>
          <w:tcPr>
            <w:tcW w:w="694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Noncurrent liabilities:</w:t>
            </w:r>
          </w:p>
        </w:tc>
        <w:tc>
          <w:tcPr>
            <w:tcW w:w="120" w:type="dxa"/>
            <w:vAlign w:val="bottom"/>
            <w:shd w:val="clear" w:color="auto" w:fill="EFEFEF"/>
          </w:tcPr>
          <w:p>
            <w:pPr>
              <w:spacing w:after="0"/>
              <w:rPr>
                <w:sz w:val="19"/>
                <w:szCs w:val="19"/>
                <w:color w:val="auto"/>
              </w:rPr>
            </w:pPr>
          </w:p>
        </w:tc>
        <w:tc>
          <w:tcPr>
            <w:tcW w:w="200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880" w:type="dxa"/>
            <w:vAlign w:val="bottom"/>
            <w:shd w:val="clear" w:color="auto" w:fill="EFEFEF"/>
          </w:tcPr>
          <w:p>
            <w:pPr>
              <w:spacing w:after="0"/>
              <w:rPr>
                <w:sz w:val="19"/>
                <w:szCs w:val="19"/>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Commodity contracts:</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940" w:type="dxa"/>
            <w:vAlign w:val="bottom"/>
            <w:shd w:val="clear" w:color="auto" w:fill="EFEFEF"/>
          </w:tcPr>
          <w:p>
            <w:pPr>
              <w:ind w:left="360"/>
              <w:spacing w:after="0"/>
              <w:rPr>
                <w:sz w:val="20"/>
                <w:szCs w:val="20"/>
                <w:color w:val="auto"/>
              </w:rPr>
            </w:pPr>
            <w:r>
              <w:rPr>
                <w:rFonts w:ascii="Times New Roman" w:cs="Times New Roman" w:eastAsia="Times New Roman" w:hAnsi="Times New Roman"/>
                <w:sz w:val="20"/>
                <w:szCs w:val="20"/>
                <w:color w:val="auto"/>
              </w:rPr>
              <w:t>Electricity</w:t>
            </w:r>
          </w:p>
        </w:tc>
        <w:tc>
          <w:tcPr>
            <w:tcW w:w="120" w:type="dxa"/>
            <w:vAlign w:val="bottom"/>
            <w:shd w:val="clear" w:color="auto" w:fill="EFEFEF"/>
          </w:tcPr>
          <w:p>
            <w:pPr>
              <w:spacing w:after="0"/>
              <w:rPr>
                <w:sz w:val="19"/>
                <w:szCs w:val="19"/>
                <w:color w:val="auto"/>
              </w:rPr>
            </w:pPr>
          </w:p>
        </w:tc>
        <w:tc>
          <w:tcPr>
            <w:tcW w:w="20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29</w:t>
            </w:r>
          </w:p>
        </w:tc>
        <w:tc>
          <w:tcPr>
            <w:tcW w:w="1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8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31</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Natural gas</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25</w:t>
            </w:r>
          </w:p>
        </w:tc>
      </w:tr>
      <w:tr>
        <w:trPr>
          <w:trHeight w:val="223"/>
        </w:trPr>
        <w:tc>
          <w:tcPr>
            <w:tcW w:w="6940" w:type="dxa"/>
            <w:vAlign w:val="bottom"/>
            <w:tcBorders>
              <w:bottom w:val="single" w:sz="8" w:color="EFEFEF"/>
            </w:tcBorders>
            <w:shd w:val="clear" w:color="auto" w:fill="EFEFEF"/>
          </w:tcPr>
          <w:p>
            <w:pPr>
              <w:ind w:left="540"/>
              <w:spacing w:after="0" w:line="223" w:lineRule="exact"/>
              <w:rPr>
                <w:sz w:val="20"/>
                <w:szCs w:val="20"/>
                <w:color w:val="auto"/>
              </w:rPr>
            </w:pPr>
            <w:r>
              <w:rPr>
                <w:rFonts w:ascii="Times New Roman" w:cs="Times New Roman" w:eastAsia="Times New Roman" w:hAnsi="Times New Roman"/>
                <w:sz w:val="20"/>
                <w:szCs w:val="20"/>
                <w:color w:val="auto"/>
              </w:rPr>
              <w:t>Total noncurrent derivative liabilities</w:t>
            </w:r>
          </w:p>
        </w:tc>
        <w:tc>
          <w:tcPr>
            <w:tcW w:w="120" w:type="dxa"/>
            <w:vAlign w:val="bottom"/>
            <w:tcBorders>
              <w:bottom w:val="single" w:sz="8" w:color="auto"/>
            </w:tcBorders>
            <w:shd w:val="clear" w:color="auto" w:fill="EFEFEF"/>
          </w:tcPr>
          <w:p>
            <w:pPr>
              <w:spacing w:after="0"/>
              <w:rPr>
                <w:sz w:val="19"/>
                <w:szCs w:val="19"/>
                <w:color w:val="auto"/>
              </w:rPr>
            </w:pPr>
          </w:p>
        </w:tc>
        <w:tc>
          <w:tcPr>
            <w:tcW w:w="20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49</w:t>
            </w:r>
          </w:p>
        </w:tc>
        <w:tc>
          <w:tcPr>
            <w:tcW w:w="16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18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56</w:t>
            </w:r>
          </w:p>
        </w:tc>
      </w:tr>
      <w:tr>
        <w:trPr>
          <w:trHeight w:val="223"/>
        </w:trPr>
        <w:tc>
          <w:tcPr>
            <w:tcW w:w="6940" w:type="dxa"/>
            <w:vAlign w:val="bottom"/>
          </w:tcPr>
          <w:p>
            <w:pPr>
              <w:ind w:left="540"/>
              <w:spacing w:after="0" w:line="223" w:lineRule="exact"/>
              <w:rPr>
                <w:sz w:val="20"/>
                <w:szCs w:val="20"/>
                <w:color w:val="auto"/>
              </w:rPr>
            </w:pPr>
            <w:r>
              <w:rPr>
                <w:rFonts w:ascii="Times New Roman" w:cs="Times New Roman" w:eastAsia="Times New Roman" w:hAnsi="Times New Roman"/>
                <w:sz w:val="19"/>
                <w:szCs w:val="19"/>
                <w:color w:val="auto"/>
              </w:rPr>
              <w:t xml:space="preserve">Total derivative liabilities </w:t>
            </w:r>
            <w:r>
              <w:rPr>
                <w:rFonts w:ascii="Times New Roman" w:cs="Times New Roman" w:eastAsia="Times New Roman" w:hAnsi="Times New Roman"/>
                <w:sz w:val="25"/>
                <w:szCs w:val="25"/>
                <w:color w:val="auto"/>
                <w:vertAlign w:val="superscript"/>
              </w:rPr>
              <w:t>(2)</w:t>
            </w: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162</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214</w:t>
            </w:r>
          </w:p>
        </w:tc>
      </w:tr>
      <w:tr>
        <w:trPr>
          <w:trHeight w:val="20"/>
        </w:trPr>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-2588260</wp:posOffset>
            </wp:positionV>
            <wp:extent cx="1117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-1996440</wp:posOffset>
            </wp:positionV>
            <wp:extent cx="111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-1687830</wp:posOffset>
            </wp:positionV>
            <wp:extent cx="1117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-1671320</wp:posOffset>
            </wp:positionV>
            <wp:extent cx="1117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111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-179070</wp:posOffset>
            </wp:positionV>
            <wp:extent cx="111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60" w:firstLine="8"/>
        <w:spacing w:after="0" w:line="26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current derivative assets are included in Other current assets, and Total noncurrent derivative assets are included in Other noncurrent assets on the condensed consolidated balance sheets.</w:t>
      </w: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no commodity derivative assets or liabilities were designated as hedging instruments.</w:t>
      </w:r>
    </w:p>
    <w:p>
      <w:pPr>
        <w:spacing w:after="0" w:line="202"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PGE’s net purchase (sales) volumes related to its Assets and Liabilities from price risk management activities resulting from its derivative transactions, which are expected to deliver or settle at various dates through 2035 were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0" w:type="dxa"/>
            <w:vAlign w:val="bottom"/>
            <w:gridSpan w:val="4"/>
          </w:tcPr>
          <w:p>
            <w:pPr>
              <w:ind w:left="300"/>
              <w:spacing w:after="0"/>
              <w:rPr>
                <w:sz w:val="20"/>
                <w:szCs w:val="20"/>
                <w:color w:val="auto"/>
              </w:rPr>
            </w:pPr>
            <w:r>
              <w:rPr>
                <w:rFonts w:ascii="Times New Roman" w:cs="Times New Roman" w:eastAsia="Times New Roman" w:hAnsi="Times New Roman"/>
                <w:sz w:val="20"/>
                <w:szCs w:val="20"/>
                <w:b w:val="1"/>
                <w:bCs w:val="1"/>
                <w:color w:val="155CAB"/>
              </w:rPr>
              <w:t>September 30, 2026</w:t>
            </w:r>
          </w:p>
        </w:tc>
        <w:tc>
          <w:tcPr>
            <w:tcW w:w="262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b w:val="1"/>
                <w:bCs w:val="1"/>
                <w:color w:val="155CAB"/>
              </w:rPr>
              <w:t>December 31, 2025</w:t>
            </w:r>
          </w:p>
        </w:tc>
      </w:tr>
      <w:tr>
        <w:trPr>
          <w:trHeight w:val="223"/>
        </w:trPr>
        <w:tc>
          <w:tcPr>
            <w:tcW w:w="34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Commodity contracts:</w:t>
            </w:r>
          </w:p>
        </w:tc>
        <w:tc>
          <w:tcPr>
            <w:tcW w:w="1620" w:type="dxa"/>
            <w:vAlign w:val="bottom"/>
            <w:shd w:val="clear" w:color="auto" w:fill="EFEFEF"/>
          </w:tcPr>
          <w:p>
            <w:pPr>
              <w:spacing w:after="0"/>
              <w:rPr>
                <w:sz w:val="19"/>
                <w:szCs w:val="19"/>
                <w:color w:val="auto"/>
              </w:rPr>
            </w:pPr>
          </w:p>
        </w:tc>
        <w:tc>
          <w:tcPr>
            <w:tcW w:w="400" w:type="dxa"/>
            <w:vAlign w:val="bottom"/>
            <w:tcBorders>
              <w:top w:val="single" w:sz="8" w:color="155CAB"/>
            </w:tcBorders>
            <w:shd w:val="clear" w:color="auto" w:fill="EFEFEF"/>
          </w:tcPr>
          <w:p>
            <w:pPr>
              <w:spacing w:after="0"/>
              <w:rPr>
                <w:sz w:val="19"/>
                <w:szCs w:val="19"/>
                <w:color w:val="auto"/>
              </w:rPr>
            </w:pPr>
          </w:p>
        </w:tc>
        <w:tc>
          <w:tcPr>
            <w:tcW w:w="1400" w:type="dxa"/>
            <w:vAlign w:val="bottom"/>
            <w:tcBorders>
              <w:top w:val="single" w:sz="8" w:color="155CAB"/>
            </w:tcBorders>
            <w:shd w:val="clear" w:color="auto" w:fill="EFEFEF"/>
          </w:tcPr>
          <w:p>
            <w:pPr>
              <w:spacing w:after="0"/>
              <w:rPr>
                <w:sz w:val="19"/>
                <w:szCs w:val="19"/>
                <w:color w:val="auto"/>
              </w:rPr>
            </w:pPr>
          </w:p>
        </w:tc>
        <w:tc>
          <w:tcPr>
            <w:tcW w:w="128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400" w:type="dxa"/>
            <w:vAlign w:val="bottom"/>
            <w:tcBorders>
              <w:top w:val="single" w:sz="8" w:color="155CAB"/>
            </w:tcBorders>
            <w:shd w:val="clear" w:color="auto" w:fill="EFEFEF"/>
          </w:tcPr>
          <w:p>
            <w:pPr>
              <w:spacing w:after="0"/>
              <w:rPr>
                <w:sz w:val="19"/>
                <w:szCs w:val="19"/>
                <w:color w:val="auto"/>
              </w:rPr>
            </w:pPr>
          </w:p>
        </w:tc>
        <w:tc>
          <w:tcPr>
            <w:tcW w:w="1260" w:type="dxa"/>
            <w:vAlign w:val="bottom"/>
            <w:tcBorders>
              <w:top w:val="single" w:sz="8" w:color="155CAB"/>
            </w:tcBorders>
            <w:shd w:val="clear" w:color="auto" w:fill="EFEFEF"/>
          </w:tcPr>
          <w:p>
            <w:pPr>
              <w:spacing w:after="0"/>
              <w:rPr>
                <w:sz w:val="19"/>
                <w:szCs w:val="19"/>
                <w:color w:val="auto"/>
              </w:rPr>
            </w:pPr>
          </w:p>
        </w:tc>
        <w:tc>
          <w:tcPr>
            <w:tcW w:w="1360" w:type="dxa"/>
            <w:vAlign w:val="bottom"/>
            <w:tcBorders>
              <w:top w:val="single" w:sz="8" w:color="155CAB"/>
            </w:tcBorders>
            <w:shd w:val="clear" w:color="auto" w:fill="EFEFEF"/>
          </w:tcPr>
          <w:p>
            <w:pPr>
              <w:spacing w:after="0"/>
              <w:rPr>
                <w:sz w:val="19"/>
                <w:szCs w:val="19"/>
                <w:color w:val="auto"/>
              </w:rPr>
            </w:pPr>
          </w:p>
        </w:tc>
      </w:tr>
      <w:tr>
        <w:trPr>
          <w:trHeight w:val="230"/>
        </w:trPr>
        <w:tc>
          <w:tcPr>
            <w:tcW w:w="3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Electricity</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20"/>
                <w:szCs w:val="20"/>
                <w:color w:val="auto"/>
              </w:rPr>
              <w:t>MWhs</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MWhs</w:t>
            </w:r>
          </w:p>
        </w:tc>
      </w:tr>
      <w:tr>
        <w:trPr>
          <w:trHeight w:val="229"/>
        </w:trPr>
        <w:tc>
          <w:tcPr>
            <w:tcW w:w="3400" w:type="dxa"/>
            <w:vAlign w:val="bottom"/>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Natural gas</w:t>
            </w:r>
          </w:p>
        </w:tc>
        <w:tc>
          <w:tcPr>
            <w:tcW w:w="16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1400" w:type="dxa"/>
            <w:vAlign w:val="bottom"/>
            <w:shd w:val="clear" w:color="auto" w:fill="EFEFEF"/>
          </w:tcPr>
          <w:p>
            <w:pPr>
              <w:jc w:val="right"/>
              <w:ind w:right="301"/>
              <w:spacing w:after="0"/>
              <w:rPr>
                <w:sz w:val="20"/>
                <w:szCs w:val="20"/>
                <w:color w:val="auto"/>
              </w:rPr>
            </w:pPr>
            <w:r>
              <w:rPr>
                <w:rFonts w:ascii="Times New Roman" w:cs="Times New Roman" w:eastAsia="Times New Roman" w:hAnsi="Times New Roman"/>
                <w:sz w:val="20"/>
                <w:szCs w:val="20"/>
                <w:color w:val="auto"/>
              </w:rPr>
              <w:t>244</w:t>
            </w:r>
          </w:p>
        </w:tc>
        <w:tc>
          <w:tcPr>
            <w:tcW w:w="1800" w:type="dxa"/>
            <w:vAlign w:val="bottom"/>
            <w:gridSpan w:val="3"/>
            <w:shd w:val="clear" w:color="auto" w:fill="EFEFEF"/>
          </w:tcPr>
          <w:p>
            <w:pPr>
              <w:jc w:val="right"/>
              <w:ind w:right="520"/>
              <w:spacing w:after="0"/>
              <w:rPr>
                <w:sz w:val="20"/>
                <w:szCs w:val="20"/>
                <w:color w:val="auto"/>
              </w:rPr>
            </w:pPr>
            <w:r>
              <w:rPr>
                <w:rFonts w:ascii="Times New Roman" w:cs="Times New Roman" w:eastAsia="Times New Roman" w:hAnsi="Times New Roman"/>
                <w:sz w:val="20"/>
                <w:szCs w:val="20"/>
                <w:color w:val="auto"/>
              </w:rPr>
              <w:t>Decatherms</w:t>
            </w:r>
          </w:p>
        </w:tc>
        <w:tc>
          <w:tcPr>
            <w:tcW w:w="1260" w:type="dxa"/>
            <w:vAlign w:val="bottom"/>
            <w:shd w:val="clear" w:color="auto" w:fill="EFEFEF"/>
          </w:tcPr>
          <w:p>
            <w:pPr>
              <w:jc w:val="right"/>
              <w:ind w:right="301"/>
              <w:spacing w:after="0"/>
              <w:rPr>
                <w:sz w:val="20"/>
                <w:szCs w:val="20"/>
                <w:color w:val="auto"/>
              </w:rPr>
            </w:pPr>
            <w:r>
              <w:rPr>
                <w:rFonts w:ascii="Times New Roman" w:cs="Times New Roman" w:eastAsia="Times New Roman" w:hAnsi="Times New Roman"/>
                <w:sz w:val="20"/>
                <w:szCs w:val="20"/>
                <w:color w:val="auto"/>
              </w:rPr>
              <w:t>224</w:t>
            </w:r>
          </w:p>
        </w:tc>
        <w:tc>
          <w:tcPr>
            <w:tcW w:w="1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Decatherms</w:t>
            </w: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w:t>
            </w: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22</w:t>
            </w:r>
          </w:p>
        </w:tc>
        <w:tc>
          <w:tcPr>
            <w:tcW w:w="180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Canadian  $</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Canadian</w:t>
            </w:r>
          </w:p>
        </w:tc>
      </w:tr>
    </w:tbl>
    <w:p>
      <w:pPr>
        <w:spacing w:after="0" w:line="16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PGE has elected to report positive and negative exposures resulting from derivative instruments pursuant to agreements that meet the definition of a master netting arrangement gross on the condensed consolidated balance sheets. In the case of default on, or termination of, any contract under the master netting arrangements, such agreements provide for the net settlement of all related contractual obligations with a given counterparty through a single payment. These types of transactions may include non-derivative instruments, derivatives qualifying for scope exceptions, receivables and payables arising from settled positions, and other forms of non-cash collateral, such as letters of credit. As of September 30, 2026, gross amounts included as Price risk management liabilities subject to master netting agreements were $32 million, entirely for natural gas, for which PGE has posted $13 million collateral. As of December 31, 2025, gross amounts included as Price risk management liabilities subject to master netting agreements were $41 million, all of which was for natural gas, for which PGE had posted $14 million collateral.</w:t>
      </w:r>
    </w:p>
    <w:p>
      <w:pPr>
        <w:sectPr>
          <w:pgSz w:w="11900" w:h="16838" w:orient="portrait"/>
          <w:cols w:equalWidth="0" w:num="1">
            <w:col w:w="11240"/>
          </w:cols>
          <w:pgMar w:left="320" w:top="114"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Net realized and unrealized losses (gains) on derivative transactions not designated as hedging instruments are classified in Revenues, net or Purchased power and fuel, as applicable, in the condensed consolidated statements of income and comprehensive income and were as follows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80" w:type="dxa"/>
            <w:vAlign w:val="bottom"/>
            <w:tcBorders>
              <w:bottom w:val="single" w:sz="8" w:color="155CAB"/>
            </w:tcBorders>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155CAB"/>
              </w:rPr>
              <w:t>Three Months Ended September 30,</w:t>
            </w:r>
          </w:p>
        </w:tc>
        <w:tc>
          <w:tcPr>
            <w:tcW w:w="460" w:type="dxa"/>
            <w:vAlign w:val="bottom"/>
            <w:tcBorders>
              <w:bottom w:val="single" w:sz="8" w:color="155CAB"/>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bottom w:val="single" w:sz="8" w:color="155CAB"/>
            </w:tcBorders>
          </w:tcPr>
          <w:p>
            <w:pPr>
              <w:spacing w:after="0"/>
              <w:rPr>
                <w:sz w:val="22"/>
                <w:szCs w:val="22"/>
                <w:color w:val="auto"/>
              </w:rPr>
            </w:pPr>
          </w:p>
        </w:tc>
        <w:tc>
          <w:tcPr>
            <w:tcW w:w="3660" w:type="dxa"/>
            <w:vAlign w:val="bottom"/>
            <w:tcBorders>
              <w:bottom w:val="single" w:sz="8" w:color="155CAB"/>
            </w:tcBorders>
            <w:gridSpan w:val="4"/>
          </w:tcPr>
          <w:p>
            <w:pPr>
              <w:jc w:val="right"/>
              <w:ind w:right="441"/>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223"/>
        </w:trPr>
        <w:tc>
          <w:tcPr>
            <w:tcW w:w="2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ind w:right="14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560" w:type="dxa"/>
            <w:vAlign w:val="bottom"/>
          </w:tcPr>
          <w:p>
            <w:pPr>
              <w:spacing w:after="0"/>
              <w:rPr>
                <w:sz w:val="19"/>
                <w:szCs w:val="19"/>
                <w:color w:val="auto"/>
              </w:rPr>
            </w:pPr>
          </w:p>
        </w:tc>
        <w:tc>
          <w:tcPr>
            <w:tcW w:w="160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ind w:right="6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7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268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Commodity contracts:</w:t>
            </w:r>
          </w:p>
        </w:tc>
        <w:tc>
          <w:tcPr>
            <w:tcW w:w="520" w:type="dxa"/>
            <w:vAlign w:val="bottom"/>
            <w:shd w:val="clear" w:color="auto" w:fill="EFEFEF"/>
          </w:tcPr>
          <w:p>
            <w:pPr>
              <w:spacing w:after="0"/>
              <w:rPr>
                <w:sz w:val="19"/>
                <w:szCs w:val="19"/>
                <w:color w:val="auto"/>
              </w:rPr>
            </w:pPr>
          </w:p>
        </w:tc>
        <w:tc>
          <w:tcPr>
            <w:tcW w:w="1320" w:type="dxa"/>
            <w:vAlign w:val="bottom"/>
            <w:tcBorders>
              <w:top w:val="single" w:sz="8" w:color="155CAB"/>
            </w:tcBorders>
            <w:shd w:val="clear" w:color="auto" w:fill="EFEFEF"/>
          </w:tcPr>
          <w:p>
            <w:pPr>
              <w:spacing w:after="0"/>
              <w:rPr>
                <w:sz w:val="19"/>
                <w:szCs w:val="19"/>
                <w:color w:val="auto"/>
              </w:rPr>
            </w:pPr>
          </w:p>
        </w:tc>
        <w:tc>
          <w:tcPr>
            <w:tcW w:w="560" w:type="dxa"/>
            <w:vAlign w:val="bottom"/>
            <w:tcBorders>
              <w:top w:val="single" w:sz="8" w:color="155CAB"/>
            </w:tcBorders>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1400" w:type="dxa"/>
            <w:vAlign w:val="bottom"/>
            <w:tcBorders>
              <w:top w:val="single" w:sz="8" w:color="155CAB"/>
            </w:tcBorders>
            <w:shd w:val="clear" w:color="auto" w:fill="EFEFEF"/>
          </w:tcPr>
          <w:p>
            <w:pPr>
              <w:spacing w:after="0"/>
              <w:rPr>
                <w:sz w:val="19"/>
                <w:szCs w:val="19"/>
                <w:color w:val="auto"/>
              </w:rPr>
            </w:pPr>
          </w:p>
        </w:tc>
        <w:tc>
          <w:tcPr>
            <w:tcW w:w="460" w:type="dxa"/>
            <w:vAlign w:val="bottom"/>
            <w:tcBorders>
              <w:top w:val="single" w:sz="8" w:color="155CAB"/>
            </w:tcBorders>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260" w:type="dxa"/>
            <w:vAlign w:val="bottom"/>
            <w:tcBorders>
              <w:top w:val="single" w:sz="8" w:color="155CAB"/>
            </w:tcBorders>
            <w:shd w:val="clear" w:color="auto" w:fill="EFEFEF"/>
          </w:tcPr>
          <w:p>
            <w:pPr>
              <w:spacing w:after="0"/>
              <w:rPr>
                <w:sz w:val="19"/>
                <w:szCs w:val="19"/>
                <w:color w:val="auto"/>
              </w:rPr>
            </w:pPr>
          </w:p>
        </w:tc>
        <w:tc>
          <w:tcPr>
            <w:tcW w:w="1600" w:type="dxa"/>
            <w:vAlign w:val="bottom"/>
            <w:tcBorders>
              <w:top w:val="single" w:sz="8" w:color="155CAB"/>
            </w:tcBorders>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380" w:type="dxa"/>
            <w:vAlign w:val="bottom"/>
            <w:tcBorders>
              <w:top w:val="single" w:sz="8" w:color="155CAB"/>
            </w:tcBorders>
            <w:shd w:val="clear" w:color="auto" w:fill="EFEFEF"/>
          </w:tcPr>
          <w:p>
            <w:pPr>
              <w:spacing w:after="0"/>
              <w:rPr>
                <w:sz w:val="19"/>
                <w:szCs w:val="19"/>
                <w:color w:val="auto"/>
              </w:rPr>
            </w:pPr>
          </w:p>
        </w:tc>
        <w:tc>
          <w:tcPr>
            <w:tcW w:w="1480" w:type="dxa"/>
            <w:vAlign w:val="bottom"/>
            <w:tcBorders>
              <w:top w:val="single" w:sz="8" w:color="155CAB"/>
            </w:tcBorders>
            <w:shd w:val="clear" w:color="auto" w:fill="EFEFEF"/>
          </w:tcPr>
          <w:p>
            <w:pPr>
              <w:spacing w:after="0"/>
              <w:rPr>
                <w:sz w:val="19"/>
                <w:szCs w:val="19"/>
                <w:color w:val="auto"/>
              </w:rPr>
            </w:pPr>
          </w:p>
        </w:tc>
      </w:tr>
      <w:tr>
        <w:trPr>
          <w:trHeight w:val="230"/>
        </w:trPr>
        <w:tc>
          <w:tcPr>
            <w:tcW w:w="2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Electricity</w:t>
            </w:r>
          </w:p>
        </w:tc>
        <w:tc>
          <w:tcPr>
            <w:tcW w:w="1840" w:type="dxa"/>
            <w:vAlign w:val="bottom"/>
            <w:gridSpan w:val="2"/>
          </w:tcPr>
          <w:p>
            <w:pPr>
              <w:jc w:val="right"/>
              <w:ind w:right="1121"/>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1600" w:type="dxa"/>
            <w:vAlign w:val="bottom"/>
            <w:gridSpan w:val="2"/>
          </w:tcPr>
          <w:p>
            <w:pPr>
              <w:jc w:val="right"/>
              <w:ind w:right="13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29"/>
        </w:trPr>
        <w:tc>
          <w:tcPr>
            <w:tcW w:w="268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Natural Gas</w:t>
            </w:r>
          </w:p>
        </w:tc>
        <w:tc>
          <w:tcPr>
            <w:tcW w:w="520" w:type="dxa"/>
            <w:vAlign w:val="bottom"/>
            <w:shd w:val="clear" w:color="auto" w:fill="EFEFEF"/>
          </w:tcPr>
          <w:p>
            <w:pPr>
              <w:spacing w:after="0"/>
              <w:rPr>
                <w:sz w:val="19"/>
                <w:szCs w:val="19"/>
                <w:color w:val="auto"/>
              </w:rPr>
            </w:pPr>
          </w:p>
        </w:tc>
        <w:tc>
          <w:tcPr>
            <w:tcW w:w="1320" w:type="dxa"/>
            <w:vAlign w:val="bottom"/>
            <w:shd w:val="clear" w:color="auto" w:fill="EFEFEF"/>
          </w:tcPr>
          <w:p>
            <w:pPr>
              <w:spacing w:after="0"/>
              <w:rPr>
                <w:sz w:val="19"/>
                <w:szCs w:val="19"/>
                <w:color w:val="auto"/>
              </w:rPr>
            </w:pPr>
          </w:p>
        </w:tc>
        <w:tc>
          <w:tcPr>
            <w:tcW w:w="5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0" w:type="dxa"/>
            <w:vAlign w:val="bottom"/>
            <w:shd w:val="clear" w:color="auto" w:fill="EFEFEF"/>
          </w:tcPr>
          <w:p>
            <w:pPr>
              <w:spacing w:after="0"/>
              <w:rPr>
                <w:sz w:val="19"/>
                <w:szCs w:val="19"/>
                <w:color w:val="auto"/>
              </w:rPr>
            </w:pPr>
          </w:p>
        </w:tc>
        <w:tc>
          <w:tcPr>
            <w:tcW w:w="1400" w:type="dxa"/>
            <w:vAlign w:val="bottom"/>
            <w:shd w:val="clear" w:color="auto" w:fill="EFEFEF"/>
          </w:tcPr>
          <w:p>
            <w:pPr>
              <w:spacing w:after="0"/>
              <w:rPr>
                <w:sz w:val="19"/>
                <w:szCs w:val="19"/>
                <w:color w:val="auto"/>
              </w:rPr>
            </w:pPr>
          </w:p>
        </w:tc>
        <w:tc>
          <w:tcPr>
            <w:tcW w:w="4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shd w:val="clear" w:color="auto" w:fill="EFEFEF"/>
          </w:tcPr>
          <w:p>
            <w:pPr>
              <w:spacing w:after="0"/>
              <w:rPr>
                <w:sz w:val="19"/>
                <w:szCs w:val="19"/>
                <w:color w:val="auto"/>
              </w:rPr>
            </w:pPr>
          </w:p>
        </w:tc>
        <w:tc>
          <w:tcPr>
            <w:tcW w:w="26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100</w:t>
            </w:r>
          </w:p>
        </w:tc>
        <w:tc>
          <w:tcPr>
            <w:tcW w:w="20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14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146</w:t>
            </w:r>
          </w:p>
        </w:tc>
      </w:tr>
      <w:tr>
        <w:trPr>
          <w:trHeight w:val="25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exchange</w:t>
            </w: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7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Net unrealized and certain net realized losses/(gains) presented in the table above are offset within the condensed consolidated statements of income and comprehensive income by the effects of regulatory accounting. Of the net amounts recognized in Net income for the three-month periods ended September 30, 2026 and 2025, no net gains and $37 million of net losses, respectively, have been offset. Net gains of $14 million and $25 million have been offset for the nine-month periods ended September 30, 2026 and 2025, respectively.</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Assuming no changes in market prices and interest rates, the following table indicates the year in which the net unrealized loss recorded as of September 30, 2026 related to PGE’s derivative activities would become realized as a result of the settlement of the underlying derivative instrument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3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5CAB"/>
              </w:rPr>
              <w:t>2027</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2028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2029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155CAB"/>
                <w:w w:val="99"/>
              </w:rPr>
              <w:t>2030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155CAB"/>
                <w:w w:val="97"/>
              </w:rPr>
              <w:t>Thereafter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155CAB"/>
              </w:rPr>
              <w:t>Total</w:t>
            </w:r>
          </w:p>
        </w:tc>
      </w:tr>
      <w:tr>
        <w:trPr>
          <w:trHeight w:val="223"/>
        </w:trPr>
        <w:tc>
          <w:tcPr>
            <w:tcW w:w="36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Commodity contracts:</w:t>
            </w:r>
          </w:p>
        </w:tc>
        <w:tc>
          <w:tcPr>
            <w:tcW w:w="740" w:type="dxa"/>
            <w:vAlign w:val="bottom"/>
            <w:tcBorders>
              <w:top w:val="single" w:sz="8" w:color="155CAB"/>
            </w:tcBorders>
            <w:shd w:val="clear" w:color="auto" w:fill="EFEFEF"/>
          </w:tcPr>
          <w:p>
            <w:pPr>
              <w:spacing w:after="0"/>
              <w:rPr>
                <w:sz w:val="19"/>
                <w:szCs w:val="19"/>
                <w:color w:val="auto"/>
              </w:rPr>
            </w:pPr>
          </w:p>
        </w:tc>
        <w:tc>
          <w:tcPr>
            <w:tcW w:w="380" w:type="dxa"/>
            <w:vAlign w:val="bottom"/>
            <w:tcBorders>
              <w:top w:val="single" w:sz="8" w:color="155CAB"/>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680" w:type="dxa"/>
            <w:vAlign w:val="bottom"/>
            <w:tcBorders>
              <w:top w:val="single" w:sz="8" w:color="155CAB"/>
            </w:tcBorders>
            <w:shd w:val="clear" w:color="auto" w:fill="EFEFEF"/>
          </w:tcPr>
          <w:p>
            <w:pPr>
              <w:spacing w:after="0"/>
              <w:rPr>
                <w:sz w:val="19"/>
                <w:szCs w:val="19"/>
                <w:color w:val="auto"/>
              </w:rPr>
            </w:pPr>
          </w:p>
        </w:tc>
        <w:tc>
          <w:tcPr>
            <w:tcW w:w="34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 w:type="dxa"/>
            <w:vAlign w:val="bottom"/>
            <w:tcBorders>
              <w:top w:val="single" w:sz="8" w:color="155CAB"/>
            </w:tcBorders>
            <w:shd w:val="clear" w:color="auto" w:fill="EFEFEF"/>
          </w:tcPr>
          <w:p>
            <w:pPr>
              <w:spacing w:after="0"/>
              <w:rPr>
                <w:sz w:val="19"/>
                <w:szCs w:val="19"/>
                <w:color w:val="auto"/>
              </w:rPr>
            </w:pPr>
          </w:p>
        </w:tc>
        <w:tc>
          <w:tcPr>
            <w:tcW w:w="80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 w:type="dxa"/>
            <w:vAlign w:val="bottom"/>
            <w:tcBorders>
              <w:top w:val="single" w:sz="8" w:color="155CAB"/>
            </w:tcBorders>
            <w:shd w:val="clear" w:color="auto" w:fill="EFEFEF"/>
          </w:tcPr>
          <w:p>
            <w:pPr>
              <w:spacing w:after="0"/>
              <w:rPr>
                <w:sz w:val="19"/>
                <w:szCs w:val="19"/>
                <w:color w:val="auto"/>
              </w:rPr>
            </w:pPr>
          </w:p>
        </w:tc>
        <w:tc>
          <w:tcPr>
            <w:tcW w:w="80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20" w:type="dxa"/>
            <w:vAlign w:val="bottom"/>
            <w:tcBorders>
              <w:top w:val="single" w:sz="8" w:color="155CAB"/>
            </w:tcBorders>
            <w:shd w:val="clear" w:color="auto" w:fill="EFEFEF"/>
          </w:tcPr>
          <w:p>
            <w:pPr>
              <w:spacing w:after="0"/>
              <w:rPr>
                <w:sz w:val="19"/>
                <w:szCs w:val="19"/>
                <w:color w:val="auto"/>
              </w:rPr>
            </w:pPr>
          </w:p>
        </w:tc>
        <w:tc>
          <w:tcPr>
            <w:tcW w:w="68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00" w:type="dxa"/>
            <w:vAlign w:val="bottom"/>
            <w:tcBorders>
              <w:top w:val="single" w:sz="8" w:color="155CAB"/>
            </w:tcBorders>
            <w:shd w:val="clear" w:color="auto" w:fill="EFEFEF"/>
          </w:tcPr>
          <w:p>
            <w:pPr>
              <w:spacing w:after="0"/>
              <w:rPr>
                <w:sz w:val="19"/>
                <w:szCs w:val="19"/>
                <w:color w:val="auto"/>
              </w:rPr>
            </w:pPr>
          </w:p>
        </w:tc>
        <w:tc>
          <w:tcPr>
            <w:tcW w:w="114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00" w:type="dxa"/>
            <w:vAlign w:val="bottom"/>
            <w:tcBorders>
              <w:top w:val="single" w:sz="8" w:color="155CAB"/>
            </w:tcBorders>
            <w:shd w:val="clear" w:color="auto" w:fill="EFEFEF"/>
          </w:tcPr>
          <w:p>
            <w:pPr>
              <w:spacing w:after="0"/>
              <w:rPr>
                <w:sz w:val="19"/>
                <w:szCs w:val="19"/>
                <w:color w:val="auto"/>
              </w:rPr>
            </w:pPr>
          </w:p>
        </w:tc>
        <w:tc>
          <w:tcPr>
            <w:tcW w:w="720" w:type="dxa"/>
            <w:vAlign w:val="bottom"/>
            <w:tcBorders>
              <w:top w:val="single" w:sz="8" w:color="155CAB"/>
            </w:tcBorders>
            <w:shd w:val="clear" w:color="auto" w:fill="EFEFEF"/>
          </w:tcPr>
          <w:p>
            <w:pPr>
              <w:spacing w:after="0"/>
              <w:rPr>
                <w:sz w:val="19"/>
                <w:szCs w:val="19"/>
                <w:color w:val="auto"/>
              </w:rPr>
            </w:pPr>
          </w:p>
        </w:tc>
      </w:tr>
      <w:tr>
        <w:trPr>
          <w:trHeight w:val="229"/>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Electricity</w:t>
            </w:r>
          </w:p>
        </w:tc>
        <w:tc>
          <w:tcPr>
            <w:tcW w:w="74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3620" w:type="dxa"/>
            <w:vAlign w:val="bottom"/>
            <w:tcBorders>
              <w:bottom w:val="single" w:sz="8" w:color="EFEFEF"/>
            </w:tcBorders>
            <w:shd w:val="clear" w:color="auto" w:fill="EFEFEF"/>
          </w:tcPr>
          <w:p>
            <w:pPr>
              <w:ind w:left="100"/>
              <w:spacing w:after="0"/>
              <w:rPr>
                <w:sz w:val="20"/>
                <w:szCs w:val="20"/>
                <w:color w:val="auto"/>
              </w:rPr>
            </w:pPr>
            <w:r>
              <w:rPr>
                <w:rFonts w:ascii="Times New Roman" w:cs="Times New Roman" w:eastAsia="Times New Roman" w:hAnsi="Times New Roman"/>
                <w:sz w:val="20"/>
                <w:szCs w:val="20"/>
                <w:color w:val="auto"/>
              </w:rPr>
              <w:t>Natural gas</w:t>
            </w:r>
          </w:p>
        </w:tc>
        <w:tc>
          <w:tcPr>
            <w:tcW w:w="740" w:type="dxa"/>
            <w:vAlign w:val="bottom"/>
            <w:tcBorders>
              <w:bottom w:val="single" w:sz="8" w:color="auto"/>
            </w:tcBorders>
            <w:shd w:val="clear" w:color="auto" w:fill="EFEFEF"/>
          </w:tcPr>
          <w:p>
            <w:pPr>
              <w:spacing w:after="0"/>
              <w:rPr>
                <w:sz w:val="19"/>
                <w:szCs w:val="19"/>
                <w:color w:val="auto"/>
              </w:rPr>
            </w:pPr>
          </w:p>
        </w:tc>
        <w:tc>
          <w:tcPr>
            <w:tcW w:w="3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35</w:t>
            </w:r>
          </w:p>
        </w:tc>
        <w:tc>
          <w:tcPr>
            <w:tcW w:w="100" w:type="dxa"/>
            <w:vAlign w:val="bottom"/>
            <w:tcBorders>
              <w:bottom w:val="single" w:sz="8" w:color="EFEFEF"/>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w w:val="99"/>
              </w:rPr>
              <w:t>73</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100" w:type="dxa"/>
            <w:vAlign w:val="bottom"/>
            <w:tcBorders>
              <w:bottom w:val="single" w:sz="8" w:color="auto"/>
            </w:tcBorders>
            <w:shd w:val="clear" w:color="auto" w:fill="EFEFEF"/>
          </w:tcPr>
          <w:p>
            <w:pPr>
              <w:spacing w:after="0"/>
              <w:rPr>
                <w:sz w:val="19"/>
                <w:szCs w:val="19"/>
                <w:color w:val="auto"/>
              </w:rPr>
            </w:pPr>
          </w:p>
        </w:tc>
        <w:tc>
          <w:tcPr>
            <w:tcW w:w="11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10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118</w:t>
            </w:r>
          </w:p>
        </w:tc>
      </w:tr>
      <w:tr>
        <w:trPr>
          <w:trHeight w:val="223"/>
        </w:trPr>
        <w:tc>
          <w:tcPr>
            <w:tcW w:w="362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Net unrealized loss</w:t>
            </w:r>
          </w:p>
        </w:tc>
        <w:tc>
          <w:tcPr>
            <w:tcW w:w="740" w:type="dxa"/>
            <w:vAlign w:val="bottom"/>
          </w:tcPr>
          <w:p>
            <w:pPr>
              <w:jc w:val="right"/>
              <w:ind w:right="5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38</w:t>
            </w:r>
          </w:p>
        </w:tc>
        <w:tc>
          <w:tcPr>
            <w:tcW w:w="780" w:type="dxa"/>
            <w:vAlign w:val="bottom"/>
            <w:gridSpan w:val="2"/>
          </w:tcPr>
          <w:p>
            <w:pPr>
              <w:jc w:val="right"/>
              <w:ind w:right="5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9"/>
              </w:rPr>
              <w:t>78</w:t>
            </w:r>
          </w:p>
        </w:tc>
        <w:tc>
          <w:tcPr>
            <w:tcW w:w="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w:t>
            </w:r>
          </w:p>
        </w:tc>
        <w:tc>
          <w:tcPr>
            <w:tcW w:w="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w:t>
            </w:r>
          </w:p>
        </w:tc>
        <w:tc>
          <w:tcPr>
            <w:tcW w:w="2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w:t>
            </w: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w:t>
            </w: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155</w:t>
            </w:r>
          </w:p>
        </w:tc>
      </w:tr>
      <w:tr>
        <w:trPr>
          <w:trHeight w:val="20"/>
        </w:trPr>
        <w:tc>
          <w:tcPr>
            <w:tcW w:w="3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-179705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-179705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-179705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-179705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-179705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-179705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PGE’s secured and unsecured debt is currently rated at investment grade by Moody’s Investors Service (Moody’s) and S&amp;P Global Ratings (S&amp;P). Should Moody’s or S&amp;P reduce their rating on the Company’s unsecured debt to below investment grade, PGE could be subject to requests by certain wholesale counterparties to post additional performance assurance collateral, in the form of cash or letters of credit, based on total portfolio positions with each of those counterparties. Certain other counterparties would have the right to terminate their agreements with the Company.</w:t>
      </w:r>
    </w:p>
    <w:p>
      <w:pPr>
        <w:spacing w:after="0" w:line="18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The aggregate fair value of derivative instruments with credit-risk-related contingent features that were in a liability position as of September 30, 2026 was $157 million, for which PGE has posted $54 million in collateral, consisting of $22 million of letters of credit and $32 million of cash. If the credit-risk-related contingent features underlying these agreements were triggered at September 30, 2026, the cash requirement to either post as collateral or settle the instruments immediately would have been $123 million. As of September 30, 2026, PGE had $12 million cash collateral posted for derivative instruments with no credit-risk-related contingent features. Cash collateral for derivative instruments is classified as Margin deposits included in Other current assets on the Company’s condensed consolidated balance sheets.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As of September 30, 2026, PGE held from counterparties $10 million in collateral, consisting $8 million of letters of credit and $2 million of cash. The obligation to return cash collateral held for derivative instruments is included in Accrued expenses and other current liabilities on the Company’s condensed consolidated balance sheets.</w:t>
      </w:r>
    </w:p>
    <w:p>
      <w:pPr>
        <w:spacing w:after="0" w:line="17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PGE is exposed to credit risk in its commodity price risk management activities related to potential nonperformance by counterparties. Credit risk may be concentrated to the extent the Company’s counterparties have similar economic, industry or other characteristics and due to direct or indirect relationships among the counterparties. PGE manages the risk of counterparty default according to its credit policies by performing financial credit reviews, setting limits and monitoring exposures, and requiring collateral (in the form of cash, letters of credit, and guarantees) when needed. The Company also uses standardized enabling agreements and, in certain cases, master netting agreements, which allow for the netting of positive and negative exposures under multiple agreements with counterparties.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See Note 4, Fair Value of Financial Instruments, for additional information concerning the determination of fair value for the Company’s Assets and Liabilities from price risk management activities.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6: EARNINGS PER SHARE</w:t>
      </w:r>
    </w:p>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Basic earnings per share are computed based on the weighted average number of common shares outstanding during the period. Diluted earnings per share are computed using the weighted average number of common shares outstanding and the effect of dilutive potential common shares outstanding during the period using the treasury stock method. Potential common shares consist of: i) employee stock purchase plan shares; ii) contingently issuable time-based and performance-based restricted stock units, along with associated dividend equivalent rights; and iii) shares issuable pursuant to the equity forward sale agreement (EFSA) and at-the-market offering (ATM) programs. See Note 7, Shareholders’ Equity, for additional information on the EFSA and ATM programs and the resulting impact on earnings per share. Unvested performance-based restricted stock units and associated dividend equivalent rights are included in dilutive potential common shares only after the performance criteria have been met. Anti-dilutive stock awards are excluded from the calculation of diluted earnings per common share.</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For the three and nine months ended September 30, 2026, unvested performance-based restricted stock units and related dividend equivalent rights of 652 thousand shares were excluded from the dilutive calculation because the performance goals had not been met, with 640 thousand shares excluded for the three and nine months ended September 30, 2025.</w:t>
      </w:r>
    </w:p>
    <w:p>
      <w:pPr>
        <w:spacing w:after="0" w:line="174"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Net income is the same for both the basic and diluted earnings per share computations. The denominators of the basic and diluted earnings per share computations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270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100" w:type="dxa"/>
            <w:vAlign w:val="bottom"/>
          </w:tcPr>
          <w:p>
            <w:pPr>
              <w:spacing w:after="0"/>
              <w:rPr>
                <w:sz w:val="19"/>
                <w:szCs w:val="19"/>
                <w:color w:val="auto"/>
              </w:rPr>
            </w:pPr>
          </w:p>
        </w:tc>
        <w:tc>
          <w:tcPr>
            <w:tcW w:w="2660" w:type="dxa"/>
            <w:vAlign w:val="bottom"/>
            <w:gridSpan w:val="3"/>
          </w:tcPr>
          <w:p>
            <w:pPr>
              <w:jc w:val="right"/>
              <w:ind w:right="461"/>
              <w:spacing w:after="0"/>
              <w:rPr>
                <w:sz w:val="20"/>
                <w:szCs w:val="20"/>
                <w:color w:val="auto"/>
              </w:rPr>
            </w:pPr>
            <w:r>
              <w:rPr>
                <w:rFonts w:ascii="Times New Roman" w:cs="Times New Roman" w:eastAsia="Times New Roman" w:hAnsi="Times New Roman"/>
                <w:sz w:val="20"/>
                <w:szCs w:val="20"/>
                <w:b w:val="1"/>
                <w:bCs w:val="1"/>
                <w:color w:val="155CAB"/>
              </w:rPr>
              <w:t>Nine Months Ended</w:t>
            </w:r>
          </w:p>
        </w:tc>
      </w:tr>
      <w:tr>
        <w:trPr>
          <w:trHeight w:val="256"/>
        </w:trPr>
        <w:tc>
          <w:tcPr>
            <w:tcW w:w="5780" w:type="dxa"/>
            <w:vAlign w:val="bottom"/>
          </w:tcPr>
          <w:p>
            <w:pPr>
              <w:spacing w:after="0"/>
              <w:rPr>
                <w:sz w:val="22"/>
                <w:szCs w:val="22"/>
                <w:color w:val="auto"/>
              </w:rPr>
            </w:pPr>
          </w:p>
        </w:tc>
        <w:tc>
          <w:tcPr>
            <w:tcW w:w="2700" w:type="dxa"/>
            <w:vAlign w:val="bottom"/>
            <w:tcBorders>
              <w:bottom w:val="single" w:sz="8" w:color="155CAB"/>
            </w:tcBorders>
            <w:gridSpan w:val="3"/>
          </w:tcPr>
          <w:p>
            <w:pPr>
              <w:jc w:val="right"/>
              <w:ind w:right="72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100" w:type="dxa"/>
            <w:vAlign w:val="bottom"/>
          </w:tcPr>
          <w:p>
            <w:pPr>
              <w:spacing w:after="0"/>
              <w:rPr>
                <w:sz w:val="22"/>
                <w:szCs w:val="22"/>
                <w:color w:val="auto"/>
              </w:rPr>
            </w:pPr>
          </w:p>
        </w:tc>
        <w:tc>
          <w:tcPr>
            <w:tcW w:w="2660" w:type="dxa"/>
            <w:vAlign w:val="bottom"/>
            <w:tcBorders>
              <w:bottom w:val="single" w:sz="8" w:color="155CAB"/>
            </w:tcBorders>
            <w:gridSpan w:val="3"/>
          </w:tcPr>
          <w:p>
            <w:pPr>
              <w:jc w:val="right"/>
              <w:ind w:right="681"/>
              <w:spacing w:after="0"/>
              <w:rPr>
                <w:sz w:val="20"/>
                <w:szCs w:val="20"/>
                <w:color w:val="auto"/>
              </w:rPr>
            </w:pPr>
            <w:r>
              <w:rPr>
                <w:rFonts w:ascii="Times New Roman" w:cs="Times New Roman" w:eastAsia="Times New Roman" w:hAnsi="Times New Roman"/>
                <w:sz w:val="20"/>
                <w:szCs w:val="20"/>
                <w:b w:val="1"/>
                <w:bCs w:val="1"/>
                <w:color w:val="155CAB"/>
              </w:rPr>
              <w:t>September 30,</w:t>
            </w:r>
          </w:p>
        </w:tc>
      </w:tr>
      <w:tr>
        <w:trPr>
          <w:trHeight w:val="223"/>
        </w:trPr>
        <w:tc>
          <w:tcPr>
            <w:tcW w:w="5780" w:type="dxa"/>
            <w:vAlign w:val="bottom"/>
          </w:tcPr>
          <w:p>
            <w:pPr>
              <w:spacing w:after="0"/>
              <w:rPr>
                <w:sz w:val="19"/>
                <w:szCs w:val="19"/>
                <w:color w:val="auto"/>
              </w:rPr>
            </w:pPr>
          </w:p>
        </w:tc>
        <w:tc>
          <w:tcPr>
            <w:tcW w:w="1300" w:type="dxa"/>
            <w:vAlign w:val="bottom"/>
            <w:tcBorders>
              <w:bottom w:val="single" w:sz="8" w:color="155CAB"/>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Pr>
          <w:p>
            <w:pPr>
              <w:spacing w:after="0"/>
              <w:rPr>
                <w:sz w:val="19"/>
                <w:szCs w:val="19"/>
                <w:color w:val="auto"/>
              </w:rPr>
            </w:pPr>
          </w:p>
        </w:tc>
        <w:tc>
          <w:tcPr>
            <w:tcW w:w="1280" w:type="dxa"/>
            <w:vAlign w:val="bottom"/>
            <w:tcBorders>
              <w:bottom w:val="single" w:sz="8" w:color="155CAB"/>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c>
          <w:tcPr>
            <w:tcW w:w="1260" w:type="dxa"/>
            <w:vAlign w:val="bottom"/>
            <w:tcBorders>
              <w:bottom w:val="single" w:sz="8" w:color="155CAB"/>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Pr>
          <w:p>
            <w:pPr>
              <w:spacing w:after="0"/>
              <w:rPr>
                <w:sz w:val="19"/>
                <w:szCs w:val="19"/>
                <w:color w:val="auto"/>
              </w:rPr>
            </w:pPr>
          </w:p>
        </w:tc>
        <w:tc>
          <w:tcPr>
            <w:tcW w:w="1280" w:type="dxa"/>
            <w:vAlign w:val="bottom"/>
            <w:tcBorders>
              <w:bottom w:val="single" w:sz="8" w:color="155CAB"/>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578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Weighted-average common shares outstanding—basic</w:t>
            </w:r>
          </w:p>
        </w:tc>
        <w:tc>
          <w:tcPr>
            <w:tcW w:w="130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118,199</w:t>
            </w:r>
          </w:p>
        </w:tc>
        <w:tc>
          <w:tcPr>
            <w:tcW w:w="140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110,170</w:t>
            </w:r>
          </w:p>
        </w:tc>
        <w:tc>
          <w:tcPr>
            <w:tcW w:w="136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116,534</w:t>
            </w:r>
          </w:p>
        </w:tc>
        <w:tc>
          <w:tcPr>
            <w:tcW w:w="140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109,708</w:t>
            </w:r>
          </w:p>
        </w:tc>
      </w:tr>
      <w:tr>
        <w:trPr>
          <w:trHeight w:val="230"/>
        </w:trPr>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Dilutive effect of potential common shares</w:t>
            </w: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472</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551</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250</w:t>
            </w:r>
          </w:p>
        </w:tc>
      </w:tr>
      <w:tr>
        <w:trPr>
          <w:trHeight w:val="263"/>
        </w:trPr>
        <w:tc>
          <w:tcPr>
            <w:tcW w:w="578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Weighted-average common shares outstanding—diluted</w:t>
            </w:r>
          </w:p>
        </w:tc>
        <w:tc>
          <w:tcPr>
            <w:tcW w:w="1300" w:type="dxa"/>
            <w:vAlign w:val="bottom"/>
            <w:tcBorders>
              <w:bottom w:val="single" w:sz="8" w:color="auto"/>
            </w:tcBorders>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118,671</w:t>
            </w:r>
          </w:p>
        </w:tc>
        <w:tc>
          <w:tcPr>
            <w:tcW w:w="120" w:type="dxa"/>
            <w:vAlign w:val="bottom"/>
            <w:tcBorders>
              <w:bottom w:val="single" w:sz="8" w:color="EFEFEF"/>
            </w:tcBorders>
            <w:shd w:val="clear" w:color="auto" w:fill="EFEFEF"/>
          </w:tcPr>
          <w:p>
            <w:pPr>
              <w:spacing w:after="0"/>
              <w:rPr>
                <w:sz w:val="22"/>
                <w:szCs w:val="22"/>
                <w:color w:val="auto"/>
              </w:rPr>
            </w:pPr>
          </w:p>
        </w:tc>
        <w:tc>
          <w:tcPr>
            <w:tcW w:w="12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110,416</w:t>
            </w:r>
          </w:p>
        </w:tc>
        <w:tc>
          <w:tcPr>
            <w:tcW w:w="100" w:type="dxa"/>
            <w:vAlign w:val="bottom"/>
            <w:tcBorders>
              <w:bottom w:val="single" w:sz="8" w:color="EFEFEF"/>
            </w:tcBorders>
            <w:shd w:val="clear" w:color="auto" w:fill="EFEFEF"/>
          </w:tcPr>
          <w:p>
            <w:pPr>
              <w:spacing w:after="0"/>
              <w:rPr>
                <w:sz w:val="22"/>
                <w:szCs w:val="22"/>
                <w:color w:val="auto"/>
              </w:rPr>
            </w:pPr>
          </w:p>
        </w:tc>
        <w:tc>
          <w:tcPr>
            <w:tcW w:w="12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117,085</w:t>
            </w:r>
          </w:p>
        </w:tc>
        <w:tc>
          <w:tcPr>
            <w:tcW w:w="120" w:type="dxa"/>
            <w:vAlign w:val="bottom"/>
            <w:tcBorders>
              <w:bottom w:val="single" w:sz="8" w:color="EFEFEF"/>
            </w:tcBorders>
            <w:shd w:val="clear" w:color="auto" w:fill="EFEFEF"/>
          </w:tcPr>
          <w:p>
            <w:pPr>
              <w:spacing w:after="0"/>
              <w:rPr>
                <w:sz w:val="22"/>
                <w:szCs w:val="22"/>
                <w:color w:val="auto"/>
              </w:rPr>
            </w:pPr>
          </w:p>
        </w:tc>
        <w:tc>
          <w:tcPr>
            <w:tcW w:w="12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7: SHAREHOLDERS’ EQUITY</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20"/>
          <w:szCs w:val="20"/>
          <w:color w:val="auto"/>
        </w:rPr>
        <w:t>The activity in equity during the three and nine-month periods ended September 30, 2026 and 2025 was as follows (dollars in millions, except per share amounts):</w:t>
      </w: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264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20"/>
                <w:szCs w:val="20"/>
                <w:b w:val="1"/>
                <w:bCs w:val="1"/>
                <w:color w:val="155CAB"/>
              </w:rPr>
              <w:t>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141"/>
              <w:spacing w:after="0" w:line="206" w:lineRule="exact"/>
              <w:rPr>
                <w:sz w:val="20"/>
                <w:szCs w:val="20"/>
                <w:color w:val="auto"/>
              </w:rPr>
            </w:pPr>
            <w:r>
              <w:rPr>
                <w:rFonts w:ascii="Times New Roman" w:cs="Times New Roman" w:eastAsia="Times New Roman" w:hAnsi="Times New Roman"/>
                <w:sz w:val="20"/>
                <w:szCs w:val="20"/>
                <w:b w:val="1"/>
                <w:bCs w:val="1"/>
                <w:color w:val="155CAB"/>
                <w:w w:val="98"/>
              </w:rPr>
              <w:t>Accumulated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40" w:type="dxa"/>
            <w:vAlign w:val="bottom"/>
          </w:tcPr>
          <w:p>
            <w:pPr>
              <w:spacing w:after="0"/>
              <w:rPr>
                <w:sz w:val="21"/>
                <w:szCs w:val="21"/>
                <w:color w:val="auto"/>
              </w:rPr>
            </w:pPr>
          </w:p>
        </w:tc>
        <w:tc>
          <w:tcPr>
            <w:tcW w:w="2640" w:type="dxa"/>
            <w:vAlign w:val="bottom"/>
            <w:tcBorders>
              <w:bottom w:val="single" w:sz="8" w:color="1D5CAB"/>
            </w:tcBorders>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155CAB"/>
                <w:w w:val="97"/>
              </w:rPr>
              <w:t>Other</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141"/>
              <w:spacing w:after="0" w:line="196" w:lineRule="exact"/>
              <w:rPr>
                <w:sz w:val="20"/>
                <w:szCs w:val="20"/>
                <w:color w:val="auto"/>
              </w:rPr>
            </w:pPr>
            <w:r>
              <w:rPr>
                <w:rFonts w:ascii="Times New Roman" w:cs="Times New Roman" w:eastAsia="Times New Roman" w:hAnsi="Times New Roman"/>
                <w:sz w:val="20"/>
                <w:szCs w:val="20"/>
                <w:b w:val="1"/>
                <w:bCs w:val="1"/>
                <w:color w:val="155CAB"/>
                <w:w w:val="98"/>
              </w:rPr>
              <w:t>Comprehensive</w:t>
            </w:r>
          </w:p>
        </w:tc>
        <w:tc>
          <w:tcPr>
            <w:tcW w:w="100" w:type="dxa"/>
            <w:vAlign w:val="bottom"/>
          </w:tcPr>
          <w:p>
            <w:pPr>
              <w:spacing w:after="0"/>
              <w:rPr>
                <w:sz w:val="17"/>
                <w:szCs w:val="17"/>
                <w:color w:val="auto"/>
              </w:rPr>
            </w:pPr>
          </w:p>
        </w:tc>
        <w:tc>
          <w:tcPr>
            <w:tcW w:w="1060" w:type="dxa"/>
            <w:vAlign w:val="bottom"/>
            <w:gridSpan w:val="2"/>
          </w:tcPr>
          <w:p>
            <w:pPr>
              <w:jc w:val="right"/>
              <w:ind w:right="121"/>
              <w:spacing w:after="0" w:line="196" w:lineRule="exact"/>
              <w:rPr>
                <w:sz w:val="20"/>
                <w:szCs w:val="20"/>
                <w:color w:val="auto"/>
              </w:rPr>
            </w:pPr>
            <w:r>
              <w:rPr>
                <w:rFonts w:ascii="Times New Roman" w:cs="Times New Roman" w:eastAsia="Times New Roman" w:hAnsi="Times New Roman"/>
                <w:sz w:val="20"/>
                <w:szCs w:val="20"/>
                <w:b w:val="1"/>
                <w:bCs w:val="1"/>
                <w:color w:val="155CAB"/>
              </w:rPr>
              <w:t>Retained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1360" w:type="dxa"/>
            <w:vAlign w:val="bottom"/>
            <w:tcBorders>
              <w:bottom w:val="single" w:sz="8" w:color="1D5CAB"/>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155CAB"/>
              </w:rPr>
              <w:t>Shares</w:t>
            </w:r>
          </w:p>
        </w:tc>
        <w:tc>
          <w:tcPr>
            <w:tcW w:w="180" w:type="dxa"/>
            <w:vAlign w:val="bottom"/>
          </w:tcPr>
          <w:p>
            <w:pPr>
              <w:spacing w:after="0"/>
              <w:rPr>
                <w:sz w:val="22"/>
                <w:szCs w:val="22"/>
                <w:color w:val="auto"/>
              </w:rPr>
            </w:pPr>
          </w:p>
        </w:tc>
        <w:tc>
          <w:tcPr>
            <w:tcW w:w="140" w:type="dxa"/>
            <w:vAlign w:val="bottom"/>
            <w:tcBorders>
              <w:bottom w:val="single" w:sz="8" w:color="1D5CAB"/>
            </w:tcBorders>
          </w:tcPr>
          <w:p>
            <w:pPr>
              <w:spacing w:after="0"/>
              <w:rPr>
                <w:sz w:val="22"/>
                <w:szCs w:val="22"/>
                <w:color w:val="auto"/>
              </w:rPr>
            </w:pPr>
          </w:p>
        </w:tc>
        <w:tc>
          <w:tcPr>
            <w:tcW w:w="960" w:type="dxa"/>
            <w:vAlign w:val="bottom"/>
            <w:tcBorders>
              <w:bottom w:val="single" w:sz="8" w:color="1D5CAB"/>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155CAB"/>
                <w:w w:val="97"/>
              </w:rPr>
              <w:t>Amount</w:t>
            </w:r>
          </w:p>
        </w:tc>
        <w:tc>
          <w:tcPr>
            <w:tcW w:w="10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600" w:type="dxa"/>
            <w:vAlign w:val="bottom"/>
            <w:tcBorders>
              <w:bottom w:val="single" w:sz="8" w:color="155CAB"/>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155CAB"/>
                <w:w w:val="97"/>
              </w:rPr>
              <w:t>Loss</w:t>
            </w:r>
          </w:p>
        </w:tc>
        <w:tc>
          <w:tcPr>
            <w:tcW w:w="100" w:type="dxa"/>
            <w:vAlign w:val="bottom"/>
          </w:tcPr>
          <w:p>
            <w:pPr>
              <w:spacing w:after="0"/>
              <w:rPr>
                <w:sz w:val="22"/>
                <w:szCs w:val="22"/>
                <w:color w:val="auto"/>
              </w:rPr>
            </w:pPr>
          </w:p>
        </w:tc>
        <w:tc>
          <w:tcPr>
            <w:tcW w:w="1060" w:type="dxa"/>
            <w:vAlign w:val="bottom"/>
            <w:tcBorders>
              <w:bottom w:val="single" w:sz="8" w:color="1D5CAB"/>
            </w:tcBorders>
            <w:gridSpan w:val="2"/>
          </w:tcPr>
          <w:p>
            <w:pPr>
              <w:jc w:val="right"/>
              <w:ind w:right="101"/>
              <w:spacing w:after="0"/>
              <w:rPr>
                <w:sz w:val="20"/>
                <w:szCs w:val="20"/>
                <w:color w:val="auto"/>
              </w:rPr>
            </w:pPr>
            <w:r>
              <w:rPr>
                <w:rFonts w:ascii="Times New Roman" w:cs="Times New Roman" w:eastAsia="Times New Roman" w:hAnsi="Times New Roman"/>
                <w:sz w:val="20"/>
                <w:szCs w:val="20"/>
                <w:b w:val="1"/>
                <w:bCs w:val="1"/>
                <w:color w:val="155CAB"/>
              </w:rPr>
              <w:t>Earnings</w:t>
            </w:r>
          </w:p>
        </w:tc>
        <w:tc>
          <w:tcPr>
            <w:tcW w:w="120" w:type="dxa"/>
            <w:vAlign w:val="bottom"/>
          </w:tcPr>
          <w:p>
            <w:pPr>
              <w:spacing w:after="0"/>
              <w:rPr>
                <w:sz w:val="22"/>
                <w:szCs w:val="22"/>
                <w:color w:val="auto"/>
              </w:rPr>
            </w:pPr>
          </w:p>
        </w:tc>
        <w:tc>
          <w:tcPr>
            <w:tcW w:w="160" w:type="dxa"/>
            <w:vAlign w:val="bottom"/>
            <w:tcBorders>
              <w:bottom w:val="single" w:sz="8" w:color="1D5CAB"/>
            </w:tcBorders>
          </w:tcPr>
          <w:p>
            <w:pPr>
              <w:spacing w:after="0"/>
              <w:rPr>
                <w:sz w:val="22"/>
                <w:szCs w:val="22"/>
                <w:color w:val="auto"/>
              </w:rPr>
            </w:pPr>
          </w:p>
        </w:tc>
        <w:tc>
          <w:tcPr>
            <w:tcW w:w="900" w:type="dxa"/>
            <w:vAlign w:val="bottom"/>
            <w:tcBorders>
              <w:bottom w:val="single" w:sz="8" w:color="1D5CAB"/>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155CAB"/>
              </w:rPr>
              <w:t>Total</w:t>
            </w:r>
          </w:p>
        </w:tc>
        <w:tc>
          <w:tcPr>
            <w:tcW w:w="0" w:type="dxa"/>
            <w:vAlign w:val="bottom"/>
          </w:tcPr>
          <w:p>
            <w:pPr>
              <w:spacing w:after="0"/>
              <w:rPr>
                <w:sz w:val="1"/>
                <w:szCs w:val="1"/>
                <w:color w:val="auto"/>
              </w:rPr>
            </w:pPr>
          </w:p>
        </w:tc>
      </w:tr>
      <w:tr>
        <w:trPr>
          <w:trHeight w:val="223"/>
        </w:trPr>
        <w:tc>
          <w:tcPr>
            <w:tcW w:w="444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Balances as of December 31, 2025</w:t>
            </w:r>
          </w:p>
        </w:tc>
        <w:tc>
          <w:tcPr>
            <w:tcW w:w="136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115,559,079</w:t>
            </w:r>
          </w:p>
        </w:tc>
        <w:tc>
          <w:tcPr>
            <w:tcW w:w="320" w:type="dxa"/>
            <w:vAlign w:val="bottom"/>
            <w:gridSpan w:val="2"/>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2,382</w:t>
            </w:r>
          </w:p>
        </w:tc>
        <w:tc>
          <w:tcPr>
            <w:tcW w:w="22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400" w:type="dxa"/>
            <w:vAlign w:val="bottom"/>
            <w:gridSpan w:val="2"/>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1,755</w:t>
            </w:r>
          </w:p>
        </w:tc>
        <w:tc>
          <w:tcPr>
            <w:tcW w:w="28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4,133</w:t>
            </w:r>
          </w:p>
        </w:tc>
        <w:tc>
          <w:tcPr>
            <w:tcW w:w="0" w:type="dxa"/>
            <w:vAlign w:val="bottom"/>
          </w:tcPr>
          <w:p>
            <w:pPr>
              <w:spacing w:after="0"/>
              <w:rPr>
                <w:sz w:val="1"/>
                <w:szCs w:val="1"/>
                <w:color w:val="auto"/>
              </w:rPr>
            </w:pPr>
          </w:p>
        </w:tc>
      </w:tr>
      <w:tr>
        <w:trPr>
          <w:trHeight w:val="229"/>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Issuances of shares pursuant to equity-based plans</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169,951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Issuance costs pursuant to equity agreements</w:t>
            </w:r>
          </w:p>
        </w:tc>
        <w:tc>
          <w:tcPr>
            <w:tcW w:w="13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9"/>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equity issuance costs</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29"/>
        </w:trPr>
        <w:tc>
          <w:tcPr>
            <w:tcW w:w="444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3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declared ($0.525 per share)</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EFEFEF"/>
            </w:tcBorders>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136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96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6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6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23"/>
        </w:trPr>
        <w:tc>
          <w:tcPr>
            <w:tcW w:w="4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Balances as of March 31, 2026</w:t>
            </w:r>
          </w:p>
        </w:tc>
        <w:tc>
          <w:tcPr>
            <w:tcW w:w="13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115,729,030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2,386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1,738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4,120</w:t>
            </w:r>
          </w:p>
        </w:tc>
        <w:tc>
          <w:tcPr>
            <w:tcW w:w="0" w:type="dxa"/>
            <w:vAlign w:val="bottom"/>
          </w:tcPr>
          <w:p>
            <w:pPr>
              <w:spacing w:after="0"/>
              <w:rPr>
                <w:sz w:val="1"/>
                <w:szCs w:val="1"/>
                <w:color w:val="auto"/>
              </w:rPr>
            </w:pPr>
          </w:p>
        </w:tc>
      </w:tr>
      <w:tr>
        <w:trPr>
          <w:trHeight w:val="223"/>
        </w:trPr>
        <w:tc>
          <w:tcPr>
            <w:tcW w:w="4440" w:type="dxa"/>
            <w:vAlign w:val="bottom"/>
            <w:shd w:val="clear" w:color="auto" w:fill="EFEFEF"/>
          </w:tcPr>
          <w:p>
            <w:pPr>
              <w:ind w:left="240"/>
              <w:spacing w:after="0" w:line="223" w:lineRule="exact"/>
              <w:rPr>
                <w:sz w:val="20"/>
                <w:szCs w:val="20"/>
                <w:color w:val="auto"/>
              </w:rPr>
            </w:pPr>
            <w:r>
              <w:rPr>
                <w:rFonts w:ascii="Times New Roman" w:cs="Times New Roman" w:eastAsia="Times New Roman" w:hAnsi="Times New Roman"/>
                <w:sz w:val="20"/>
                <w:szCs w:val="20"/>
                <w:color w:val="auto"/>
              </w:rPr>
              <w:t>Issuances of shares pursuant to equity-based plans</w:t>
            </w:r>
          </w:p>
        </w:tc>
        <w:tc>
          <w:tcPr>
            <w:tcW w:w="136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29,224</w:t>
            </w:r>
          </w:p>
        </w:tc>
        <w:tc>
          <w:tcPr>
            <w:tcW w:w="18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6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9"/>
        </w:trPr>
        <w:tc>
          <w:tcPr>
            <w:tcW w:w="444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Dividends declared ($0.55125 per share)</w:t>
            </w:r>
          </w:p>
        </w:tc>
        <w:tc>
          <w:tcPr>
            <w:tcW w:w="13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29"/>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Balances as of June 30, 2026</w:t>
            </w:r>
          </w:p>
        </w:tc>
        <w:tc>
          <w:tcPr>
            <w:tcW w:w="1360" w:type="dxa"/>
            <w:vAlign w:val="bottom"/>
            <w:tcBorders>
              <w:bottom w:val="single" w:sz="8" w:color="auto"/>
            </w:tcBorders>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115,758,254</w:t>
            </w:r>
          </w:p>
        </w:tc>
        <w:tc>
          <w:tcPr>
            <w:tcW w:w="18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960" w:type="dxa"/>
            <w:vAlign w:val="bottom"/>
            <w:tcBorders>
              <w:bottom w:val="single" w:sz="8" w:color="auto"/>
            </w:tcBorders>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2,385</w:t>
            </w:r>
          </w:p>
        </w:tc>
        <w:tc>
          <w:tcPr>
            <w:tcW w:w="10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6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60" w:type="dxa"/>
            <w:vAlign w:val="bottom"/>
            <w:tcBorders>
              <w:bottom w:val="single" w:sz="8" w:color="auto"/>
            </w:tcBorders>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1,742</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4,123</w:t>
            </w: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line="223" w:lineRule="exact"/>
              <w:rPr>
                <w:sz w:val="20"/>
                <w:szCs w:val="20"/>
                <w:color w:val="auto"/>
              </w:rPr>
            </w:pPr>
            <w:r>
              <w:rPr>
                <w:rFonts w:ascii="Times New Roman" w:cs="Times New Roman" w:eastAsia="Times New Roman" w:hAnsi="Times New Roman"/>
                <w:sz w:val="20"/>
                <w:szCs w:val="20"/>
                <w:color w:val="auto"/>
              </w:rPr>
              <w:t>Issuances of shares pursuant to equity-based plans</w:t>
            </w:r>
          </w:p>
        </w:tc>
        <w:tc>
          <w:tcPr>
            <w:tcW w:w="136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31,803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Issuances of shares pursuant to equity agreements</w:t>
            </w:r>
          </w:p>
        </w:tc>
        <w:tc>
          <w:tcPr>
            <w:tcW w:w="13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3,117,541</w:t>
            </w:r>
          </w:p>
        </w:tc>
        <w:tc>
          <w:tcPr>
            <w:tcW w:w="18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152</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9"/>
        </w:trPr>
        <w:tc>
          <w:tcPr>
            <w:tcW w:w="444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3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9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declared ($0.5250 per share)</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EFEFEF"/>
            </w:tcBorders>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136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FEFEF"/>
            </w:tcBorders>
            <w:shd w:val="clear" w:color="auto" w:fill="EFEFEF"/>
          </w:tcPr>
          <w:p>
            <w:pPr>
              <w:spacing w:after="0"/>
              <w:rPr>
                <w:sz w:val="19"/>
                <w:szCs w:val="19"/>
                <w:color w:val="auto"/>
              </w:rPr>
            </w:pPr>
          </w:p>
        </w:tc>
        <w:tc>
          <w:tcPr>
            <w:tcW w:w="140" w:type="dxa"/>
            <w:vAlign w:val="bottom"/>
            <w:tcBorders>
              <w:bottom w:val="single" w:sz="8" w:color="auto"/>
            </w:tcBorders>
            <w:shd w:val="clear" w:color="auto" w:fill="EFEFEF"/>
          </w:tcPr>
          <w:p>
            <w:pPr>
              <w:spacing w:after="0"/>
              <w:rPr>
                <w:sz w:val="19"/>
                <w:szCs w:val="19"/>
                <w:color w:val="auto"/>
              </w:rPr>
            </w:pPr>
          </w:p>
        </w:tc>
        <w:tc>
          <w:tcPr>
            <w:tcW w:w="96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6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6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119</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23"/>
        </w:trPr>
        <w:tc>
          <w:tcPr>
            <w:tcW w:w="4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Balances as of September 30, 2026</w:t>
            </w:r>
          </w:p>
        </w:tc>
        <w:tc>
          <w:tcPr>
            <w:tcW w:w="136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118,907,598</w:t>
            </w:r>
          </w:p>
        </w:tc>
        <w:tc>
          <w:tcPr>
            <w:tcW w:w="32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2,540</w:t>
            </w:r>
          </w:p>
        </w:tc>
        <w:tc>
          <w:tcPr>
            <w:tcW w:w="2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400" w:type="dxa"/>
            <w:vAlign w:val="bottom"/>
            <w:gridSpan w:val="2"/>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1,795</w:t>
            </w:r>
          </w:p>
        </w:tc>
        <w:tc>
          <w:tcPr>
            <w:tcW w:w="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4,332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-2613660</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-2613660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-2613660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-1713865</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-1713865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-1713865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-1713865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-830580</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-830580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-830580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-830580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560" w:type="dxa"/>
            <w:vAlign w:val="bottom"/>
            <w:gridSpan w:val="4"/>
            <w:vMerge w:val="restart"/>
          </w:tcPr>
          <w:p>
            <w:pPr>
              <w:jc w:val="right"/>
              <w:ind w:right="581"/>
              <w:spacing w:after="0"/>
              <w:rPr>
                <w:sz w:val="20"/>
                <w:szCs w:val="20"/>
                <w:color w:val="auto"/>
              </w:rPr>
            </w:pPr>
            <w:r>
              <w:rPr>
                <w:rFonts w:ascii="Times New Roman" w:cs="Times New Roman" w:eastAsia="Times New Roman" w:hAnsi="Times New Roman"/>
                <w:sz w:val="20"/>
                <w:szCs w:val="20"/>
                <w:b w:val="1"/>
                <w:bCs w:val="1"/>
                <w:color w:val="155CAB"/>
              </w:rPr>
              <w:t>Common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155CAB"/>
                <w:w w:val="98"/>
              </w:rPr>
              <w:t>Accumulated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Pr>
          <w:p>
            <w:pPr>
              <w:spacing w:after="0"/>
              <w:rPr>
                <w:sz w:val="21"/>
                <w:szCs w:val="21"/>
                <w:color w:val="auto"/>
              </w:rPr>
            </w:pPr>
          </w:p>
        </w:tc>
        <w:tc>
          <w:tcPr>
            <w:tcW w:w="2560" w:type="dxa"/>
            <w:vAlign w:val="bottom"/>
            <w:tcBorders>
              <w:bottom w:val="single" w:sz="8" w:color="1D5CAB"/>
            </w:tcBorders>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155CAB"/>
                <w:w w:val="97"/>
              </w:rPr>
              <w:t>Other</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121"/>
              <w:spacing w:after="0" w:line="196" w:lineRule="exact"/>
              <w:rPr>
                <w:sz w:val="20"/>
                <w:szCs w:val="20"/>
                <w:color w:val="auto"/>
              </w:rPr>
            </w:pPr>
            <w:r>
              <w:rPr>
                <w:rFonts w:ascii="Times New Roman" w:cs="Times New Roman" w:eastAsia="Times New Roman" w:hAnsi="Times New Roman"/>
                <w:sz w:val="20"/>
                <w:szCs w:val="20"/>
                <w:b w:val="1"/>
                <w:bCs w:val="1"/>
                <w:color w:val="155CAB"/>
                <w:w w:val="98"/>
              </w:rPr>
              <w:t>Comprehensive</w:t>
            </w:r>
          </w:p>
        </w:tc>
        <w:tc>
          <w:tcPr>
            <w:tcW w:w="120" w:type="dxa"/>
            <w:vAlign w:val="bottom"/>
          </w:tcPr>
          <w:p>
            <w:pPr>
              <w:spacing w:after="0"/>
              <w:rPr>
                <w:sz w:val="17"/>
                <w:szCs w:val="17"/>
                <w:color w:val="auto"/>
              </w:rPr>
            </w:pPr>
          </w:p>
        </w:tc>
        <w:tc>
          <w:tcPr>
            <w:tcW w:w="106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20"/>
                <w:szCs w:val="20"/>
                <w:b w:val="1"/>
                <w:bCs w:val="1"/>
                <w:color w:val="155CAB"/>
              </w:rPr>
              <w:t>Retained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1400" w:type="dxa"/>
            <w:vAlign w:val="bottom"/>
            <w:tcBorders>
              <w:bottom w:val="single" w:sz="8" w:color="1D5CAB"/>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155CAB"/>
              </w:rPr>
              <w:t>Shares</w:t>
            </w:r>
          </w:p>
        </w:tc>
        <w:tc>
          <w:tcPr>
            <w:tcW w:w="120" w:type="dxa"/>
            <w:vAlign w:val="bottom"/>
          </w:tcPr>
          <w:p>
            <w:pPr>
              <w:spacing w:after="0"/>
              <w:rPr>
                <w:sz w:val="22"/>
                <w:szCs w:val="22"/>
                <w:color w:val="auto"/>
              </w:rPr>
            </w:pPr>
          </w:p>
        </w:tc>
        <w:tc>
          <w:tcPr>
            <w:tcW w:w="100" w:type="dxa"/>
            <w:vAlign w:val="bottom"/>
            <w:tcBorders>
              <w:bottom w:val="single" w:sz="8" w:color="1D5CAB"/>
            </w:tcBorders>
          </w:tcPr>
          <w:p>
            <w:pPr>
              <w:spacing w:after="0"/>
              <w:rPr>
                <w:sz w:val="22"/>
                <w:szCs w:val="22"/>
                <w:color w:val="auto"/>
              </w:rPr>
            </w:pPr>
          </w:p>
        </w:tc>
        <w:tc>
          <w:tcPr>
            <w:tcW w:w="940" w:type="dxa"/>
            <w:vAlign w:val="bottom"/>
            <w:tcBorders>
              <w:bottom w:val="single" w:sz="8" w:color="1D5CAB"/>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155CAB"/>
                <w:w w:val="97"/>
              </w:rPr>
              <w:t>Amount</w:t>
            </w:r>
          </w:p>
        </w:tc>
        <w:tc>
          <w:tcPr>
            <w:tcW w:w="120" w:type="dxa"/>
            <w:vAlign w:val="bottom"/>
          </w:tcPr>
          <w:p>
            <w:pPr>
              <w:spacing w:after="0"/>
              <w:rPr>
                <w:sz w:val="22"/>
                <w:szCs w:val="22"/>
                <w:color w:val="auto"/>
              </w:rPr>
            </w:pPr>
          </w:p>
        </w:tc>
        <w:tc>
          <w:tcPr>
            <w:tcW w:w="120" w:type="dxa"/>
            <w:vAlign w:val="bottom"/>
            <w:tcBorders>
              <w:bottom w:val="single" w:sz="8" w:color="1D5CAB"/>
            </w:tcBorders>
          </w:tcPr>
          <w:p>
            <w:pPr>
              <w:spacing w:after="0"/>
              <w:rPr>
                <w:sz w:val="22"/>
                <w:szCs w:val="22"/>
                <w:color w:val="auto"/>
              </w:rPr>
            </w:pPr>
          </w:p>
        </w:tc>
        <w:tc>
          <w:tcPr>
            <w:tcW w:w="1580" w:type="dxa"/>
            <w:vAlign w:val="bottom"/>
            <w:tcBorders>
              <w:bottom w:val="single" w:sz="8" w:color="1D5CAB"/>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155CAB"/>
                <w:w w:val="97"/>
              </w:rPr>
              <w:t>Loss</w:t>
            </w:r>
          </w:p>
        </w:tc>
        <w:tc>
          <w:tcPr>
            <w:tcW w:w="120" w:type="dxa"/>
            <w:vAlign w:val="bottom"/>
          </w:tcPr>
          <w:p>
            <w:pPr>
              <w:spacing w:after="0"/>
              <w:rPr>
                <w:sz w:val="22"/>
                <w:szCs w:val="22"/>
                <w:color w:val="auto"/>
              </w:rPr>
            </w:pPr>
          </w:p>
        </w:tc>
        <w:tc>
          <w:tcPr>
            <w:tcW w:w="1060" w:type="dxa"/>
            <w:vAlign w:val="bottom"/>
            <w:tcBorders>
              <w:bottom w:val="single" w:sz="8" w:color="1D5CAB"/>
            </w:tcBorders>
            <w:gridSpan w:val="2"/>
          </w:tcPr>
          <w:p>
            <w:pPr>
              <w:jc w:val="right"/>
              <w:ind w:right="101"/>
              <w:spacing w:after="0"/>
              <w:rPr>
                <w:sz w:val="20"/>
                <w:szCs w:val="20"/>
                <w:color w:val="auto"/>
              </w:rPr>
            </w:pPr>
            <w:r>
              <w:rPr>
                <w:rFonts w:ascii="Times New Roman" w:cs="Times New Roman" w:eastAsia="Times New Roman" w:hAnsi="Times New Roman"/>
                <w:sz w:val="20"/>
                <w:szCs w:val="20"/>
                <w:b w:val="1"/>
                <w:bCs w:val="1"/>
                <w:color w:val="155CAB"/>
              </w:rPr>
              <w:t>Earnings</w:t>
            </w:r>
          </w:p>
        </w:tc>
        <w:tc>
          <w:tcPr>
            <w:tcW w:w="120" w:type="dxa"/>
            <w:vAlign w:val="bottom"/>
          </w:tcPr>
          <w:p>
            <w:pPr>
              <w:spacing w:after="0"/>
              <w:rPr>
                <w:sz w:val="22"/>
                <w:szCs w:val="22"/>
                <w:color w:val="auto"/>
              </w:rPr>
            </w:pPr>
          </w:p>
        </w:tc>
        <w:tc>
          <w:tcPr>
            <w:tcW w:w="160" w:type="dxa"/>
            <w:vAlign w:val="bottom"/>
            <w:tcBorders>
              <w:bottom w:val="single" w:sz="8" w:color="1D5CAB"/>
            </w:tcBorders>
          </w:tcPr>
          <w:p>
            <w:pPr>
              <w:spacing w:after="0"/>
              <w:rPr>
                <w:sz w:val="22"/>
                <w:szCs w:val="22"/>
                <w:color w:val="auto"/>
              </w:rPr>
            </w:pPr>
          </w:p>
        </w:tc>
        <w:tc>
          <w:tcPr>
            <w:tcW w:w="900" w:type="dxa"/>
            <w:vAlign w:val="bottom"/>
            <w:tcBorders>
              <w:bottom w:val="single" w:sz="8" w:color="1D5CAB"/>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155CAB"/>
              </w:rPr>
              <w:t>Total</w:t>
            </w:r>
          </w:p>
        </w:tc>
        <w:tc>
          <w:tcPr>
            <w:tcW w:w="0" w:type="dxa"/>
            <w:vAlign w:val="bottom"/>
          </w:tcPr>
          <w:p>
            <w:pPr>
              <w:spacing w:after="0"/>
              <w:rPr>
                <w:sz w:val="1"/>
                <w:szCs w:val="1"/>
                <w:color w:val="auto"/>
              </w:rPr>
            </w:pPr>
          </w:p>
        </w:tc>
      </w:tr>
      <w:tr>
        <w:trPr>
          <w:trHeight w:val="223"/>
        </w:trPr>
        <w:tc>
          <w:tcPr>
            <w:tcW w:w="45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Balances as of December 31, 2024</w:t>
            </w:r>
          </w:p>
        </w:tc>
        <w:tc>
          <w:tcPr>
            <w:tcW w:w="14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109,342,251</w:t>
            </w:r>
          </w:p>
        </w:tc>
        <w:tc>
          <w:tcPr>
            <w:tcW w:w="22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2,118</w:t>
            </w:r>
          </w:p>
        </w:tc>
        <w:tc>
          <w:tcPr>
            <w:tcW w:w="24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420" w:type="dxa"/>
            <w:vAlign w:val="bottom"/>
            <w:gridSpan w:val="2"/>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1,680</w:t>
            </w:r>
          </w:p>
        </w:tc>
        <w:tc>
          <w:tcPr>
            <w:tcW w:w="28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3,794</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Issuances of shares pursuant to equity-based plans</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161,074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declared ($0.500 per share)</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EFEFEF"/>
            </w:tcBorders>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14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10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100</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23"/>
        </w:trPr>
        <w:tc>
          <w:tcPr>
            <w:tcW w:w="45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Balances as of March 31, 2025</w:t>
            </w:r>
          </w:p>
        </w:tc>
        <w:tc>
          <w:tcPr>
            <w:tcW w:w="14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109,503,325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3,844</w:t>
            </w:r>
          </w:p>
        </w:tc>
        <w:tc>
          <w:tcPr>
            <w:tcW w:w="0" w:type="dxa"/>
            <w:vAlign w:val="bottom"/>
          </w:tcPr>
          <w:p>
            <w:pPr>
              <w:spacing w:after="0"/>
              <w:rPr>
                <w:sz w:val="1"/>
                <w:szCs w:val="1"/>
                <w:color w:val="auto"/>
              </w:rPr>
            </w:pPr>
          </w:p>
        </w:tc>
      </w:tr>
      <w:tr>
        <w:trPr>
          <w:trHeight w:val="223"/>
        </w:trPr>
        <w:tc>
          <w:tcPr>
            <w:tcW w:w="4500" w:type="dxa"/>
            <w:vAlign w:val="bottom"/>
            <w:shd w:val="clear" w:color="auto" w:fill="EFEFEF"/>
          </w:tcPr>
          <w:p>
            <w:pPr>
              <w:ind w:left="240"/>
              <w:spacing w:after="0" w:line="223" w:lineRule="exact"/>
              <w:rPr>
                <w:sz w:val="20"/>
                <w:szCs w:val="20"/>
                <w:color w:val="auto"/>
              </w:rPr>
            </w:pPr>
            <w:r>
              <w:rPr>
                <w:rFonts w:ascii="Times New Roman" w:cs="Times New Roman" w:eastAsia="Times New Roman" w:hAnsi="Times New Roman"/>
                <w:sz w:val="20"/>
                <w:szCs w:val="20"/>
                <w:color w:val="auto"/>
              </w:rPr>
              <w:t>Issuances of shares pursuant to equity-based plans</w:t>
            </w:r>
          </w:p>
        </w:tc>
        <w:tc>
          <w:tcPr>
            <w:tcW w:w="14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58,563</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0"/>
        </w:trPr>
        <w:tc>
          <w:tcPr>
            <w:tcW w:w="450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Dividends declared ($0.525 per share)</w:t>
            </w:r>
          </w:p>
        </w:tc>
        <w:tc>
          <w:tcPr>
            <w:tcW w:w="1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Balances as of June 30, 2025</w:t>
            </w:r>
          </w:p>
        </w:tc>
        <w:tc>
          <w:tcPr>
            <w:tcW w:w="14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109,561,888</w:t>
            </w:r>
          </w:p>
        </w:tc>
        <w:tc>
          <w:tcPr>
            <w:tcW w:w="120" w:type="dxa"/>
            <w:vAlign w:val="bottom"/>
            <w:tcBorders>
              <w:bottom w:val="single" w:sz="8" w:color="EFEFEF"/>
            </w:tcBorders>
            <w:shd w:val="clear" w:color="auto" w:fill="EFEFEF"/>
          </w:tcPr>
          <w:p>
            <w:pPr>
              <w:spacing w:after="0"/>
              <w:rPr>
                <w:sz w:val="19"/>
                <w:szCs w:val="19"/>
                <w:color w:val="auto"/>
              </w:rPr>
            </w:pPr>
          </w:p>
        </w:tc>
        <w:tc>
          <w:tcPr>
            <w:tcW w:w="10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2,127</w:t>
            </w:r>
          </w:p>
        </w:tc>
        <w:tc>
          <w:tcPr>
            <w:tcW w:w="12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8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2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1,729</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3,852</w:t>
            </w:r>
          </w:p>
        </w:tc>
        <w:tc>
          <w:tcPr>
            <w:tcW w:w="0" w:type="dxa"/>
            <w:vAlign w:val="bottom"/>
          </w:tcPr>
          <w:p>
            <w:pPr>
              <w:spacing w:after="0"/>
              <w:rPr>
                <w:sz w:val="1"/>
                <w:szCs w:val="1"/>
                <w:color w:val="auto"/>
              </w:rPr>
            </w:pPr>
          </w:p>
        </w:tc>
      </w:tr>
      <w:tr>
        <w:trPr>
          <w:trHeight w:val="223"/>
        </w:trPr>
        <w:tc>
          <w:tcPr>
            <w:tcW w:w="4500" w:type="dxa"/>
            <w:vAlign w:val="bottom"/>
          </w:tcPr>
          <w:p>
            <w:pPr>
              <w:ind w:left="240"/>
              <w:spacing w:after="0" w:line="223" w:lineRule="exact"/>
              <w:rPr>
                <w:sz w:val="20"/>
                <w:szCs w:val="20"/>
                <w:color w:val="auto"/>
              </w:rPr>
            </w:pPr>
            <w:r>
              <w:rPr>
                <w:rFonts w:ascii="Times New Roman" w:cs="Times New Roman" w:eastAsia="Times New Roman" w:hAnsi="Times New Roman"/>
                <w:sz w:val="20"/>
                <w:szCs w:val="20"/>
                <w:color w:val="auto"/>
              </w:rPr>
              <w:t>Issuances of shares pursuant to equity-based plans</w:t>
            </w:r>
          </w:p>
        </w:tc>
        <w:tc>
          <w:tcPr>
            <w:tcW w:w="14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47,997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450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Issuances of shares pursuant to equity agreements</w:t>
            </w:r>
          </w:p>
        </w:tc>
        <w:tc>
          <w:tcPr>
            <w:tcW w:w="1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1,114,529</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1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9"/>
        </w:trPr>
        <w:tc>
          <w:tcPr>
            <w:tcW w:w="4500" w:type="dxa"/>
            <w:vAlign w:val="bottom"/>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4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90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Dividends declared ($0.5250 per share)</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EFEFEF"/>
            </w:tcBorders>
            <w:shd w:val="clear" w:color="auto" w:fill="EFEFEF"/>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14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10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90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23"/>
        </w:trPr>
        <w:tc>
          <w:tcPr>
            <w:tcW w:w="45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Balances as of September 30, 2025</w:t>
            </w:r>
          </w:p>
        </w:tc>
        <w:tc>
          <w:tcPr>
            <w:tcW w:w="14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110,724,414</w:t>
            </w: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2,179</w:t>
            </w:r>
          </w:p>
        </w:tc>
        <w:tc>
          <w:tcPr>
            <w:tcW w:w="2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420" w:type="dxa"/>
            <w:vAlign w:val="bottom"/>
            <w:gridSpan w:val="2"/>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1,774</w:t>
            </w:r>
          </w:p>
        </w:tc>
        <w:tc>
          <w:tcPr>
            <w:tcW w:w="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3,950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-1962150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-1962150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-1962150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-1962150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-1062355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-1062355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-1062355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-1062355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-179070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-179070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-179070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-179070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9"/>
          <w:szCs w:val="19"/>
          <w:i w:val="1"/>
          <w:iCs w:val="1"/>
          <w:color w:val="auto"/>
        </w:rPr>
        <w:t>At-the-Market Offering Program</w:t>
      </w:r>
      <w:r>
        <w:rPr>
          <w:rFonts w:ascii="Times New Roman" w:cs="Times New Roman" w:eastAsia="Times New Roman" w:hAnsi="Times New Roman"/>
          <w:sz w:val="19"/>
          <w:szCs w:val="19"/>
          <w:color w:val="auto"/>
        </w:rPr>
        <w:t>—In July 2024, PGE entered into an equity distribution agreement under which it could sell up to $400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million of its common stock through an ATM program. Pursuant to the 2024 ATM program, the Company entered into forward sale agreements for 1,420,049 shares and 5,756,432 shares in 2024 and 2025, respectively. The Company issued 1,066,549 shares and received net proceeds of $50 million in 2024, and issued 5,919,618 shares and received net proceeds of $250 million in 2025. As of September 30, 2026, the Company could have physically settled the remaining amount by delivering 190,314 shares in exchange for cash of $8 million.</w:t>
      </w:r>
    </w:p>
    <w:p>
      <w:pPr>
        <w:spacing w:after="0" w:line="166"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On October 22, 2026, the Company issued 190,314 shares pursuant to the 2024 ATM program, settling the 2024 ATM transaction, and received net proceeds of $8 million.</w:t>
      </w:r>
    </w:p>
    <w:p>
      <w:pPr>
        <w:spacing w:after="0" w:line="17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February 2026, PGE entered into an additional agreement under which it could sell up to $500 million of its common stock through the ATM program. No forward sale agreements were entered into pursuant to the 2026 ATM program as of September 30, 2026. Any proceeds from the issuances of common stock will be used for general corporate purposes and investments in renewables and non-emitting dispatchable capacity.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i w:val="1"/>
          <w:iCs w:val="1"/>
          <w:color w:val="auto"/>
        </w:rPr>
        <w:t>Equity Forward Sale Agreement</w:t>
      </w:r>
      <w:r>
        <w:rPr>
          <w:rFonts w:ascii="Times New Roman" w:cs="Times New Roman" w:eastAsia="Times New Roman" w:hAnsi="Times New Roman"/>
          <w:sz w:val="19"/>
          <w:szCs w:val="19"/>
          <w:color w:val="auto"/>
        </w:rPr>
        <w:t>—In February 2026, PGE entered into an EFSA in connection with a public offering of 9,467,455 shares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common stock. Pursuant to the terms of the EFSA, the forward counterparties borrowed 10,848,125 shares of PGE's common stock, including 1,380,670 shares in connection with the underwriters' exercise of their option to purchase additional shares, from third parties in the open market and sold the shares to a group of underwriters for $50.70 per share, less an underwriting discount equal to $1.4576 per share. PGE will not receive any proceeds from the sale of common stock until the EFSA is settled, and at that time PGE will record the proceeds, if any, in equity. In July 2026, the Company issued 3,117,541 shares pursuant to the EFSA and received net proceeds of $152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3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Under the terms of the EFSA, PGE may elect to settle the equity forward transactions by means of physical, cash or net share settlement, in whole or in part, at any time on or prior to February 22, 2028, except in specified circumstances or events that would require physical settlement. To the extent that the transactions are physically settled, PGE would be required to issue and deliver shares of PGE common stock to the forward counterparty at the then applicable forward sale price. The forward sale price was initially determined to be $50.70 per share at the time the EFSA was entered into, and the amount of cash to be received by PGE upon physical settlement of the EFSA is subject to certain adjustments in accordance with the terms of the EFSA.</w:t>
      </w:r>
    </w:p>
    <w:p>
      <w:pPr>
        <w:spacing w:after="0" w:line="19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PGE concluded that the EFSA was an equity instrument and that it qualified for an exception from derivative accounting because the EFSA was indexed to its own stock. PGE anticipates settling the EFSA through physical settlement on or before February 22, 2028.</w:t>
      </w:r>
    </w:p>
    <w:p>
      <w:pPr>
        <w:spacing w:after="0" w:line="173"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As of September 30, 2026, the Company could have physically settled the EFSA by delivering 7,730,584 shares in exchange for cash for $375 million.</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Prior to settlement, the potentially issuable shares pursuant to the ATM and EFSA agreements may be reflected in PGE’s diluted earnings per share calculations using the treasury stock method. Under this method, the number of shares of PGE’s common stock used in calculating diluted earnings per share for a reporting period would be increased by the number of shares, if any, that would be issued upon physical settlement of the agreements less the number of shares that could be purchased by PGE in the market with the proceeds received from issuance (based on the average market price during that reporting period). Share dilution occurs when the average market price of PGE’s stock during the reporting period is higher than the average forward sale price during the reporting period. For the three and nine months ended September 30, 2026, 179,391 and 283,060 shares were included in the calculation of diluted EPS related to the securities under the agreements, respectively. For additional information concerning the Company’s diluted earnings per share, see Note 6, Earnings Per Share.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8: CONTINGENCIES</w:t>
      </w:r>
    </w:p>
    <w:p>
      <w:pPr>
        <w:spacing w:after="0" w:line="11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PGE is subject to legal, regulatory, and environmental proceedings, investigations, and claims that arise from time to time in the ordinary course of its business. Contingencies are evaluated using the best information available at the time the condensed consolidated financial statements are prepared. Legal costs incurred in connection with loss contingencies are expensed as incurred. The Company may seek regulatory recovery of certain costs that are incurred in connection with such matters, although there can be no assurance that such recovery would be granted.</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Loss contingencies are accrued, and disclosed if material, when it is probable that an asset has been impaired or a liability incurred as of the financial statement date and the amount of the loss can be reasonably estimated. If a reasonable estimate of probable loss cannot be determined, a range of loss may be established, in which case the minimum amount in the range is accrued, unless some other amount within the range appears to be a better estimate.</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 loss contingency will also be disclosed when it is reasonably possible that an asset has been impaired, or a liability incurred, if the estimate or range of potential loss is material. If a probable or reasonably possible loss cannot be reasonably estimated, then PGE: i) discloses an estimate of such loss or the range of such loss, if the Company is able to determine such an estimate; or ii) discloses that an estimate cannot be made and the reasons why the estimate cannot be made.</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If an asset has been impaired or a liability incurred after the financial statement date, but prior to the issuance of the financial statements, the loss contingency is disclosed, if material, and the amount of any estimated loss is recorded in either the current or the subsequent reporting period, depending on the nature of the underlying event.</w:t>
      </w:r>
    </w:p>
    <w:p>
      <w:pPr>
        <w:spacing w:after="0" w:line="174"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PGE evaluates, on a quarterly basis, developments in such matters that could affect the amount of any accrual, as well as the likelihood of developments that would make a loss contingency both probable and reasonably estimable. The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assessment as to whether a loss is probable or reasonably possible, and as to whether such loss or a range of such loss is estimable, often involves a series of complex judgments about future events. Management is often unable to estimate a reasonably possible loss, or a range of loss, particularly in cases in which: i) the damages sought are indeterminate or the basis for the damages claimed is not clear; ii) the proceedings are in the early stages; iii) discovery is not complete; iv) the matters involve novel or unsettled legal theories; v) significant facts are in dispute; vi) a large number of parties are represented (including circumstances in which it is uncertain how liability, if any, would be shared among multiple defendants); or vii) a wide range of potential outcomes exist. In such cases, there may be considerable uncertainty regarding the timing or ultimate resolution, including any possible loss, fine, penalty, or business impact.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EPA Investigation of Portland Harbor</w:t>
      </w:r>
    </w:p>
    <w:p>
      <w:pPr>
        <w:spacing w:after="0" w:line="112"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An investigation by the United States Environmental Protection Agency (EPA) that began in 1997 of a segment of the Willamette River known as Portland Harbor revealed significant contamination of river sediments. The EPA subsequently included Portland Harbor on the National Priority List pursuant to the federal Comprehensive Environmental Response, Compensation, and Liability Act as a federal Superfund site. PGE has been included among more than one hundred Potentially Responsible Parties (PRPs), as it historically owned or operated property near the river.</w:t>
      </w:r>
    </w:p>
    <w:p>
      <w:pPr>
        <w:spacing w:after="0" w:line="18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 Portland Harbor site remedial investigation was completed pursuant to an agreement between the EPA and several PRPs known as the Lower Willamette Group (LWG), which did not include PGE. The LWG funded the remedial investigation and feasibility study and stated that it had incurred $115 million in investigation-related costs. The Company anticipates that such costs will ultimately be allocated to PRPs as a part of the allocation process for remediation costs of the EPA’s preferred remedy.</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EPA finalized a feasibility study, along with the remedial investigation, and the results provided the framework for the EPA to determine a clean-up remedy for Portland Harbor that was documented in a Record of Decision (ROD) issued in 2017. The ROD outlined the EPA’s selected remediation plan for clean-up of Portland Harbor that had an undiscounted estimated total cost of $1.7 billion, comprised of $1.2 billion related to remediation construction costs and $0.5 billion related to long-term operation and maintenance costs. Remediation construction costs were estimated to be incurred over a 13-year period, with long-term operation and maintenance costs estimated to be incurred over a 30-year period from the start of construction. Stakeholders have raised concerns that the EPA’s cost estimates are understated, and PGE estimates undiscounted total remediation costs for Portland Harbor per the ROD could range from $2.9 billion to $5.5 billion.</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The EPA acknowledged the estimated costs were based on data that was outdated and that pre-remedial design sampling was necessary to gather updated baseline data to better refine the remedial design and estimated cost. A small group of PRPs performed pre-remedial design sampling to update baseline data and submitted the data in an updated evaluation report to the EPA for review. The evaluation report concluded that the conditions of Portland Harbor have improved substantially with the passage of time. In response, the EPA indicated that while it would use the data to inform implementation of the ROD, the EPA’s conclusions remained materially unchanged. With the completion of pre-remedial design sampling, Portland Harbor is now in the remedial design phase, which consists of additional technical information and data collection to be used to design the expected remedial actions. Certain PRPs, not including PGE, have entered into consent agreements to perform remedial design and the EPA has indicated it will take the initial lead to perform remedial design on the remaining areas. The Company anticipates that remedial design costs will ultimately be allocated to PRPs as a part of the allocation process for remediation costs of the EPA’s preferred remedy. The entirety of Portland Harbor continues under an active engineering design phase.</w:t>
      </w:r>
    </w:p>
    <w:p>
      <w:pPr>
        <w:spacing w:after="0" w:line="18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In 2024, the EPA issued a Special Notice Letter (SNL) to 60 entities, including PGE, with requirements and deadlines that may ultimately lead to litigation. Formal negotiations are in process and are likely to continue for several years.</w:t>
      </w:r>
    </w:p>
    <w:p>
      <w:pPr>
        <w:spacing w:after="0" w:line="15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PGE continues to participate in a confidential voluntary process to determine an appropriate allocation of costs among the PRPs and believes it is probable that it will share in a portion of the costs related to Portland Harbor. Based on information developed through this process in the second quarter of 2026, PGE's allocation share became reasonably estimable across project areas related to PGE. PGE concluded that sufficient information existed to reasonably estimate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the low end of its share of cleanup costs for certain Project Areas and, in Q2 2026 recorded a $20 million liability, which was deferred in the Portland Harbor Environmental Remediation Account (PHERA). In Q3 2026, cost estimates became available for the remaining Project Areas as well as updates to certain previously available cost estimates. Based on this additional information, PGE refined its estimate of its share of cleanup costs and recorded an additional $22 million liability, which was also deferred in the PHERA. As of September 30, 2026, PGE's $42 million recorded liability represents the low end of the reasonably estimable range of its share of Portland Harbor cleanup costs. Significant uncertainties remain regarding PGE's ultimate share of Portland Harbor cleanup costs, as settlement among the PRPs has not been reached and remedial design activities necessary to establish cost ranges for all Project Areas are ongoing. PGE's estimated liability may change as allocation percentages are finalized and remediation cost estimates are further developed and refined. Due to these uncertainties, PGE cannot reasonably estimate the high end of the range of its potential liability. The Company’s ultimate liability for Portland Harbor remediation could be material to PGE’s financial position and cash flows.</w:t>
      </w:r>
    </w:p>
    <w:p>
      <w:pPr>
        <w:spacing w:after="0" w:line="19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A portion of cleanup costs are attributable to identified PRPs that cannot be located or are insolvent. The liability associated with these parties is considered an “orphan share” pool that must ultimately be reallocated. Solvent, remaining PRPs may be responsible for the orphan shares, however, there is no single mandated approach to reallocation. Significant uncertainties remain regarding the treatment of the orphan shares and PGE does not currently have sufficient information to reasonably estimate the amount of orphan shares it will be responsible for. The Company’s final liability related to orphan shares could be material to PGE’s financial position.</w:t>
      </w:r>
    </w:p>
    <w:p>
      <w:pPr>
        <w:spacing w:after="0" w:line="185"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The impact of costs related to EPA liabilities on the Company’s results of operations is mitigated by the PHERA mechanism. For more information on the PHERA, see "Regulatory Assets and Liabilities" in Note 3, Balance Sheet Components.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Wrongful Death Claims</w:t>
      </w:r>
    </w:p>
    <w:p>
      <w:pPr>
        <w:spacing w:after="0" w:line="11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In September 2025, PGE received a complaint filed in Multnomah County Circuit Court on behalf of the estates of three members of the public and their relatives, with regard to three fatalities that occurred during the January 2024 storm and severe winter weather event. The claim seeks a total of $375 million related to their deaths and surviving family members’ claims. Business entities that own and operate an apartment complex, along with a nearby property owner, are also named as defendants. At this time, as the case is in its early stages, PGE is unable to estimate a range of any reasonably possible loss. The Company denies liability and continues to defend its case.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Pearson et al v. Port of Morrow et al</w:t>
      </w:r>
    </w:p>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February 2024, a proposed class action was filed in the U.S. District Court for the District of Oregon, Pendleton Division, Case No. 2:24-cv-00362, against the Port of Morrow and other defendants, not including PGE. The plaintiffs alleged they have suffered adverse effects from the defendants’ discharge of nitrogen-laden wastewater. In December 2025, a related action was filed against PGE, which was subsequently dismissed and PGE was added as an additional defendant in the original 2024 lawsuit, concerning wastewater from its Coyote Springs generation facility. Plaintiffs are primarily seeking injunctive relief, medical monitoring, and unspecified monetary damages. The trial date is currently scheduled for September 2027, however, in September 2026, the plaintiffs filed a “Notice of Global Mediation Session” for November 2026. The Company is unable to predict the outcome or estimate a range of any reasonably possible loss in this matter. The Company denies liability and is defending its case.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1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PGE is subject to other regulatory, environmental, and legal proceedings, investigations, and claims that arise from time to time in the ordinary course of business that may result in judgments against the Company. Although management currently believes that resolution of such known matters, individually and in the aggregate, will not have a material impact on its financial position, results of operations, or cash flows, these matters are subject to inherent uncertainties, and management’s view of these matters may change in the future.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PORTLAND GENERAL ELECTRIC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55CAB"/>
        </w:rPr>
        <w:t>NOTES TO CONDENSED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9: GUARANTEES</w:t>
      </w:r>
    </w:p>
    <w:p>
      <w:pPr>
        <w:spacing w:after="0" w:line="11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PGE enters into financial agreements for, and purchase and sale agreements involving physical delivery of, both power and natural gas that include indemnification provisions relating to certain claims or liabilities that may arise relating to the transactions contemplated by these agreements. Generally, a maximum obligation is not explicitly stated in the indemnification provisions and, therefore, the overall maximum amount of the obligation under such indemnifications cannot be reasonably estimated. PGE periodically evaluates the likelihood of incurring costs under such indemnities based on the Company’s historical experience and the evaluation of the specific indemnities. As of September 30, 2026, management believes the likelihood is remote that PGE would be required to perform under such indemnification provisions or otherwise incur any significant losses with respect to such indemnities. The Company has not recorded any liability on the condensed consolidated balance sheets with respect to these indemnities.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10: INCOME TAXES</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effective tax rates were 13.8% and 16.3% for the three months ended September 30, 2026 and 2025, respectively. For the nine months ended September 30, 2026 and 2025, the effective tax rates were 14.7% and 16.9%, respectively. PGE’s effective tax rate is below the federal statutory rate of 21% for 2026 and 2025 primarily due to the effect of energy-related tax credits.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NOTE 11: SEGMENT INFORMATION</w:t>
      </w:r>
    </w:p>
    <w:p>
      <w:pPr>
        <w:spacing w:after="0" w:line="1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PGE is a vertically-integrated electric utility engaged in the generation, transmission, distribution, and retail sale of electricity. The Company participates in wholesale markets by purchasing and selling electricity and natural gas in an effort to meet the needs of, and obtain reasonably-priced power for its retail customers, manage risk, and administer its long-term wholesale contracts. The Company generates revenues and cash flows primarily from the sale and distribution of electricity to retail customers in its service territory in the State.</w:t>
      </w:r>
    </w:p>
    <w:p>
      <w:pPr>
        <w:spacing w:after="0" w:line="1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Company has identified one operating and reportable segment and defines its segment on the basis of the way in which internally reported financial information is regularly reviewed by the chief operating decision maker (CODM) to analyze financial performance, make decisions, and allocate resources. The Company’s CODM is the President and Chief Executive Officer.</w:t>
      </w:r>
    </w:p>
    <w:p>
      <w:pPr>
        <w:spacing w:after="0" w:line="174"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The Company’s CODM assesses the segment’s performance by using Consolidated Net Income. The CODM uses Consolidated Net Income predominantly as a key input to earnings per share and return on equity, which is an important metric for investors and regulators and is also tied to employee compensation.</w:t>
      </w:r>
    </w:p>
    <w:p>
      <w:pPr>
        <w:spacing w:after="0" w:line="17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table below provides information about the Company’s single business segment, including significant segment expenses, and includes reconciliation to Consolidated Net Income (dollars in millions):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696"/>
        </w:trPr>
        <w:tc>
          <w:tcPr>
            <w:tcW w:w="1520" w:type="dxa"/>
            <w:vAlign w:val="bottom"/>
            <w:tcBorders>
              <w:top w:val="single" w:sz="8" w:color="0000FF"/>
            </w:tcBorders>
          </w:tcPr>
          <w:p>
            <w:pPr>
              <w:spacing w:after="0"/>
              <w:rPr>
                <w:sz w:val="24"/>
                <w:szCs w:val="24"/>
                <w:color w:val="auto"/>
              </w:rPr>
            </w:pPr>
          </w:p>
        </w:tc>
        <w:tc>
          <w:tcPr>
            <w:tcW w:w="6480" w:type="dxa"/>
            <w:vAlign w:val="bottom"/>
            <w:gridSpan w:val="6"/>
          </w:tcPr>
          <w:p>
            <w:pPr>
              <w:jc w:val="center"/>
              <w:ind w:left="1641"/>
              <w:spacing w:after="0"/>
              <w:rPr>
                <w:sz w:val="20"/>
                <w:szCs w:val="20"/>
                <w:color w:val="auto"/>
              </w:rPr>
            </w:pPr>
            <w:r>
              <w:rPr>
                <w:rFonts w:ascii="Times New Roman" w:cs="Times New Roman" w:eastAsia="Times New Roman" w:hAnsi="Times New Roman"/>
                <w:sz w:val="20"/>
                <w:szCs w:val="20"/>
                <w:b w:val="1"/>
                <w:bCs w:val="1"/>
                <w:color w:val="155CAB"/>
                <w:w w:val="98"/>
              </w:rPr>
              <w:t>PORTLAND GENERAL ELECTRIC COMPANY</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3"/>
        </w:trPr>
        <w:tc>
          <w:tcPr>
            <w:tcW w:w="1520" w:type="dxa"/>
            <w:vAlign w:val="bottom"/>
          </w:tcPr>
          <w:p>
            <w:pPr>
              <w:spacing w:after="0"/>
              <w:rPr>
                <w:sz w:val="20"/>
                <w:szCs w:val="20"/>
                <w:color w:val="auto"/>
              </w:rPr>
            </w:pPr>
          </w:p>
        </w:tc>
        <w:tc>
          <w:tcPr>
            <w:tcW w:w="8320" w:type="dxa"/>
            <w:vAlign w:val="bottom"/>
            <w:gridSpan w:val="10"/>
          </w:tcPr>
          <w:p>
            <w:pPr>
              <w:jc w:val="center"/>
              <w:ind w:right="1"/>
              <w:spacing w:after="0"/>
              <w:rPr>
                <w:sz w:val="20"/>
                <w:szCs w:val="20"/>
                <w:color w:val="auto"/>
              </w:rPr>
            </w:pPr>
            <w:r>
              <w:rPr>
                <w:rFonts w:ascii="Times New Roman" w:cs="Times New Roman" w:eastAsia="Times New Roman" w:hAnsi="Times New Roman"/>
                <w:sz w:val="20"/>
                <w:szCs w:val="20"/>
                <w:b w:val="1"/>
                <w:bCs w:val="1"/>
                <w:color w:val="155CAB"/>
                <w:w w:val="98"/>
              </w:rPr>
              <w:t>NOTES TO CONDENSED CONSOLIDATED FINANCIAL STATEMENTS, continued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8"/>
        </w:trPr>
        <w:tc>
          <w:tcPr>
            <w:tcW w:w="15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740" w:type="dxa"/>
            <w:vAlign w:val="bottom"/>
            <w:gridSpan w:val="2"/>
          </w:tcPr>
          <w:p>
            <w:pPr>
              <w:jc w:val="center"/>
              <w:ind w:right="161"/>
              <w:spacing w:after="0"/>
              <w:rPr>
                <w:sz w:val="20"/>
                <w:szCs w:val="20"/>
                <w:color w:val="auto"/>
              </w:rPr>
            </w:pPr>
            <w:r>
              <w:rPr>
                <w:rFonts w:ascii="Times New Roman" w:cs="Times New Roman" w:eastAsia="Times New Roman" w:hAnsi="Times New Roman"/>
                <w:sz w:val="20"/>
                <w:szCs w:val="20"/>
                <w:color w:val="auto"/>
                <w:w w:val="99"/>
              </w:rPr>
              <w:t>(Unaudited)</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26"/>
        </w:trPr>
        <w:tc>
          <w:tcPr>
            <w:tcW w:w="1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4"/>
          </w:tcPr>
          <w:p>
            <w:pPr>
              <w:jc w:val="right"/>
              <w:ind w:right="461"/>
              <w:spacing w:after="0"/>
              <w:rPr>
                <w:sz w:val="20"/>
                <w:szCs w:val="20"/>
                <w:color w:val="auto"/>
              </w:rPr>
            </w:pPr>
            <w:r>
              <w:rPr>
                <w:rFonts w:ascii="Times New Roman" w:cs="Times New Roman" w:eastAsia="Times New Roman" w:hAnsi="Times New Roman"/>
                <w:sz w:val="20"/>
                <w:szCs w:val="20"/>
                <w:b w:val="1"/>
                <w:bCs w:val="1"/>
                <w:color w:val="155CAB"/>
              </w:rPr>
              <w:t>Nine Months Ended</w:t>
            </w:r>
          </w:p>
        </w:tc>
      </w:tr>
      <w:tr>
        <w:trPr>
          <w:trHeight w:val="256"/>
        </w:trPr>
        <w:tc>
          <w:tcPr>
            <w:tcW w:w="15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180" w:type="dxa"/>
            <w:vAlign w:val="bottom"/>
            <w:tcBorders>
              <w:bottom w:val="single" w:sz="8" w:color="155CAB"/>
            </w:tcBorders>
            <w:gridSpan w:val="4"/>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440" w:type="dxa"/>
            <w:vAlign w:val="bottom"/>
            <w:tcBorders>
              <w:bottom w:val="single" w:sz="8" w:color="155CAB"/>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155CAB"/>
            </w:tcBorders>
          </w:tcPr>
          <w:p>
            <w:pPr>
              <w:spacing w:after="0"/>
              <w:rPr>
                <w:sz w:val="22"/>
                <w:szCs w:val="22"/>
                <w:color w:val="auto"/>
              </w:rPr>
            </w:pPr>
          </w:p>
        </w:tc>
        <w:tc>
          <w:tcPr>
            <w:tcW w:w="2420" w:type="dxa"/>
            <w:vAlign w:val="bottom"/>
            <w:tcBorders>
              <w:bottom w:val="single" w:sz="8" w:color="155CAB"/>
            </w:tcBorders>
            <w:gridSpan w:val="4"/>
          </w:tcPr>
          <w:p>
            <w:pPr>
              <w:jc w:val="right"/>
              <w:ind w:right="681"/>
              <w:spacing w:after="0"/>
              <w:rPr>
                <w:sz w:val="20"/>
                <w:szCs w:val="20"/>
                <w:color w:val="auto"/>
              </w:rPr>
            </w:pPr>
            <w:r>
              <w:rPr>
                <w:rFonts w:ascii="Times New Roman" w:cs="Times New Roman" w:eastAsia="Times New Roman" w:hAnsi="Times New Roman"/>
                <w:sz w:val="20"/>
                <w:szCs w:val="20"/>
                <w:b w:val="1"/>
                <w:bCs w:val="1"/>
                <w:color w:val="155CAB"/>
              </w:rPr>
              <w:t>September 30,</w:t>
            </w:r>
          </w:p>
        </w:tc>
      </w:tr>
      <w:tr>
        <w:trPr>
          <w:trHeight w:val="223"/>
        </w:trPr>
        <w:tc>
          <w:tcPr>
            <w:tcW w:w="15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Borders>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44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44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155CAB"/>
            </w:tcBorders>
          </w:tcPr>
          <w:p>
            <w:pPr>
              <w:spacing w:after="0"/>
              <w:rPr>
                <w:sz w:val="19"/>
                <w:szCs w:val="19"/>
                <w:color w:val="auto"/>
              </w:rPr>
            </w:pPr>
          </w:p>
        </w:tc>
        <w:tc>
          <w:tcPr>
            <w:tcW w:w="1020" w:type="dxa"/>
            <w:vAlign w:val="bottom"/>
            <w:tcBorders>
              <w:bottom w:val="single" w:sz="8" w:color="155CAB"/>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40" w:type="dxa"/>
            <w:vAlign w:val="bottom"/>
          </w:tcPr>
          <w:p>
            <w:pPr>
              <w:spacing w:after="0"/>
              <w:rPr>
                <w:sz w:val="19"/>
                <w:szCs w:val="19"/>
                <w:color w:val="auto"/>
              </w:rPr>
            </w:pPr>
          </w:p>
        </w:tc>
        <w:tc>
          <w:tcPr>
            <w:tcW w:w="220" w:type="dxa"/>
            <w:vAlign w:val="bottom"/>
            <w:tcBorders>
              <w:bottom w:val="single" w:sz="8" w:color="155CAB"/>
            </w:tcBorders>
          </w:tcPr>
          <w:p>
            <w:pPr>
              <w:spacing w:after="0"/>
              <w:rPr>
                <w:sz w:val="19"/>
                <w:szCs w:val="19"/>
                <w:color w:val="auto"/>
              </w:rPr>
            </w:pPr>
          </w:p>
        </w:tc>
        <w:tc>
          <w:tcPr>
            <w:tcW w:w="1040" w:type="dxa"/>
            <w:vAlign w:val="bottom"/>
            <w:tcBorders>
              <w:bottom w:val="single" w:sz="8" w:color="155CAB"/>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488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revenues</w:t>
            </w:r>
          </w:p>
        </w:tc>
        <w:tc>
          <w:tcPr>
            <w:tcW w:w="1740" w:type="dxa"/>
            <w:vAlign w:val="bottom"/>
            <w:gridSpan w:val="2"/>
            <w:shd w:val="clear" w:color="auto" w:fill="EFEFEF"/>
          </w:tcPr>
          <w:p>
            <w:pPr>
              <w:jc w:val="right"/>
              <w:ind w:right="6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971</w:t>
            </w:r>
          </w:p>
        </w:tc>
        <w:tc>
          <w:tcPr>
            <w:tcW w:w="940" w:type="dxa"/>
            <w:vAlign w:val="bottom"/>
            <w:gridSpan w:val="2"/>
            <w:shd w:val="clear" w:color="auto" w:fill="EFEFEF"/>
          </w:tcPr>
          <w:p>
            <w:pPr>
              <w:jc w:val="right"/>
              <w:ind w:right="6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952</w:t>
            </w:r>
          </w:p>
        </w:tc>
        <w:tc>
          <w:tcPr>
            <w:tcW w:w="380" w:type="dxa"/>
            <w:vAlign w:val="bottom"/>
            <w:gridSpan w:val="2"/>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2,664</w:t>
            </w:r>
          </w:p>
        </w:tc>
        <w:tc>
          <w:tcPr>
            <w:tcW w:w="360" w:type="dxa"/>
            <w:vAlign w:val="bottom"/>
            <w:gridSpan w:val="2"/>
            <w:shd w:val="clear" w:color="auto" w:fill="EFEFEF"/>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2,687</w:t>
            </w:r>
          </w:p>
        </w:tc>
      </w:tr>
      <w:tr>
        <w:trPr>
          <w:trHeight w:val="229"/>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80" w:type="dxa"/>
            <w:vAlign w:val="bottom"/>
            <w:gridSpan w:val="2"/>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Purchased power and fuel</w:t>
            </w:r>
          </w:p>
        </w:tc>
        <w:tc>
          <w:tcPr>
            <w:tcW w:w="9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383</w:t>
            </w:r>
          </w:p>
        </w:tc>
        <w:tc>
          <w:tcPr>
            <w:tcW w:w="1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372</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1,040</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1,034</w:t>
            </w:r>
          </w:p>
        </w:tc>
      </w:tr>
      <w:tr>
        <w:trPr>
          <w:trHeight w:val="229"/>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Operating and maintenance expense:</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80" w:type="dxa"/>
            <w:vAlign w:val="bottom"/>
            <w:gridSpan w:val="2"/>
            <w:shd w:val="clear" w:color="auto" w:fill="EFEFEF"/>
          </w:tcPr>
          <w:p>
            <w:pPr>
              <w:ind w:left="300"/>
              <w:spacing w:after="0"/>
              <w:rPr>
                <w:sz w:val="20"/>
                <w:szCs w:val="20"/>
                <w:color w:val="auto"/>
              </w:rPr>
            </w:pPr>
            <w:r>
              <w:rPr>
                <w:rFonts w:ascii="Times New Roman" w:cs="Times New Roman" w:eastAsia="Times New Roman" w:hAnsi="Times New Roman"/>
                <w:sz w:val="20"/>
                <w:szCs w:val="20"/>
                <w:color w:val="auto"/>
              </w:rPr>
              <w:t>Generation, transmission and distribution</w:t>
            </w:r>
          </w:p>
        </w:tc>
        <w:tc>
          <w:tcPr>
            <w:tcW w:w="9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115</w:t>
            </w:r>
          </w:p>
        </w:tc>
        <w:tc>
          <w:tcPr>
            <w:tcW w:w="1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112</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337</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336</w:t>
            </w:r>
          </w:p>
        </w:tc>
      </w:tr>
      <w:tr>
        <w:trPr>
          <w:trHeight w:val="230"/>
        </w:trPr>
        <w:tc>
          <w:tcPr>
            <w:tcW w:w="48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Administrative and other</w:t>
            </w:r>
          </w:p>
        </w:tc>
        <w:tc>
          <w:tcPr>
            <w:tcW w:w="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86</w:t>
            </w: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291</w:t>
            </w:r>
          </w:p>
        </w:tc>
      </w:tr>
      <w:tr>
        <w:trPr>
          <w:trHeight w:val="223"/>
        </w:trPr>
        <w:tc>
          <w:tcPr>
            <w:tcW w:w="4880" w:type="dxa"/>
            <w:vAlign w:val="bottom"/>
            <w:tcBorders>
              <w:bottom w:val="single" w:sz="8" w:color="EFEFEF"/>
            </w:tcBorders>
            <w:gridSpan w:val="2"/>
            <w:shd w:val="clear" w:color="auto" w:fill="EFEFEF"/>
          </w:tcPr>
          <w:p>
            <w:pPr>
              <w:ind w:left="440"/>
              <w:spacing w:after="0" w:line="223" w:lineRule="exact"/>
              <w:rPr>
                <w:sz w:val="20"/>
                <w:szCs w:val="20"/>
                <w:color w:val="auto"/>
              </w:rPr>
            </w:pPr>
            <w:r>
              <w:rPr>
                <w:rFonts w:ascii="Times New Roman" w:cs="Times New Roman" w:eastAsia="Times New Roman" w:hAnsi="Times New Roman"/>
                <w:sz w:val="20"/>
                <w:szCs w:val="20"/>
                <w:color w:val="auto"/>
              </w:rPr>
              <w:t>Total operating and maintenance expense</w:t>
            </w:r>
          </w:p>
        </w:tc>
        <w:tc>
          <w:tcPr>
            <w:tcW w:w="940" w:type="dxa"/>
            <w:vAlign w:val="bottom"/>
            <w:tcBorders>
              <w:bottom w:val="single" w:sz="8" w:color="EFEFEF"/>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201</w:t>
            </w:r>
          </w:p>
        </w:tc>
        <w:tc>
          <w:tcPr>
            <w:tcW w:w="140" w:type="dxa"/>
            <w:vAlign w:val="bottom"/>
            <w:tcBorders>
              <w:bottom w:val="single" w:sz="8" w:color="EFEFEF"/>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211</w:t>
            </w:r>
          </w:p>
        </w:tc>
        <w:tc>
          <w:tcPr>
            <w:tcW w:w="1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10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619</w:t>
            </w:r>
          </w:p>
        </w:tc>
        <w:tc>
          <w:tcPr>
            <w:tcW w:w="14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627</w:t>
            </w:r>
          </w:p>
        </w:tc>
      </w:tr>
      <w:tr>
        <w:trPr>
          <w:trHeight w:val="223"/>
        </w:trPr>
        <w:tc>
          <w:tcPr>
            <w:tcW w:w="488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20"/>
                <w:szCs w:val="20"/>
                <w:color w:val="auto"/>
              </w:rPr>
              <w:t>Depreciation and amortization</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146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433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427</w:t>
            </w:r>
          </w:p>
        </w:tc>
      </w:tr>
      <w:tr>
        <w:trPr>
          <w:trHeight w:val="229"/>
        </w:trPr>
        <w:tc>
          <w:tcPr>
            <w:tcW w:w="4880" w:type="dxa"/>
            <w:vAlign w:val="bottom"/>
            <w:tcBorders>
              <w:bottom w:val="single" w:sz="8" w:color="EFEFEF"/>
            </w:tcBorders>
            <w:gridSpan w:val="2"/>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Taxes other than income taxes</w:t>
            </w:r>
          </w:p>
        </w:tc>
        <w:tc>
          <w:tcPr>
            <w:tcW w:w="940" w:type="dxa"/>
            <w:vAlign w:val="bottom"/>
            <w:tcBorders>
              <w:bottom w:val="single" w:sz="8" w:color="EFEFEF"/>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tcBorders>
              <w:bottom w:val="single" w:sz="8" w:color="EFEFEF"/>
            </w:tcBorders>
            <w:shd w:val="clear" w:color="auto" w:fill="EFEFEF"/>
          </w:tcPr>
          <w:p>
            <w:pPr>
              <w:spacing w:after="0"/>
              <w:rPr>
                <w:sz w:val="19"/>
                <w:szCs w:val="19"/>
                <w:color w:val="auto"/>
              </w:rPr>
            </w:pPr>
          </w:p>
        </w:tc>
        <w:tc>
          <w:tcPr>
            <w:tcW w:w="800" w:type="dxa"/>
            <w:vAlign w:val="bottom"/>
            <w:tcBorders>
              <w:bottom w:val="single" w:sz="8" w:color="auto"/>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47</w:t>
            </w:r>
          </w:p>
        </w:tc>
        <w:tc>
          <w:tcPr>
            <w:tcW w:w="140" w:type="dxa"/>
            <w:vAlign w:val="bottom"/>
            <w:tcBorders>
              <w:bottom w:val="single" w:sz="8" w:color="EFEFEF"/>
            </w:tcBorders>
            <w:shd w:val="clear" w:color="auto" w:fill="EFEFEF"/>
          </w:tcPr>
          <w:p>
            <w:pPr>
              <w:spacing w:after="0"/>
              <w:rPr>
                <w:sz w:val="19"/>
                <w:szCs w:val="19"/>
                <w:color w:val="auto"/>
              </w:rPr>
            </w:pPr>
          </w:p>
        </w:tc>
        <w:tc>
          <w:tcPr>
            <w:tcW w:w="240" w:type="dxa"/>
            <w:vAlign w:val="bottom"/>
            <w:tcBorders>
              <w:bottom w:val="single" w:sz="8" w:color="auto"/>
            </w:tcBorders>
            <w:shd w:val="clear" w:color="auto" w:fill="EFEFEF"/>
          </w:tcPr>
          <w:p>
            <w:pPr>
              <w:spacing w:after="0"/>
              <w:rPr>
                <w:sz w:val="19"/>
                <w:szCs w:val="19"/>
                <w:color w:val="auto"/>
              </w:rPr>
            </w:pPr>
          </w:p>
        </w:tc>
        <w:tc>
          <w:tcPr>
            <w:tcW w:w="10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157</w:t>
            </w:r>
          </w:p>
        </w:tc>
        <w:tc>
          <w:tcPr>
            <w:tcW w:w="14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139</w:t>
            </w:r>
          </w:p>
        </w:tc>
      </w:tr>
      <w:tr>
        <w:trPr>
          <w:trHeight w:val="223"/>
        </w:trPr>
        <w:tc>
          <w:tcPr>
            <w:tcW w:w="4880" w:type="dxa"/>
            <w:vAlign w:val="bottom"/>
            <w:gridSpan w:val="2"/>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784</w:t>
            </w: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778</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2,249</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2,227</w:t>
            </w:r>
          </w:p>
        </w:tc>
      </w:tr>
      <w:tr>
        <w:trPr>
          <w:trHeight w:val="223"/>
        </w:trPr>
        <w:tc>
          <w:tcPr>
            <w:tcW w:w="4880" w:type="dxa"/>
            <w:vAlign w:val="bottom"/>
            <w:gridSpan w:val="2"/>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color w:val="auto"/>
              </w:rPr>
              <w:t>Income from operations</w:t>
            </w:r>
          </w:p>
        </w:tc>
        <w:tc>
          <w:tcPr>
            <w:tcW w:w="9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187</w:t>
            </w:r>
          </w:p>
        </w:tc>
        <w:tc>
          <w:tcPr>
            <w:tcW w:w="1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174</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415</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460</w:t>
            </w: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Interest expense, net:</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80" w:type="dxa"/>
            <w:vAlign w:val="bottom"/>
            <w:gridSpan w:val="2"/>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Interest expense</w:t>
            </w:r>
          </w:p>
        </w:tc>
        <w:tc>
          <w:tcPr>
            <w:tcW w:w="9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67</w:t>
            </w:r>
          </w:p>
        </w:tc>
        <w:tc>
          <w:tcPr>
            <w:tcW w:w="1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193</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182</w:t>
            </w:r>
          </w:p>
        </w:tc>
      </w:tr>
      <w:tr>
        <w:trPr>
          <w:trHeight w:val="23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Allowance for borrowed funds used during construction</w:t>
            </w:r>
          </w:p>
        </w:tc>
        <w:tc>
          <w:tcPr>
            <w:tcW w:w="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3"/>
        </w:trPr>
        <w:tc>
          <w:tcPr>
            <w:tcW w:w="4880" w:type="dxa"/>
            <w:vAlign w:val="bottom"/>
            <w:gridSpan w:val="2"/>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color w:val="auto"/>
              </w:rPr>
              <w:t>Total interest expense, net</w:t>
            </w:r>
          </w:p>
        </w:tc>
        <w:tc>
          <w:tcPr>
            <w:tcW w:w="9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62</w:t>
            </w:r>
          </w:p>
        </w:tc>
        <w:tc>
          <w:tcPr>
            <w:tcW w:w="1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60</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183</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173</w:t>
            </w: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income, net:</w:t>
            </w:r>
          </w:p>
        </w:tc>
        <w:tc>
          <w:tcPr>
            <w:tcW w:w="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32</w:t>
            </w:r>
          </w:p>
        </w:tc>
      </w:tr>
      <w:tr>
        <w:trPr>
          <w:trHeight w:val="223"/>
        </w:trPr>
        <w:tc>
          <w:tcPr>
            <w:tcW w:w="4880" w:type="dxa"/>
            <w:vAlign w:val="bottom"/>
            <w:gridSpan w:val="2"/>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color w:val="auto"/>
              </w:rPr>
              <w:t>Income before income taxes</w:t>
            </w:r>
          </w:p>
        </w:tc>
        <w:tc>
          <w:tcPr>
            <w:tcW w:w="9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138</w:t>
            </w:r>
          </w:p>
        </w:tc>
        <w:tc>
          <w:tcPr>
            <w:tcW w:w="140" w:type="dxa"/>
            <w:vAlign w:val="bottom"/>
            <w:shd w:val="clear" w:color="auto" w:fill="EFEFEF"/>
          </w:tcPr>
          <w:p>
            <w:pPr>
              <w:spacing w:after="0"/>
              <w:rPr>
                <w:sz w:val="19"/>
                <w:szCs w:val="19"/>
                <w:color w:val="auto"/>
              </w:rPr>
            </w:pPr>
          </w:p>
        </w:tc>
        <w:tc>
          <w:tcPr>
            <w:tcW w:w="800" w:type="dxa"/>
            <w:vAlign w:val="bottom"/>
            <w:shd w:val="clear" w:color="auto" w:fill="EFEFEF"/>
          </w:tcPr>
          <w:p>
            <w:pPr>
              <w:spacing w:after="0"/>
              <w:rPr>
                <w:sz w:val="19"/>
                <w:szCs w:val="19"/>
                <w:color w:val="auto"/>
              </w:rPr>
            </w:pP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123</w:t>
            </w:r>
          </w:p>
        </w:tc>
        <w:tc>
          <w:tcPr>
            <w:tcW w:w="14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272</w:t>
            </w:r>
          </w:p>
        </w:tc>
        <w:tc>
          <w:tcPr>
            <w:tcW w:w="14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319</w:t>
            </w: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tc>
        <w:tc>
          <w:tcPr>
            <w:tcW w:w="9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54</w:t>
            </w:r>
          </w:p>
        </w:tc>
      </w:tr>
      <w:tr>
        <w:trPr>
          <w:trHeight w:val="243"/>
        </w:trPr>
        <w:tc>
          <w:tcPr>
            <w:tcW w:w="4880" w:type="dxa"/>
            <w:vAlign w:val="bottom"/>
            <w:gridSpan w:val="2"/>
            <w:shd w:val="clear" w:color="auto" w:fill="EFEFEF"/>
          </w:tcPr>
          <w:p>
            <w:pPr>
              <w:ind w:left="300"/>
              <w:spacing w:after="0" w:line="223"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940" w:type="dxa"/>
            <w:vAlign w:val="bottom"/>
            <w:shd w:val="clear" w:color="auto" w:fill="EFEFEF"/>
          </w:tcPr>
          <w:p>
            <w:pPr>
              <w:spacing w:after="0"/>
              <w:rPr>
                <w:sz w:val="21"/>
                <w:szCs w:val="21"/>
                <w:color w:val="auto"/>
              </w:rPr>
            </w:pPr>
          </w:p>
        </w:tc>
        <w:tc>
          <w:tcPr>
            <w:tcW w:w="800" w:type="dxa"/>
            <w:vAlign w:val="bottom"/>
            <w:shd w:val="clear" w:color="auto" w:fill="EFEFEF"/>
          </w:tcPr>
          <w:p>
            <w:pPr>
              <w:jc w:val="right"/>
              <w:ind w:right="6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119</w:t>
            </w:r>
          </w:p>
        </w:tc>
        <w:tc>
          <w:tcPr>
            <w:tcW w:w="140" w:type="dxa"/>
            <w:vAlign w:val="bottom"/>
            <w:shd w:val="clear" w:color="auto" w:fill="EFEFEF"/>
          </w:tcPr>
          <w:p>
            <w:pPr>
              <w:spacing w:after="0"/>
              <w:rPr>
                <w:sz w:val="21"/>
                <w:szCs w:val="21"/>
                <w:color w:val="auto"/>
              </w:rPr>
            </w:pPr>
          </w:p>
        </w:tc>
        <w:tc>
          <w:tcPr>
            <w:tcW w:w="800" w:type="dxa"/>
            <w:vAlign w:val="bottom"/>
            <w:shd w:val="clear" w:color="auto" w:fill="EFEFEF"/>
          </w:tcPr>
          <w:p>
            <w:pPr>
              <w:jc w:val="right"/>
              <w:ind w:right="6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103</w:t>
            </w:r>
          </w:p>
        </w:tc>
        <w:tc>
          <w:tcPr>
            <w:tcW w:w="140" w:type="dxa"/>
            <w:vAlign w:val="bottom"/>
            <w:shd w:val="clear" w:color="auto" w:fill="EFEFEF"/>
          </w:tcPr>
          <w:p>
            <w:pPr>
              <w:spacing w:after="0"/>
              <w:rPr>
                <w:sz w:val="21"/>
                <w:szCs w:val="21"/>
                <w:color w:val="auto"/>
              </w:rPr>
            </w:pPr>
          </w:p>
        </w:tc>
        <w:tc>
          <w:tcPr>
            <w:tcW w:w="24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232</w:t>
            </w:r>
          </w:p>
        </w:tc>
        <w:tc>
          <w:tcPr>
            <w:tcW w:w="360" w:type="dxa"/>
            <w:vAlign w:val="bottom"/>
            <w:gridSpan w:val="2"/>
            <w:shd w:val="clear" w:color="auto" w:fill="EFEFEF"/>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265</w:t>
            </w:r>
          </w:p>
        </w:tc>
      </w:tr>
      <w:tr>
        <w:trPr>
          <w:trHeight w:val="20"/>
        </w:trPr>
        <w:tc>
          <w:tcPr>
            <w:tcW w:w="1520" w:type="dxa"/>
            <w:vAlign w:val="bottom"/>
            <w:tcBorders>
              <w:top w:val="single" w:sz="8" w:color="EFEFEF"/>
            </w:tcBorders>
            <w:shd w:val="clear" w:color="auto" w:fill="EFEFEF"/>
          </w:tcPr>
          <w:p>
            <w:pPr>
              <w:spacing w:after="0" w:line="20" w:lineRule="exact"/>
              <w:rPr>
                <w:sz w:val="1"/>
                <w:szCs w:val="1"/>
                <w:color w:val="auto"/>
              </w:rPr>
            </w:pPr>
          </w:p>
        </w:tc>
        <w:tc>
          <w:tcPr>
            <w:tcW w:w="3360" w:type="dxa"/>
            <w:vAlign w:val="bottom"/>
            <w:tcBorders>
              <w:top w:val="single" w:sz="8" w:color="EFEFEF"/>
            </w:tcBorders>
            <w:shd w:val="clear" w:color="auto" w:fill="EFEFEF"/>
          </w:tcPr>
          <w:p>
            <w:pPr>
              <w:spacing w:after="0" w:line="20" w:lineRule="exact"/>
              <w:rPr>
                <w:sz w:val="1"/>
                <w:szCs w:val="1"/>
                <w:color w:val="auto"/>
              </w:rPr>
            </w:pPr>
          </w:p>
        </w:tc>
        <w:tc>
          <w:tcPr>
            <w:tcW w:w="940" w:type="dxa"/>
            <w:vAlign w:val="bottom"/>
            <w:tcBorders>
              <w:top w:val="single" w:sz="8" w:color="EFEFEF"/>
            </w:tcBorders>
            <w:shd w:val="clear" w:color="auto" w:fill="EFEFE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FEFEF"/>
            </w:tcBorders>
            <w:shd w:val="clear" w:color="auto" w:fill="EFEFE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FEFEF"/>
            </w:tcBorders>
            <w:shd w:val="clear" w:color="auto" w:fill="EFEFE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-1824990</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-1824990</wp:posOffset>
            </wp:positionV>
            <wp:extent cx="857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-1824990</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-1525270</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-1525270</wp:posOffset>
            </wp:positionV>
            <wp:extent cx="857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-1525270</wp:posOffset>
            </wp:positionV>
            <wp:extent cx="85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additional financial information relating to the Company’s single business segment was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ind w:right="161"/>
              <w:spacing w:after="0"/>
              <w:rPr>
                <w:sz w:val="20"/>
                <w:szCs w:val="20"/>
                <w:color w:val="auto"/>
              </w:rPr>
            </w:pPr>
            <w:r>
              <w:rPr>
                <w:rFonts w:ascii="Times New Roman" w:cs="Times New Roman" w:eastAsia="Times New Roman" w:hAnsi="Times New Roman"/>
                <w:sz w:val="20"/>
                <w:szCs w:val="20"/>
                <w:b w:val="1"/>
                <w:bCs w:val="1"/>
                <w:color w:val="155CAB"/>
                <w:w w:val="98"/>
              </w:rPr>
              <w:t>September 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201"/>
              <w:spacing w:after="0"/>
              <w:rPr>
                <w:sz w:val="20"/>
                <w:szCs w:val="20"/>
                <w:color w:val="auto"/>
              </w:rPr>
            </w:pPr>
            <w:r>
              <w:rPr>
                <w:rFonts w:ascii="Times New Roman" w:cs="Times New Roman" w:eastAsia="Times New Roman" w:hAnsi="Times New Roman"/>
                <w:sz w:val="20"/>
                <w:szCs w:val="20"/>
                <w:b w:val="1"/>
                <w:bCs w:val="1"/>
                <w:color w:val="155CAB"/>
                <w:w w:val="97"/>
              </w:rPr>
              <w:t>December 31,</w:t>
            </w:r>
          </w:p>
        </w:tc>
      </w:tr>
      <w:tr>
        <w:trPr>
          <w:trHeight w:val="256"/>
        </w:trPr>
        <w:tc>
          <w:tcPr>
            <w:tcW w:w="38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155CAB"/>
                <w:w w:val="99"/>
              </w:rPr>
              <w:t>2026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20" w:type="dxa"/>
            <w:vAlign w:val="bottom"/>
            <w:tcBorders>
              <w:bottom w:val="single" w:sz="8" w:color="155CAB"/>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155CAB"/>
                <w:w w:val="99"/>
              </w:rPr>
              <w:t>2025</w:t>
            </w:r>
          </w:p>
        </w:tc>
      </w:tr>
      <w:tr>
        <w:trPr>
          <w:trHeight w:val="223"/>
        </w:trPr>
        <w:tc>
          <w:tcPr>
            <w:tcW w:w="386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Total assets</w:t>
            </w:r>
          </w:p>
        </w:tc>
        <w:tc>
          <w:tcPr>
            <w:tcW w:w="4000" w:type="dxa"/>
            <w:vAlign w:val="bottom"/>
            <w:gridSpan w:val="3"/>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13,815</w:t>
            </w:r>
          </w:p>
        </w:tc>
        <w:tc>
          <w:tcPr>
            <w:tcW w:w="320" w:type="dxa"/>
            <w:vAlign w:val="bottom"/>
            <w:gridSpan w:val="3"/>
            <w:shd w:val="clear" w:color="auto" w:fill="EFEFE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13,230</w:t>
            </w:r>
          </w:p>
        </w:tc>
      </w:tr>
      <w:tr>
        <w:trPr>
          <w:trHeight w:val="258"/>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Equity method investments</w:t>
            </w:r>
          </w:p>
        </w:tc>
        <w:tc>
          <w:tcPr>
            <w:tcW w:w="3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w:t>
            </w:r>
          </w:p>
        </w:tc>
      </w:tr>
      <w:tr>
        <w:trPr>
          <w:trHeight w:val="403"/>
        </w:trPr>
        <w:tc>
          <w:tcPr>
            <w:tcW w:w="3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5"/>
          </w:tcPr>
          <w:p>
            <w:pPr>
              <w:jc w:val="right"/>
              <w:ind w:right="261"/>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256"/>
        </w:trPr>
        <w:tc>
          <w:tcPr>
            <w:tcW w:w="38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60" w:type="dxa"/>
            <w:vAlign w:val="bottom"/>
            <w:tcBorders>
              <w:bottom w:val="single" w:sz="8" w:color="155CAB"/>
            </w:tcBorders>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40" w:type="dxa"/>
            <w:vAlign w:val="bottom"/>
            <w:tcBorders>
              <w:bottom w:val="single" w:sz="8" w:color="155CAB"/>
            </w:tcBorders>
          </w:tcPr>
          <w:p>
            <w:pPr>
              <w:jc w:val="center"/>
              <w:ind w:right="201"/>
              <w:spacing w:after="0"/>
              <w:rPr>
                <w:sz w:val="20"/>
                <w:szCs w:val="20"/>
                <w:color w:val="auto"/>
              </w:rPr>
            </w:pPr>
            <w:r>
              <w:rPr>
                <w:rFonts w:ascii="Times New Roman" w:cs="Times New Roman" w:eastAsia="Times New Roman" w:hAnsi="Times New Roman"/>
                <w:sz w:val="20"/>
                <w:szCs w:val="20"/>
                <w:b w:val="1"/>
                <w:bCs w:val="1"/>
                <w:color w:val="155CAB"/>
                <w:w w:val="99"/>
              </w:rPr>
              <w:t>2026</w:t>
            </w:r>
          </w:p>
        </w:tc>
        <w:tc>
          <w:tcPr>
            <w:tcW w:w="120" w:type="dxa"/>
            <w:vAlign w:val="bottom"/>
          </w:tcPr>
          <w:p>
            <w:pPr>
              <w:spacing w:after="0"/>
              <w:rPr>
                <w:sz w:val="22"/>
                <w:szCs w:val="22"/>
                <w:color w:val="auto"/>
              </w:rPr>
            </w:pPr>
          </w:p>
        </w:tc>
        <w:tc>
          <w:tcPr>
            <w:tcW w:w="60" w:type="dxa"/>
            <w:vAlign w:val="bottom"/>
            <w:tcBorders>
              <w:bottom w:val="single" w:sz="8" w:color="155CAB"/>
            </w:tcBorders>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1520" w:type="dxa"/>
            <w:vAlign w:val="bottom"/>
            <w:tcBorders>
              <w:bottom w:val="single" w:sz="8" w:color="155CAB"/>
            </w:tcBorders>
          </w:tcPr>
          <w:p>
            <w:pPr>
              <w:jc w:val="center"/>
              <w:ind w:right="221"/>
              <w:spacing w:after="0"/>
              <w:rPr>
                <w:sz w:val="20"/>
                <w:szCs w:val="20"/>
                <w:color w:val="auto"/>
              </w:rPr>
            </w:pPr>
            <w:r>
              <w:rPr>
                <w:rFonts w:ascii="Times New Roman" w:cs="Times New Roman" w:eastAsia="Times New Roman" w:hAnsi="Times New Roman"/>
                <w:sz w:val="20"/>
                <w:szCs w:val="20"/>
                <w:b w:val="1"/>
                <w:bCs w:val="1"/>
                <w:color w:val="155CAB"/>
                <w:w w:val="99"/>
              </w:rPr>
              <w:t>2025</w:t>
            </w:r>
          </w:p>
        </w:tc>
      </w:tr>
      <w:tr>
        <w:trPr>
          <w:trHeight w:val="223"/>
        </w:trPr>
        <w:tc>
          <w:tcPr>
            <w:tcW w:w="386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Capital expenditures</w:t>
            </w:r>
          </w:p>
        </w:tc>
        <w:tc>
          <w:tcPr>
            <w:tcW w:w="3820" w:type="dxa"/>
            <w:vAlign w:val="bottom"/>
            <w:shd w:val="clear" w:color="auto" w:fill="EFEFEF"/>
          </w:tcPr>
          <w:p>
            <w:pPr>
              <w:spacing w:after="0"/>
              <w:rPr>
                <w:sz w:val="19"/>
                <w:szCs w:val="19"/>
                <w:color w:val="auto"/>
              </w:rPr>
            </w:pPr>
          </w:p>
        </w:tc>
        <w:tc>
          <w:tcPr>
            <w:tcW w:w="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4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(1,085)</w:t>
            </w:r>
          </w:p>
        </w:tc>
        <w:tc>
          <w:tcPr>
            <w:tcW w:w="120" w:type="dxa"/>
            <w:vAlign w:val="bottom"/>
            <w:shd w:val="clear" w:color="auto" w:fill="EFEFEF"/>
          </w:tcPr>
          <w:p>
            <w:pPr>
              <w:spacing w:after="0"/>
              <w:rPr>
                <w:sz w:val="19"/>
                <w:szCs w:val="19"/>
                <w:color w:val="auto"/>
              </w:rPr>
            </w:pPr>
          </w:p>
        </w:tc>
        <w:tc>
          <w:tcPr>
            <w:tcW w:w="6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52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(899)</w:t>
            </w:r>
          </w:p>
        </w:tc>
      </w:tr>
      <w:tr>
        <w:trPr>
          <w:trHeight w:val="648"/>
        </w:trPr>
        <w:tc>
          <w:tcPr>
            <w:tcW w:w="3860" w:type="dxa"/>
            <w:vAlign w:val="bottom"/>
          </w:tcPr>
          <w:p>
            <w:pPr>
              <w:spacing w:after="0"/>
              <w:rPr>
                <w:sz w:val="24"/>
                <w:szCs w:val="24"/>
                <w:color w:val="auto"/>
              </w:rPr>
            </w:pPr>
          </w:p>
        </w:tc>
        <w:tc>
          <w:tcPr>
            <w:tcW w:w="3820" w:type="dxa"/>
            <w:vAlign w:val="bottom"/>
          </w:tcPr>
          <w:p>
            <w:pPr>
              <w:jc w:val="right"/>
              <w:ind w:right="1866"/>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38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Forward-Looking Statements</w:t>
      </w:r>
    </w:p>
    <w:p>
      <w:pPr>
        <w:spacing w:after="0" w:line="220"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0"/>
          <w:szCs w:val="20"/>
          <w:color w:val="auto"/>
        </w:rPr>
        <w:t>The information in this report includes statements that are forward-looking within the meaning of the Private Securities Litigation Reform Act of 1995. Such forward-looking statements include, but are not limited to, statements that relate to expectations, beliefs, plans, assumptions, and objectives concerning future results of operations, business prospects, loads, outcome of litigation and regulatory proceedings, capital expenditures, market conditions, events or performance, and other matters. Words or phrases such as “anticipates,” “believes,” “estimates,” “expects,” “intends,” “plans,” “predicts,” “projects,” “will likely result,” “will continue,” “should,” “based on,” “conditioned upon,” “considers,” “could,” “expected,” “forecast,” “goals,” “needs,” “promises,” “subject to,” “targets,” or similar expressions are intended to identify such forward-looking statements.</w:t>
      </w:r>
    </w:p>
    <w:p>
      <w:pPr>
        <w:spacing w:after="0" w:line="18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Forward-looking statements are not guarantees of future performance and involve risks and uncertainties that could cause actual results or outcomes to differ materially from those expressed. Portland General Electric Company’s (PGE, or the Company) expectations, beliefs, and projections are expressed in good faith and are believed by the Company to have a reasonable basis including, but not limited to, management’s examination of historical operating trends and data contained either in internal records or available from third parties, but there can be no assurance that PGE’s expectations, beliefs, or projections will be achieved or accomplished.</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addition to any assumptions and other factors and matters referred to specifically in connection with forward-looking statements, risks, uncertainties and other important factors that could cause actual results or outcomes for PGE to differ materially from those discussed in such forward-looking statements include:</w:t>
      </w:r>
    </w:p>
    <w:p>
      <w:pPr>
        <w:spacing w:after="0" w:line="66" w:lineRule="exact"/>
        <w:rPr>
          <w:sz w:val="20"/>
          <w:szCs w:val="20"/>
          <w:color w:val="auto"/>
        </w:rPr>
      </w:pPr>
    </w:p>
    <w:p>
      <w:pPr>
        <w:ind w:left="760" w:right="80" w:hanging="378"/>
        <w:spacing w:after="0" w:line="245"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revised governmental policies, executive orders, legislative actions, and regulatory audits, investigations, and actions, including those of the Federal Energy Regulatory Commission (FERC), the Public Utility Commission of Oregon (OPUC), and the Internal Revenue Service (IRS), with respect to allowed rates of return, financings, electricity pricing and price structures, acquisition and disposal of facilities and other assets, construction and operation of plant facilities, transmission of electricity, recovery of power costs, operating expenses, deferrals, timely recovery of costs and capital investments, the formation of a holding company, energy trading activities, tax credits, and current or prospective wholesale and retail competition;</w:t>
      </w:r>
    </w:p>
    <w:p>
      <w:pPr>
        <w:spacing w:after="0" w:line="76" w:lineRule="exact"/>
        <w:rPr>
          <w:rFonts w:ascii="Times New Roman" w:cs="Times New Roman" w:eastAsia="Times New Roman" w:hAnsi="Times New Roman"/>
          <w:sz w:val="20"/>
          <w:szCs w:val="20"/>
          <w:color w:val="auto"/>
        </w:rPr>
      </w:pPr>
    </w:p>
    <w:p>
      <w:pPr>
        <w:ind w:left="760" w:right="120" w:hanging="378"/>
        <w:spacing w:after="0" w:line="24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associated with energy demand that differs from forecasts, including significant or accelerated load growth from new data centers and the concentration of data center load, and the ability to timely serve such growth due to regulatory proceedings, legislative actions, environmental regulations, permitting requirements, contractual limitations, or cost-allocation mechanisms applicable to large-load customer and data centers;</w:t>
      </w:r>
    </w:p>
    <w:p>
      <w:pPr>
        <w:spacing w:after="0" w:line="71" w:lineRule="exact"/>
        <w:rPr>
          <w:rFonts w:ascii="Times New Roman" w:cs="Times New Roman" w:eastAsia="Times New Roman" w:hAnsi="Times New Roman"/>
          <w:sz w:val="20"/>
          <w:szCs w:val="20"/>
          <w:color w:val="auto"/>
        </w:rPr>
      </w:pPr>
    </w:p>
    <w:p>
      <w:pPr>
        <w:ind w:left="760" w:right="100" w:hanging="378"/>
        <w:spacing w:after="0" w:line="254"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conditions that result in decreased demand for electricity, reduced revenue from sales of excess energy during periods of low wholesale market prices, impaired financial stability of vendors and service providers, and elevated levels of uncollectible customer accounts;</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to operating costs that could result from changes to trade tariffs, rising inflation, and volatility in interest rates;</w:t>
      </w:r>
    </w:p>
    <w:p>
      <w:pPr>
        <w:spacing w:after="0" w:line="107" w:lineRule="exact"/>
        <w:rPr>
          <w:rFonts w:ascii="Times New Roman" w:cs="Times New Roman" w:eastAsia="Times New Roman" w:hAnsi="Times New Roman"/>
          <w:sz w:val="20"/>
          <w:szCs w:val="20"/>
          <w:color w:val="auto"/>
        </w:rPr>
      </w:pPr>
    </w:p>
    <w:p>
      <w:pPr>
        <w:ind w:left="760" w:right="740" w:hanging="378"/>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impacts of changes in the tax code, including tax rates, minimum tax rates, adjustments made to deferred tax assets and liabilities, and changes impacting the availability of and ability to transfer tax credits;</w:t>
      </w:r>
    </w:p>
    <w:p>
      <w:pPr>
        <w:spacing w:after="0" w:line="51" w:lineRule="exact"/>
        <w:rPr>
          <w:rFonts w:ascii="Times New Roman" w:cs="Times New Roman" w:eastAsia="Times New Roman" w:hAnsi="Times New Roman"/>
          <w:sz w:val="20"/>
          <w:szCs w:val="20"/>
          <w:color w:val="auto"/>
        </w:rPr>
      </w:pPr>
    </w:p>
    <w:p>
      <w:pPr>
        <w:ind w:left="760" w:right="300" w:hanging="378"/>
        <w:spacing w:after="0" w:line="246"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and uncertainties related to the procurement of resources through current or future All-Source Request for Proposals (RFP) projects or other regulatory mechanisms, including, but not limited to regulatory processes, transmission capabilities, system interconnections, inflationary impacts, supply chain constraints, supply cost increases (including application of trade tariffs), permitting and construction delays, available tax credits, counterparty credit risk, PGE's ability to obtain financing on favorable terms, and legislative uncertainty;</w:t>
      </w:r>
    </w:p>
    <w:p>
      <w:pPr>
        <w:spacing w:after="0" w:line="76" w:lineRule="exact"/>
        <w:rPr>
          <w:rFonts w:ascii="Times New Roman" w:cs="Times New Roman" w:eastAsia="Times New Roman" w:hAnsi="Times New Roman"/>
          <w:sz w:val="20"/>
          <w:szCs w:val="20"/>
          <w:color w:val="auto"/>
        </w:rPr>
      </w:pPr>
    </w:p>
    <w:p>
      <w:pPr>
        <w:ind w:left="760" w:right="60" w:hanging="378"/>
        <w:spacing w:after="0" w:line="246"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uncertainty and changing customer preferences and choices that reduce demand for PGE's services or alter usage patterns, including variability in demand driven by weather variations, price increases, reduced consumption or load shifting resulting from energy efficiency measures or other changes in customer behavior, increased adoption of distributed and renewable generation, and an increased likelihood that customers procure electricity from alternative service providers such as registered Electricity Service Suppliers (ESSs) or through community choice aggregation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0" w:right="260" w:hanging="378"/>
        <w:spacing w:after="0" w:line="24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or outcome of legal and regulatory proceedings and issues including, but not limited to, the matters described in Regulatory Matters of the “Overview” in this Item 2, along with “Regulatory Assets and Liabilities” in Note 3, Balance Sheet Components and Note 8, Contingencies in the Notes to the Condensed Consolidated Financial Statements in Item 1.—“Financial Statements” of this Quarterly Report on Form 10-Q;</w:t>
      </w:r>
    </w:p>
    <w:p>
      <w:pPr>
        <w:spacing w:after="0" w:line="71" w:lineRule="exact"/>
        <w:rPr>
          <w:rFonts w:ascii="Times New Roman" w:cs="Times New Roman" w:eastAsia="Times New Roman" w:hAnsi="Times New Roman"/>
          <w:sz w:val="20"/>
          <w:szCs w:val="20"/>
          <w:color w:val="auto"/>
        </w:rPr>
      </w:pPr>
    </w:p>
    <w:p>
      <w:pPr>
        <w:ind w:left="760" w:right="280" w:hanging="378"/>
        <w:spacing w:after="0" w:line="24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or human-caused disasters and other risks, including, but not limited to, earthquake, flood, ice, drought, extreme heat, lightning, wind, fire, accidents, equipment failure, acts of terrorism, computer system outages, and other events that disrupt PGE operations, damage PGE facilities and systems, cause the release of harmful materials, cause fires, and subject the Company to liability;</w:t>
      </w:r>
    </w:p>
    <w:p>
      <w:pPr>
        <w:spacing w:after="0" w:line="71" w:lineRule="exact"/>
        <w:rPr>
          <w:rFonts w:ascii="Times New Roman" w:cs="Times New Roman" w:eastAsia="Times New Roman" w:hAnsi="Times New Roman"/>
          <w:sz w:val="20"/>
          <w:szCs w:val="20"/>
          <w:color w:val="auto"/>
        </w:rPr>
      </w:pPr>
    </w:p>
    <w:p>
      <w:pPr>
        <w:ind w:left="760" w:right="160" w:hanging="378"/>
        <w:spacing w:after="0" w:line="266" w:lineRule="auto"/>
        <w:tabs>
          <w:tab w:leader="none" w:pos="7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severe weather and other natural phenomena, such as the greater prevalence of wildfires in Oregon, which could affect public safety, customers’ demand for power, and PGE’s financial health and ability and cost to procure adequate power and fuel supplies to serve its customers, access the wholesale energy market, or operate its generating facilities and transmission and distribution systems, and the Company’s costs to maintain, repair, and replace such facilities and systems, and recovery of such costs;</w:t>
      </w:r>
    </w:p>
    <w:p>
      <w:pPr>
        <w:spacing w:after="0" w:line="57" w:lineRule="exact"/>
        <w:rPr>
          <w:rFonts w:ascii="Times New Roman" w:cs="Times New Roman" w:eastAsia="Times New Roman" w:hAnsi="Times New Roman"/>
          <w:sz w:val="19"/>
          <w:szCs w:val="19"/>
          <w:color w:val="auto"/>
        </w:rPr>
      </w:pPr>
    </w:p>
    <w:p>
      <w:pPr>
        <w:ind w:left="760" w:right="40" w:hanging="378"/>
        <w:spacing w:after="0" w:line="266" w:lineRule="auto"/>
        <w:tabs>
          <w:tab w:leader="none" w:pos="7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ignitions caused by PGE assets or PGE’s ability to effectively implement a public safety power shut off (PSPS) or de-energize its system in the event of heightened wildfire risk or implement effective system hardening programs, the inability of which could lead to potential liability if energized systems were involved in wildfires that cause harm, as well as the risk that damages from wildfires may not be recoverable through prices or insurance, resulting in impact to the financial condition or reputation of the Company;</w:t>
      </w:r>
    </w:p>
    <w:p>
      <w:pPr>
        <w:spacing w:after="0" w:line="57" w:lineRule="exact"/>
        <w:rPr>
          <w:rFonts w:ascii="Times New Roman" w:cs="Times New Roman" w:eastAsia="Times New Roman" w:hAnsi="Times New Roman"/>
          <w:sz w:val="19"/>
          <w:szCs w:val="19"/>
          <w:color w:val="auto"/>
        </w:rPr>
      </w:pPr>
    </w:p>
    <w:p>
      <w:pPr>
        <w:ind w:left="760" w:right="20" w:hanging="378"/>
        <w:spacing w:after="0" w:line="254"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from legislation limiting wildfire-related liability or providing a wildfire relief fund, such as negative effects on PGE’s credit rating, which could limit PGE’s ability to access capital on terms similar to past transactions or at all and could impact PGE’s liquidity, cash flows, and capital expenditure plans;</w:t>
      </w:r>
    </w:p>
    <w:p>
      <w:pPr>
        <w:spacing w:after="0" w:line="66"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factors affecting PGE’s power generating and battery storage facilities, including forced outages, fires, unscheduled delays, environmental impacts, hydro and wind conditions, and disruption of fuel supply, any of which may cause the Company to incur repair costs or purchase replacement power at increased costs;</w:t>
      </w:r>
    </w:p>
    <w:p>
      <w:pPr>
        <w:spacing w:after="0" w:line="66" w:lineRule="exact"/>
        <w:rPr>
          <w:rFonts w:ascii="Times New Roman" w:cs="Times New Roman" w:eastAsia="Times New Roman" w:hAnsi="Times New Roman"/>
          <w:sz w:val="20"/>
          <w:szCs w:val="20"/>
          <w:color w:val="auto"/>
        </w:rPr>
      </w:pPr>
    </w:p>
    <w:p>
      <w:pPr>
        <w:ind w:left="760" w:right="560" w:hanging="378"/>
        <w:spacing w:after="0" w:line="26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or nonperformance on the part of any parties from whom PGE purchases fuel, capacity, or energy, that may cause the Company to incur costs to purchase replacement power and related renewable attributes at increased costs;</w:t>
      </w:r>
    </w:p>
    <w:p>
      <w:pPr>
        <w:spacing w:after="0" w:line="51" w:lineRule="exact"/>
        <w:rPr>
          <w:rFonts w:ascii="Times New Roman" w:cs="Times New Roman" w:eastAsia="Times New Roman" w:hAnsi="Times New Roman"/>
          <w:sz w:val="20"/>
          <w:szCs w:val="20"/>
          <w:color w:val="auto"/>
        </w:rPr>
      </w:pPr>
    </w:p>
    <w:p>
      <w:pPr>
        <w:ind w:left="760" w:right="40" w:hanging="378"/>
        <w:spacing w:after="0" w:line="254"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complications arising from PGE’s jointly-owned plant, including changes in ownership, change in regulatory requirements, adverse regulatory outcomes or legislative actions, or operational failures that result in legal or environmental liabilities or unanticipated costs related to replacement power, capital improvements, repair costs, or abandoned costs;</w:t>
      </w:r>
    </w:p>
    <w:p>
      <w:pPr>
        <w:spacing w:after="0" w:line="66" w:lineRule="exact"/>
        <w:rPr>
          <w:rFonts w:ascii="Times New Roman" w:cs="Times New Roman" w:eastAsia="Times New Roman" w:hAnsi="Times New Roman"/>
          <w:sz w:val="20"/>
          <w:szCs w:val="20"/>
          <w:color w:val="auto"/>
        </w:rPr>
      </w:pPr>
    </w:p>
    <w:p>
      <w:pPr>
        <w:ind w:left="760" w:hanging="378"/>
        <w:spacing w:after="0" w:line="24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the supply chain and increased supply costs, failure to complete capital projects on schedule or within budget, failure to obtain permits, inability to complete negotiations on contracts for capital projects, failure of counterparties to perform under agreements, or the abandonment of capital projects, any of which could result in the Company’s inability to recover project costs, or impact PGE’s competitive position, market share, or results of operations in a material way;</w:t>
      </w:r>
    </w:p>
    <w:p>
      <w:pPr>
        <w:spacing w:after="0" w:line="71"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wholesale power and natural gas prices, including but not limited to volatility caused by macroeconomic and international issues, such as the escalation of US operations in the Middle East, that could require PGE to post additional collateral or issue additional letters of credit pursuant to power and natural gas purchase agreements;</w:t>
      </w:r>
    </w:p>
    <w:p>
      <w:pPr>
        <w:spacing w:after="0" w:line="66" w:lineRule="exact"/>
        <w:rPr>
          <w:rFonts w:ascii="Times New Roman" w:cs="Times New Roman" w:eastAsia="Times New Roman" w:hAnsi="Times New Roman"/>
          <w:sz w:val="20"/>
          <w:szCs w:val="20"/>
          <w:color w:val="auto"/>
        </w:rPr>
      </w:pPr>
    </w:p>
    <w:p>
      <w:pPr>
        <w:ind w:left="760" w:right="140" w:hanging="378"/>
        <w:spacing w:after="0" w:line="254"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availability and price of wholesale power and fuels, including natural gas and coal, and the impact of such changes, including the potential impact of trade tariffs and the escalation of US operations in the Middle East, on the Company’s power costs;</w:t>
      </w:r>
    </w:p>
    <w:p>
      <w:pPr>
        <w:spacing w:after="0" w:line="66" w:lineRule="exact"/>
        <w:rPr>
          <w:rFonts w:ascii="Times New Roman" w:cs="Times New Roman" w:eastAsia="Times New Roman" w:hAnsi="Times New Roman"/>
          <w:sz w:val="20"/>
          <w:szCs w:val="20"/>
          <w:color w:val="auto"/>
        </w:rPr>
      </w:pPr>
    </w:p>
    <w:p>
      <w:pPr>
        <w:ind w:left="760" w:right="20" w:hanging="378"/>
        <w:spacing w:after="0" w:line="246"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market conditions, including availability of capital, volatility of interest rates, reductions in demand for investment-grade commercial paper, volatility of equity markets as well as changes in PGE’s credit ratings, any of which could have an impact on the Company’s cost of capital and its ability to access the capital markets to support requirements for working capital, construction of capital projects, the repayments of maturing debt, and stock-based compensation plans, which are relied upon in part to retain key executives and employees;</w:t>
      </w:r>
    </w:p>
    <w:p>
      <w:pPr>
        <w:spacing w:after="0" w:line="76" w:lineRule="exact"/>
        <w:rPr>
          <w:rFonts w:ascii="Times New Roman" w:cs="Times New Roman" w:eastAsia="Times New Roman" w:hAnsi="Times New Roman"/>
          <w:sz w:val="20"/>
          <w:szCs w:val="20"/>
          <w:color w:val="auto"/>
        </w:rPr>
      </w:pPr>
    </w:p>
    <w:p>
      <w:pPr>
        <w:ind w:left="760" w:right="400" w:hanging="378"/>
        <w:spacing w:after="0" w:line="26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laws, regulations, and proceedings that could increase the Company’s costs of operating its thermal generating plants, or affect the operations of such plants by imposing requirements for additional emissions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20"/>
          <w:szCs w:val="20"/>
          <w:color w:val="auto"/>
        </w:rPr>
        <w:t>controls or significant emissions fees or taxes, particularly with respect to coal-fired generating facilities, in order to mitigate carbon dioxide, mercury, and other gas emissions;</w:t>
      </w:r>
    </w:p>
    <w:p>
      <w:pPr>
        <w:spacing w:after="0" w:line="51" w:lineRule="exact"/>
        <w:rPr>
          <w:sz w:val="20"/>
          <w:szCs w:val="20"/>
          <w:color w:val="auto"/>
        </w:rPr>
      </w:pPr>
    </w:p>
    <w:p>
      <w:pPr>
        <w:ind w:left="760" w:right="100" w:hanging="378"/>
        <w:spacing w:after="0" w:line="26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compliance with, and general uncertainty around environmental laws and policies, including those related to threatened and endangered species, fish, and wildlife;</w:t>
      </w:r>
    </w:p>
    <w:p>
      <w:pPr>
        <w:spacing w:after="0" w:line="51"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climate change, whether global or local in nature, including unseasonable or extreme weather and other natural phenomena that may affect energy costs or consumption, increase the Company’s costs, cause damage to PGE facilities and system, or adversely affect its operations;</w:t>
      </w:r>
    </w:p>
    <w:p>
      <w:pPr>
        <w:spacing w:after="0" w:line="66"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residential, commercial, or industrial customer growth, or demographic patterns, including changes in load resulting in future transmission constraints, in PGE’s service territory;</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PGE’s risk management policies and procedures;</w:t>
      </w:r>
    </w:p>
    <w:p>
      <w:pPr>
        <w:spacing w:after="0" w:line="107" w:lineRule="exact"/>
        <w:rPr>
          <w:rFonts w:ascii="Times New Roman" w:cs="Times New Roman" w:eastAsia="Times New Roman" w:hAnsi="Times New Roman"/>
          <w:sz w:val="20"/>
          <w:szCs w:val="20"/>
          <w:color w:val="auto"/>
        </w:rPr>
      </w:pPr>
    </w:p>
    <w:p>
      <w:pPr>
        <w:ind w:left="760" w:right="260" w:hanging="378"/>
        <w:spacing w:after="0" w:line="245"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attacks, data security breaches, physical attacks and security breaches, the use or misuse of artificial intelligence technologies, including AI-enabled cyberattacks, fraud, misinformation, unauthorized disclosure of sensitive information, operational errors, or other malicious acts, internally or to third parties, that cause damage to the Company’s generation, transmission, or distribution facilities, impact information technology or operational technology systems, inhibit the capability of equipment or systems to function as designed or expected, or result in the release of confidential customer, vendor, employee, or Company information;</w:t>
      </w:r>
    </w:p>
    <w:p>
      <w:pPr>
        <w:spacing w:after="0" w:line="76" w:lineRule="exact"/>
        <w:rPr>
          <w:rFonts w:ascii="Times New Roman" w:cs="Times New Roman" w:eastAsia="Times New Roman" w:hAnsi="Times New Roman"/>
          <w:sz w:val="20"/>
          <w:szCs w:val="20"/>
          <w:color w:val="auto"/>
        </w:rPr>
      </w:pPr>
    </w:p>
    <w:p>
      <w:pPr>
        <w:ind w:left="760" w:right="520" w:hanging="378"/>
        <w:spacing w:after="0" w:line="26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damage from negative publicity, protests, fines, penalties and other negative consequences resulting in regulatory and/or legal actions;</w:t>
      </w:r>
    </w:p>
    <w:p>
      <w:pPr>
        <w:spacing w:after="0" w:line="51" w:lineRule="exact"/>
        <w:rPr>
          <w:rFonts w:ascii="Times New Roman" w:cs="Times New Roman" w:eastAsia="Times New Roman" w:hAnsi="Times New Roman"/>
          <w:sz w:val="20"/>
          <w:szCs w:val="20"/>
          <w:color w:val="auto"/>
        </w:rPr>
      </w:pPr>
    </w:p>
    <w:p>
      <w:pPr>
        <w:ind w:left="760" w:right="60" w:hanging="378"/>
        <w:spacing w:after="0" w:line="246"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workforce factors, including labor strikes, work stoppages, collective bargaining negotiations that result in increased labor costs or other less favorable terms, the inability to obtain contracted workers at reasonable rates during a labor disruption, transitions in senior management, the ability to recruit and retain key employees and other talent, and turnover resulting from macroeconomic conditions such as elevated levels of voluntary resignations, any of which could increase costs and adversely affect operations and financial results;</w:t>
      </w:r>
    </w:p>
    <w:p>
      <w:pPr>
        <w:spacing w:after="0" w:line="76" w:lineRule="exact"/>
        <w:rPr>
          <w:rFonts w:ascii="Times New Roman" w:cs="Times New Roman" w:eastAsia="Times New Roman" w:hAnsi="Times New Roman"/>
          <w:sz w:val="20"/>
          <w:szCs w:val="20"/>
          <w:color w:val="auto"/>
        </w:rPr>
      </w:pPr>
    </w:p>
    <w:p>
      <w:pPr>
        <w:ind w:left="760" w:right="180" w:hanging="378"/>
        <w:spacing w:after="0" w:line="24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achieve the Company’s greenhouse gas (GHG) emission goals or being perceived to have either failed to act responsibly with respect to the environment or effectively respond to legislative requirements concerning GHG emission reductions, any of which could lead to litigation, regulatory action or adverse publicity and have adverse effects on the Company's operations and/or damage the Company's reputation;</w:t>
      </w:r>
    </w:p>
    <w:p>
      <w:pPr>
        <w:spacing w:after="0" w:line="71" w:lineRule="exact"/>
        <w:rPr>
          <w:rFonts w:ascii="Times New Roman" w:cs="Times New Roman" w:eastAsia="Times New Roman" w:hAnsi="Times New Roman"/>
          <w:sz w:val="20"/>
          <w:szCs w:val="20"/>
          <w:color w:val="auto"/>
        </w:rPr>
      </w:pPr>
    </w:p>
    <w:p>
      <w:pPr>
        <w:ind w:left="760" w:right="80" w:hanging="378"/>
        <w:spacing w:after="0" w:line="24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widespread health developments, and responses to such developments (such as voluntary and mandatory quarantines, including government stay at home orders, as well as shut downs and other restrictions on travel, commercial, social, and other activities), which could materially and adversely affect, among other things, demand for electric services, customers’ ability to pay, supply chains, personnel, contract counterparties, liquidity, and financial markets;</w:t>
      </w:r>
    </w:p>
    <w:p>
      <w:pPr>
        <w:spacing w:after="0" w:line="7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or regulatory accounting principles or policies imposed by governing bodies,</w:t>
      </w:r>
    </w:p>
    <w:p>
      <w:pPr>
        <w:spacing w:after="0" w:line="107" w:lineRule="exact"/>
        <w:rPr>
          <w:rFonts w:ascii="Times New Roman" w:cs="Times New Roman" w:eastAsia="Times New Roman" w:hAnsi="Times New Roman"/>
          <w:sz w:val="20"/>
          <w:szCs w:val="20"/>
          <w:color w:val="auto"/>
        </w:rPr>
      </w:pPr>
    </w:p>
    <w:p>
      <w:pPr>
        <w:ind w:left="760" w:right="380" w:hanging="378"/>
        <w:spacing w:after="0" w:line="295" w:lineRule="auto"/>
        <w:tabs>
          <w:tab w:leader="none" w:pos="7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acts of war, terrorism, or civil disruption, including the escalation of US operations in the Middle East, which could amplify the effects of any of the above risk factors and contribute to volatility in capital market conditions, interest rates and inflation; and</w:t>
      </w:r>
    </w:p>
    <w:p>
      <w:pPr>
        <w:spacing w:after="0" w:line="29" w:lineRule="exact"/>
        <w:rPr>
          <w:rFonts w:ascii="Times New Roman" w:cs="Times New Roman" w:eastAsia="Times New Roman" w:hAnsi="Times New Roman"/>
          <w:sz w:val="19"/>
          <w:szCs w:val="19"/>
          <w:color w:val="auto"/>
        </w:rPr>
      </w:pPr>
    </w:p>
    <w:p>
      <w:pPr>
        <w:ind w:left="760" w:right="440" w:hanging="378"/>
        <w:spacing w:after="0" w:line="254"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associated with the proposed Acquisition, including but not limited to, the expected closing of the proposed transaction and the timing thereof, the financing of the proposed transaction, strategies and plans, opportunities and anticipated future performance and capital structure, and expected accretion to earnings per share and free cash flow.</w:t>
      </w:r>
    </w:p>
    <w:p>
      <w:pPr>
        <w:spacing w:after="0" w:line="17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Additional disclosures regarding risks, uncertainties and important factors that could cause PGE’s results or performance to differ from the statements made in this report are discussed in Part I, Item 1A. “Risk Factors” of the Company’s Annual Report on Form 10-K for the year ended December 31, 2025, filed with the SEC on February 17, 2026, and in Part II, Item 1A. “Risk Factors” of this Quarterly Report on Form 10-Q.</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Any forward-looking statement speaks only as of the date on which such statement is made and, except as required by law, PGE undertakes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or assess the impact of any such factor on the business or the extent to which any factor, or combination of factors, may cause results to differ materially from those contained in any forward-looking statement.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OVERVIEW</w:t>
      </w:r>
    </w:p>
    <w:p>
      <w:pPr>
        <w:spacing w:after="0" w:line="11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 (MD&amp;A) is intended to provide an understanding of the business environment, results of operations, and financial condition of PGE. MD&amp;A should be read in conjunction with the Company’s condensed consolidated financial statements contained in this report, and other periodic and current reports filed with the SEC.</w:t>
      </w:r>
    </w:p>
    <w:p>
      <w:pPr>
        <w:spacing w:after="0" w:line="15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PGE is a vertically-integrated electric utility engaged in the generation, transmission, distribution, and retail sale of electricity in the State of Oregon (State). The Company participates in wholesale markets by purchasing and selling electricity, natural gas, and environmental credits in an effort to meet the needs of, and obtain reasonably-priced power for, its retail customers, manage risk, and administer its long-term wholesale contracts. In addition, PGE continues to develop products and service offerings for the benefit of retail and wholesale customers. The Company generates revenues and cash flows primarily from the sale and distribution of electricity to retail customers in its service territory in the State.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Strategy</w:t>
      </w:r>
    </w:p>
    <w:p>
      <w:pPr>
        <w:spacing w:after="0" w:line="11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PGE's corporate strategy places customers at the center of everything the Company does. PGE supports energizing lives, strengthening communities, and driving advancement in energy to promote social, economic, and environmental progress. With a focus on affordability, the Company continuously innovates, streamlines, and manages costs to deliver exceptional experiences for its customers. The Company is committed to delivering steady growth and returns to shareholders. The Company is building an increasingly smart, integrated, and interconnected grid that spans from residential customers to other utilities within the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PGE is focused on the following strategic imperatives:</w:t>
      </w:r>
    </w:p>
    <w:p>
      <w:pPr>
        <w:spacing w:after="0" w:line="104" w:lineRule="exact"/>
        <w:rPr>
          <w:sz w:val="20"/>
          <w:szCs w:val="20"/>
          <w:color w:val="auto"/>
        </w:rPr>
      </w:pPr>
    </w:p>
    <w:p>
      <w:pPr>
        <w:ind w:left="760" w:right="380" w:hanging="378"/>
        <w:spacing w:after="0" w:line="273" w:lineRule="auto"/>
        <w:tabs>
          <w:tab w:leader="none" w:pos="7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Decarbonize Power</w:t>
      </w:r>
      <w:r>
        <w:rPr>
          <w:rFonts w:ascii="Times New Roman" w:cs="Times New Roman" w:eastAsia="Times New Roman" w:hAnsi="Times New Roman"/>
          <w:sz w:val="20"/>
          <w:szCs w:val="20"/>
          <w:color w:val="auto"/>
        </w:rPr>
        <w:t>—make progress toward customer-driven clean energy goals by continuing to add new renewable and non-emitting resources and products to the Company's energy mix;</w:t>
      </w:r>
    </w:p>
    <w:p>
      <w:pPr>
        <w:spacing w:after="0" w:line="43" w:lineRule="exact"/>
        <w:rPr>
          <w:rFonts w:ascii="Times New Roman" w:cs="Times New Roman" w:eastAsia="Times New Roman" w:hAnsi="Times New Roman"/>
          <w:sz w:val="20"/>
          <w:szCs w:val="20"/>
          <w:color w:val="auto"/>
        </w:rPr>
      </w:pPr>
    </w:p>
    <w:p>
      <w:pPr>
        <w:jc w:val="both"/>
        <w:ind w:left="760" w:right="280" w:hanging="378"/>
        <w:spacing w:after="0" w:line="256" w:lineRule="auto"/>
        <w:tabs>
          <w:tab w:leader="none" w:pos="7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Electrify the Economy</w:t>
      </w:r>
      <w:r>
        <w:rPr>
          <w:rFonts w:ascii="Times New Roman" w:cs="Times New Roman" w:eastAsia="Times New Roman" w:hAnsi="Times New Roman"/>
          <w:sz w:val="20"/>
          <w:szCs w:val="20"/>
          <w:color w:val="auto"/>
        </w:rPr>
        <w:t>—power the lives of approximately two million residents in its service territory by supporting the region’s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economic growth industries and capturing the benefits of new technologies while serving approximately two-thirds of Oregon’s commercial and industrial activity; and</w:t>
      </w:r>
    </w:p>
    <w:p>
      <w:pPr>
        <w:spacing w:after="0" w:line="60" w:lineRule="exact"/>
        <w:rPr>
          <w:rFonts w:ascii="Times New Roman" w:cs="Times New Roman" w:eastAsia="Times New Roman" w:hAnsi="Times New Roman"/>
          <w:sz w:val="20"/>
          <w:szCs w:val="20"/>
          <w:color w:val="auto"/>
        </w:rPr>
      </w:pPr>
    </w:p>
    <w:p>
      <w:pPr>
        <w:ind w:left="760" w:right="700" w:hanging="378"/>
        <w:spacing w:after="0" w:line="273" w:lineRule="auto"/>
        <w:tabs>
          <w:tab w:leader="none" w:pos="7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Advance Performance</w:t>
      </w:r>
      <w:r>
        <w:rPr>
          <w:rFonts w:ascii="Times New Roman" w:cs="Times New Roman" w:eastAsia="Times New Roman" w:hAnsi="Times New Roman"/>
          <w:sz w:val="20"/>
          <w:szCs w:val="20"/>
          <w:color w:val="auto"/>
        </w:rPr>
        <w:t>—continue to build a safer and more reliable grid by accelerating cost-effective grid investments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modernizing transmission.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w:t>
      </w:r>
    </w:p>
    <w:p>
      <w:pPr>
        <w:spacing w:after="0" w:line="2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On February 15, 2026, PGE, through a newly formed, wholly-owned subsidiary, entered into an agreement (the “Agreement”) with PacifiCorp, an indirect subsidiary of Berkshire Hathaway Energy Company, to acquire select Washington state generation, transmission, and electric utility operations for $1.9 billion. The Acquisition would enable PGE to extend its service to approximately 140,000 Washington customers.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Under the Agreement, if the Acquisition is completed, PGE will acquire three generation facilities: the Chehalis thermal plant (477 MW), the Goodnoe Hills wind facility (94 MW), and the Marengo I and II wind facilities (234 MW). The Acquisition would also include 4,500 miles of transmission and distribution lines, and local utility operations across approximately 2,700 square miles.</w:t>
      </w:r>
    </w:p>
    <w:p>
      <w:pPr>
        <w:spacing w:after="0" w:line="174"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9"/>
          <w:szCs w:val="19"/>
          <w:color w:val="auto"/>
        </w:rPr>
        <w:t>PGE intends to manage the Washington operations as a separate company through a newly created subsidiary to be regulated by the Washington Utilities and Transportation Commission (WUTC). PGE intends to retain current Washington employees and honor existing labor agreements. PGE corporate functions are expected to provide shared support for both Washington and Oregon companies.</w:t>
      </w:r>
    </w:p>
    <w:p>
      <w:pPr>
        <w:spacing w:after="0" w:line="15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Acquisition is designed with the goal that Washington and Oregon customers would not be impacted by costs associated with executing the acquisition and transaction financing. PGE expects the Acquisition and state and federal regulatory reviews to close in approximately twelve months following the submission of regulatory applications. Regulatory applications were submitted to the WUTC and the OPUC on March 30, 2026 and April 2, 2026, respectively. On July 15, 2026, the Company, jointly with other parties, submitted an application to the FERC seeking approval of the transaction, requesting a decision by December 15, 2026.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Central to this Acquisition is PGE’s plan to enter into a joint venture with Manulife Infrastructure Fund III, L.P. and its affiliates, including John Hancock Life Insurance Company (U.S.A.), which will collectively be a minority owner of the Washington utility business. PGE would remain majority owner and sole operator.</w:t>
      </w:r>
    </w:p>
    <w:p>
      <w:pPr>
        <w:spacing w:after="0" w:line="17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For more information regarding PGE’s plans to fund its future capital requirements, including this proposed Acquisition, see “Liquidity” in the Liquidity and Capital Resources section of this Item 2. See </w:t>
      </w:r>
      <w:r>
        <w:rPr>
          <w:rFonts w:ascii="Times New Roman" w:cs="Times New Roman" w:eastAsia="Times New Roman" w:hAnsi="Times New Roman"/>
          <w:sz w:val="20"/>
          <w:szCs w:val="20"/>
          <w:i w:val="1"/>
          <w:iCs w:val="1"/>
          <w:color w:val="auto"/>
        </w:rPr>
        <w:t>"Pending Acquisition"</w:t>
      </w:r>
      <w:r>
        <w:rPr>
          <w:rFonts w:ascii="Times New Roman" w:cs="Times New Roman" w:eastAsia="Times New Roman" w:hAnsi="Times New Roman"/>
          <w:sz w:val="20"/>
          <w:szCs w:val="20"/>
          <w:color w:val="auto"/>
        </w:rPr>
        <w:t xml:space="preserve"> in Note 1, Basis of Presentation, in the Notes to Condensed Consolidated Financial Statements in Item 1.—“Financial Statements” for additional information on the pending acquisition.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Climate Change</w:t>
      </w:r>
    </w:p>
    <w:p>
      <w:pPr>
        <w:spacing w:after="0" w:line="10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State-mandated GHG emissions reduction targets</w:t>
      </w:r>
      <w:r>
        <w:rPr>
          <w:rFonts w:ascii="Times New Roman" w:cs="Times New Roman" w:eastAsia="Times New Roman" w:hAnsi="Times New Roman"/>
          <w:sz w:val="20"/>
          <w:szCs w:val="20"/>
          <w:color w:val="auto"/>
        </w:rPr>
        <w:t>—In 2021, the Oregon legislature passed House Bill (HB) 2021, establishing a 100%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clean electricity by 2040 framework for PGE and other investor-owned utilities and electric service suppliers in the State. A number of provisions in the bill align with PGE’s strategic direction and highlight Oregon’s ambitious, economy-wide goals to combat climate change. The GHG emissions reduction targets applicable to these regulated entities are an 80% reduction in GHG emissions by 2030, 90% by 2035, and 100% by 2040 and every year thereafter. For more information regarding HB 2021 and the baseline to which the target reductions apply, see </w:t>
      </w:r>
      <w:r>
        <w:rPr>
          <w:rFonts w:ascii="Times New Roman" w:cs="Times New Roman" w:eastAsia="Times New Roman" w:hAnsi="Times New Roman"/>
          <w:sz w:val="20"/>
          <w:szCs w:val="20"/>
          <w:i w:val="1"/>
          <w:iCs w:val="1"/>
          <w:color w:val="auto"/>
        </w:rPr>
        <w:t>“HB 2021”</w:t>
      </w:r>
      <w:r>
        <w:rPr>
          <w:rFonts w:ascii="Times New Roman" w:cs="Times New Roman" w:eastAsia="Times New Roman" w:hAnsi="Times New Roman"/>
          <w:sz w:val="20"/>
          <w:szCs w:val="20"/>
          <w:color w:val="auto"/>
        </w:rPr>
        <w:t xml:space="preserve"> in the “Laws and Regulations” section of this Overview.</w:t>
      </w:r>
    </w:p>
    <w:p>
      <w:pPr>
        <w:spacing w:after="0" w:line="17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Empowering customers and communities</w:t>
      </w:r>
      <w:r>
        <w:rPr>
          <w:rFonts w:ascii="Times New Roman" w:cs="Times New Roman" w:eastAsia="Times New Roman" w:hAnsi="Times New Roman"/>
          <w:sz w:val="20"/>
          <w:szCs w:val="20"/>
          <w:color w:val="auto"/>
        </w:rPr>
        <w:t>—PGE’s customers have a desire for purchasing clean energy, as over 211 thousand residential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small commercial customers voluntarily participate in PGE’s Green Future Program, the largest renewable power program by participation in the nation. In 2017, Oregon’s most populous city, Portland, and most populous county, Multnomah, each passed resolutions to achieve 100% clean and renewable electricity by 2035 and 100% economy-wide clean and renewable energy by 2050. Other jurisdictions in PGE’s service area have similar goals and continue to consider similar goals for the future.</w:t>
      </w:r>
    </w:p>
    <w:p>
      <w:pPr>
        <w:spacing w:after="0" w:line="1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implemented a customer subscription option, the Green Future Impact Program, which is a renewable energy program that allows large business and municipal customers to have a choice in how they source their electricity. Under the Green Future Impact Program, customers can enroll in a Customer-Supplied Option (CSO) or PGE-Supplied Option (PSO). Under the CSO, participants are responsible for finding a renewable energy facility that meets established requirements and bringing those resources to PGE. Under the PSO, customers who enrolled in Phase I can receive energy from PGE-provided purchased power agreements (PPAs) for renewable resources and customers who enroll in Phase II can receive energy either from PGE-provided PPAs for renewable resources or energy from renewable resources that are PGE owned, under certain conditions.</w:t>
      </w:r>
    </w:p>
    <w:p>
      <w:pPr>
        <w:spacing w:after="0" w:line="18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color w:val="auto"/>
        </w:rPr>
        <w:t>As of September 30, 2026, the Green Future Impact Program has an approved capacity of 750 m</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gawatts (MW) nameplate, of which 482 MW have been subscribed. Through this voluntary program, the Company seeks to support customers’ clean energy acceleration.</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Severe weather</w:t>
      </w:r>
      <w:r>
        <w:rPr>
          <w:rFonts w:ascii="Times New Roman" w:cs="Times New Roman" w:eastAsia="Times New Roman" w:hAnsi="Times New Roman"/>
          <w:sz w:val="20"/>
          <w:szCs w:val="20"/>
          <w:color w:val="auto"/>
        </w:rPr>
        <w:t>—In recent years, PGE’s service territory has experienced unprecedented heat, historic ice and snowstorms, and wildfires.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2025, Portland, Oregon experienced the warmest December on record, averaging six degrees above normal temperatures for the region. In January 2024, the Company’s service territory encountered a severe winter weather event, including snow, ice, and high winds that caused catastrophic damage to physical assets and resulted in widespread customer power outages. For more information regarding the January 2024 severe winter weather event, see “Declared States of Emergency” within this Overview section. In August 2023 the region experienced a record-breaking heat wave with temperatures reaching all-time recorded highs for the month. This resulted in a peak load demand of 4,498 MW, exceeding the Company’s previous all-time peak load demand, and surpassing the prior summer peak load by nearly six percent. The increase and severity of weather events highlights the importance of combating the effects of climate change through decarbonizing the power supply and investing in a more reliable and resilient grid.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Investing in a Clean Energy Future</w:t>
      </w:r>
    </w:p>
    <w:p>
      <w:pPr>
        <w:spacing w:after="0" w:line="21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Resource Planning Process</w:t>
      </w:r>
      <w:r>
        <w:rPr>
          <w:rFonts w:ascii="Times New Roman" w:cs="Times New Roman" w:eastAsia="Times New Roman" w:hAnsi="Times New Roman"/>
          <w:sz w:val="20"/>
          <w:szCs w:val="20"/>
          <w:color w:val="auto"/>
        </w:rPr>
        <w:t>—PGE’s resource planning process includes preliminary and ongoing engagement with customers,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stakeholders, regulators, and other interested parties to help inform the Company’s assessment of future energy needs and resource options. Through its Integrated Resource Plan (IRP) and Clean Energy Plan (CEP) processes, PGE evaluates multiple planning scenarios using forecasts, modeling, stakeholder input, surveys, and other available data.</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With the passage of HB 2021, PGE began preparing a CEP concurrent with its IRP to evaluate pathways for achieving Oregon's greenhouse gas emission reduction targets while maintaining an affordable and reliable electric system. PGE submitted its first combined CEP and IRP to the OPUC in 2023 and subsequently submitted a CEP/IRP Update in 2025 that refreshed forecasts, planning assumptions, and resource needs.</w:t>
      </w:r>
    </w:p>
    <w:p>
      <w:pPr>
        <w:spacing w:after="0" w:line="19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On October 15, 2026, PGE submitted its 2026 CEP/IRP to the OPUC (OPUC Docket LC 88). The filing updates the Company's assessment of future energy and capacity needs and evaluates portfolio pathways intended to support continued progress toward Oregon's clean energy requirements while maintaining affordability and reliability. The filing contemplates potential resource additions, emissions-reduction outcomes, and transmission expansion needs under two pathways. One pathway identifies a need of approximately 3,400 MW needed by 2030, and over 5,000 MW by 2032, in order to continue to serve customers reliably while making significant progress towards HB 2021 emissions reduction targets. The other pathway, which achieves Oregon's HB 2021 emissions requirements currently in effect and maintains system reliability, identifies a 2030 resource need of approximately 6,700 MW, and over 9,000 MW needed by 2032. The 2026 CEP/IRP is subject to review through the OPUC's regulatory process, which PGE currently expects to continue into 2027. The expected additions from PGE's ongoing 2025 RFP, or any other additional resource procurement activities executed subsequent to the third quarter of 2026, will satisfy a portion of the incremental resource needs under either pathway. PGE will continue to engage with customers, stakeholders, and regulators throughout that review process and cannot predict its ultimate outcome.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2023 All-Source RFP</w:t>
      </w:r>
    </w:p>
    <w:p>
      <w:pPr>
        <w:spacing w:after="0" w:line="220"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After a robust and competitive bidding, repricing, and negotiating process as part of the 2023 RFP, PGE has entered into agreements to construct two solar and battery hybrid projects for a total of 615 MW:</w:t>
      </w:r>
    </w:p>
    <w:p>
      <w:pPr>
        <w:spacing w:after="0" w:line="51" w:lineRule="exact"/>
        <w:rPr>
          <w:sz w:val="20"/>
          <w:szCs w:val="20"/>
          <w:color w:val="auto"/>
        </w:rPr>
      </w:pPr>
    </w:p>
    <w:p>
      <w:pPr>
        <w:ind w:left="1020" w:right="80" w:hanging="503"/>
        <w:spacing w:after="0" w:line="254"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Biglow Optimization—PGE entered into an agreement to construct a 125 MW solar facility and a 125 MW BESS in Sherman County, Oregon. PGE will own the resource with an investment of approximately $540 million, excluding AFUDC. The project has an estimated commercial operation date at the end of 2027.</w:t>
      </w:r>
    </w:p>
    <w:p>
      <w:pPr>
        <w:spacing w:after="0" w:line="66" w:lineRule="exact"/>
        <w:rPr>
          <w:rFonts w:ascii="Times New Roman" w:cs="Times New Roman" w:eastAsia="Times New Roman" w:hAnsi="Times New Roman"/>
          <w:sz w:val="20"/>
          <w:szCs w:val="20"/>
          <w:color w:val="auto"/>
        </w:rPr>
      </w:pPr>
    </w:p>
    <w:p>
      <w:pPr>
        <w:ind w:left="1020" w:right="100" w:hanging="503"/>
        <w:spacing w:after="0" w:line="246"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Wheatridge Expansion—PGE and NextEra Energy, Inc. entered into agreements to construct a 240 MW solar facility and a 125 MW BESS facility, located in Morrow County, Oregon. PGE will own 110 MW of solar and 65 MW of BESS production capacity with an investment of approximately $490 million, excluding AFUDC. NextEra Energy, Inc. will operate the facility, own the remaining 130 MW of solar and 60 MW of BESS production capacity and sell their portion of the output to PGE under a 30-year PPA. The project has an estimated commercial operation date at the end of 2027.</w:t>
      </w:r>
    </w:p>
    <w:p>
      <w:pPr>
        <w:spacing w:after="0" w:line="198"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These agreements represent the final procurement from the 2023 All-Source RFP. The 2023 RFP is a component of PGE’s multi-pronged procurement approach focused on customer affordability, system reliability, and decarbonization. Both the 2023 RFP reprice and the 2025 RFP disclosed below were designed to capture expiring tax credits to support customer affordability.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All-Source RFP</w:t>
      </w:r>
    </w:p>
    <w:p>
      <w:pPr>
        <w:spacing w:after="0" w:line="23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Consistent with its 2023 IRP Action Plan and CEP Update, PGE initiated the 2025 All-Source RFP to address forecasted capacity needs beginning in 2029 and advance the Company's decarbonization obligations under HB 2021.</w:t>
      </w:r>
    </w:p>
    <w:p>
      <w:pPr>
        <w:spacing w:after="0" w:line="17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Following OPUC approval on July 22, 2025, PGE issued the RFP on July 31, 2025, seeking renewable generation and non-emitting dispatchable capacity resources. The procurement was conducted under Oregon's competitive bidding rules with oversight from an OPUC-selected independent evaluator.</w:t>
      </w:r>
    </w:p>
    <w:p>
      <w:pPr>
        <w:spacing w:after="0" w:line="188"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PGE submitted its final shortlist for acknowledgment on February 17, 2026, and received OPUC acknowledgment on May 26, 2026. The final shortlist included 12 projects offering combinations of wind, solar, and battery storage resources through PPAs, storage capacity agreements, and utility ownership structures, including build-transfer agreements (BTAs), as shown in the table below:</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tcBorders>
            <w:vMerge w:val="restart"/>
          </w:tcPr>
          <w:p>
            <w:pPr>
              <w:ind w:left="780"/>
              <w:spacing w:after="0"/>
              <w:rPr>
                <w:sz w:val="20"/>
                <w:szCs w:val="20"/>
                <w:color w:val="auto"/>
              </w:rPr>
            </w:pPr>
            <w:r>
              <w:rPr>
                <w:rFonts w:ascii="Times New Roman" w:cs="Times New Roman" w:eastAsia="Times New Roman" w:hAnsi="Times New Roman"/>
                <w:sz w:val="20"/>
                <w:szCs w:val="20"/>
                <w:b w:val="1"/>
                <w:bCs w:val="1"/>
                <w:color w:val="auto"/>
              </w:rPr>
              <w:t>Project</w:t>
            </w:r>
          </w:p>
        </w:tc>
        <w:tc>
          <w:tcPr>
            <w:tcW w:w="1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Technology</w:t>
            </w: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2025 RFP Final Shortlist</w:t>
            </w:r>
          </w:p>
        </w:tc>
        <w:tc>
          <w:tcPr>
            <w:tcW w:w="1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MW</w:t>
            </w:r>
          </w:p>
        </w:tc>
        <w:tc>
          <w:tcPr>
            <w:tcW w:w="140" w:type="dxa"/>
            <w:vAlign w:val="bottom"/>
            <w:tcBorders>
              <w:top w:val="single" w:sz="8" w:color="auto"/>
            </w:tcBorders>
          </w:tcPr>
          <w:p>
            <w:pPr>
              <w:spacing w:after="0"/>
              <w:rPr>
                <w:sz w:val="19"/>
                <w:szCs w:val="19"/>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Company-owned MW</w:t>
            </w:r>
          </w:p>
        </w:tc>
        <w:tc>
          <w:tcPr>
            <w:tcW w:w="0" w:type="dxa"/>
            <w:vAlign w:val="bottom"/>
          </w:tcPr>
          <w:p>
            <w:pPr>
              <w:spacing w:after="0"/>
              <w:rPr>
                <w:sz w:val="1"/>
                <w:szCs w:val="1"/>
                <w:color w:val="auto"/>
              </w:rPr>
            </w:pPr>
          </w:p>
        </w:tc>
      </w:tr>
      <w:tr>
        <w:trPr>
          <w:trHeight w:val="250"/>
        </w:trPr>
        <w:tc>
          <w:tcPr>
            <w:tcW w:w="2140" w:type="dxa"/>
            <w:vAlign w:val="bottom"/>
            <w:tcBorders>
              <w:top w:val="single" w:sz="8" w:color="auto"/>
              <w:left w:val="single" w:sz="8" w:color="auto"/>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Borders>
              <w:top w:val="single" w:sz="8" w:color="auto"/>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Structure</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Borders>
              <w:top w:val="single" w:sz="8" w:color="auto"/>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Borders>
              <w:top w:val="single" w:sz="8" w:color="auto"/>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tcBorders>
            <w:shd w:val="clear" w:color="auto" w:fill="EFEFEF"/>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1</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Battery</w:t>
            </w:r>
          </w:p>
        </w:tc>
        <w:tc>
          <w:tcPr>
            <w:tcW w:w="140" w:type="dxa"/>
            <w:vAlign w:val="bottom"/>
            <w:shd w:val="clear" w:color="auto" w:fill="EFEFEF"/>
          </w:tcPr>
          <w:p>
            <w:pPr>
              <w:spacing w:after="0"/>
              <w:rPr>
                <w:sz w:val="19"/>
                <w:szCs w:val="19"/>
                <w:color w:val="auto"/>
              </w:rPr>
            </w:pPr>
          </w:p>
        </w:tc>
        <w:tc>
          <w:tcPr>
            <w:tcW w:w="40" w:type="dxa"/>
            <w:vAlign w:val="bottom"/>
            <w:shd w:val="clear" w:color="auto" w:fill="EFEFEF"/>
          </w:tcPr>
          <w:p>
            <w:pPr>
              <w:spacing w:after="0"/>
              <w:rPr>
                <w:sz w:val="19"/>
                <w:szCs w:val="19"/>
                <w:color w:val="auto"/>
              </w:rPr>
            </w:pPr>
          </w:p>
        </w:tc>
        <w:tc>
          <w:tcPr>
            <w:tcW w:w="2100" w:type="dxa"/>
            <w:vAlign w:val="bottom"/>
            <w:gridSpan w:val="2"/>
            <w:shd w:val="clear" w:color="auto" w:fill="EFEFEF"/>
          </w:tcPr>
          <w:p>
            <w:pPr>
              <w:jc w:val="center"/>
              <w:ind w:right="60"/>
              <w:spacing w:after="0" w:line="223" w:lineRule="exact"/>
              <w:rPr>
                <w:sz w:val="20"/>
                <w:szCs w:val="20"/>
                <w:color w:val="auto"/>
              </w:rPr>
            </w:pPr>
            <w:r>
              <w:rPr>
                <w:rFonts w:ascii="Times New Roman" w:cs="Times New Roman" w:eastAsia="Times New Roman" w:hAnsi="Times New Roman"/>
                <w:sz w:val="20"/>
                <w:szCs w:val="20"/>
                <w:color w:val="auto"/>
                <w:w w:val="98"/>
              </w:rPr>
              <w:t>PPA</w:t>
            </w:r>
          </w:p>
        </w:tc>
        <w:tc>
          <w:tcPr>
            <w:tcW w:w="2260" w:type="dxa"/>
            <w:vAlign w:val="bottom"/>
            <w:gridSpan w:val="2"/>
            <w:shd w:val="clear" w:color="auto" w:fill="EFEFEF"/>
          </w:tcPr>
          <w:p>
            <w:pPr>
              <w:jc w:val="center"/>
              <w:ind w:left="21"/>
              <w:spacing w:after="0" w:line="223" w:lineRule="exact"/>
              <w:rPr>
                <w:sz w:val="20"/>
                <w:szCs w:val="20"/>
                <w:color w:val="auto"/>
              </w:rPr>
            </w:pPr>
            <w:r>
              <w:rPr>
                <w:rFonts w:ascii="Times New Roman" w:cs="Times New Roman" w:eastAsia="Times New Roman" w:hAnsi="Times New Roman"/>
                <w:sz w:val="20"/>
                <w:szCs w:val="20"/>
                <w:color w:val="auto"/>
                <w:w w:val="99"/>
              </w:rPr>
              <w:t>185</w:t>
            </w:r>
          </w:p>
        </w:tc>
        <w:tc>
          <w:tcPr>
            <w:tcW w:w="140" w:type="dxa"/>
            <w:vAlign w:val="bottom"/>
            <w:shd w:val="clear" w:color="auto" w:fill="EFEFEF"/>
          </w:tcPr>
          <w:p>
            <w:pPr>
              <w:spacing w:after="0"/>
              <w:rPr>
                <w:sz w:val="19"/>
                <w:szCs w:val="19"/>
                <w:color w:val="auto"/>
              </w:rPr>
            </w:pPr>
          </w:p>
        </w:tc>
        <w:tc>
          <w:tcPr>
            <w:tcW w:w="2160" w:type="dxa"/>
            <w:vAlign w:val="bottom"/>
            <w:tcBorders>
              <w:right w:val="single" w:sz="8" w:color="auto"/>
            </w:tcBorders>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Battery</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PPA</w:t>
            </w:r>
          </w:p>
        </w:tc>
        <w:tc>
          <w:tcPr>
            <w:tcW w:w="22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200</w:t>
            </w:r>
          </w:p>
        </w:tc>
        <w:tc>
          <w:tcPr>
            <w:tcW w:w="1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8"/>
              </w:rPr>
              <w:t>Wind</w:t>
            </w:r>
          </w:p>
        </w:tc>
        <w:tc>
          <w:tcPr>
            <w:tcW w:w="140" w:type="dxa"/>
            <w:vAlign w:val="bottom"/>
            <w:shd w:val="clear" w:color="auto" w:fill="EFEFEF"/>
          </w:tcPr>
          <w:p>
            <w:pPr>
              <w:spacing w:after="0"/>
              <w:rPr>
                <w:sz w:val="19"/>
                <w:szCs w:val="19"/>
                <w:color w:val="auto"/>
              </w:rPr>
            </w:pPr>
          </w:p>
        </w:tc>
        <w:tc>
          <w:tcPr>
            <w:tcW w:w="40" w:type="dxa"/>
            <w:vAlign w:val="bottom"/>
            <w:shd w:val="clear" w:color="auto" w:fill="EFEFEF"/>
          </w:tcPr>
          <w:p>
            <w:pPr>
              <w:spacing w:after="0"/>
              <w:rPr>
                <w:sz w:val="19"/>
                <w:szCs w:val="19"/>
                <w:color w:val="auto"/>
              </w:rPr>
            </w:pPr>
          </w:p>
        </w:tc>
        <w:tc>
          <w:tcPr>
            <w:tcW w:w="2100" w:type="dxa"/>
            <w:vAlign w:val="bottom"/>
            <w:gridSpan w:val="2"/>
            <w:shd w:val="clear" w:color="auto" w:fill="EFEFEF"/>
          </w:tcPr>
          <w:p>
            <w:pPr>
              <w:jc w:val="center"/>
              <w:ind w:right="60"/>
              <w:spacing w:after="0"/>
              <w:rPr>
                <w:sz w:val="20"/>
                <w:szCs w:val="20"/>
                <w:color w:val="auto"/>
              </w:rPr>
            </w:pPr>
            <w:r>
              <w:rPr>
                <w:rFonts w:ascii="Times New Roman" w:cs="Times New Roman" w:eastAsia="Times New Roman" w:hAnsi="Times New Roman"/>
                <w:sz w:val="20"/>
                <w:szCs w:val="20"/>
                <w:color w:val="auto"/>
                <w:w w:val="98"/>
              </w:rPr>
              <w:t>PPA</w:t>
            </w:r>
          </w:p>
        </w:tc>
        <w:tc>
          <w:tcPr>
            <w:tcW w:w="2260" w:type="dxa"/>
            <w:vAlign w:val="bottom"/>
            <w:gridSpan w:val="2"/>
            <w:shd w:val="clear" w:color="auto" w:fill="EFEFEF"/>
          </w:tcPr>
          <w:p>
            <w:pPr>
              <w:jc w:val="center"/>
              <w:ind w:left="21"/>
              <w:spacing w:after="0"/>
              <w:rPr>
                <w:sz w:val="20"/>
                <w:szCs w:val="20"/>
                <w:color w:val="auto"/>
              </w:rPr>
            </w:pPr>
            <w:r>
              <w:rPr>
                <w:rFonts w:ascii="Times New Roman" w:cs="Times New Roman" w:eastAsia="Times New Roman" w:hAnsi="Times New Roman"/>
                <w:sz w:val="20"/>
                <w:szCs w:val="20"/>
                <w:color w:val="auto"/>
                <w:w w:val="99"/>
              </w:rPr>
              <w:t>560</w:t>
            </w:r>
          </w:p>
        </w:tc>
        <w:tc>
          <w:tcPr>
            <w:tcW w:w="140" w:type="dxa"/>
            <w:vAlign w:val="bottom"/>
            <w:shd w:val="clear" w:color="auto" w:fill="EFEFEF"/>
          </w:tcPr>
          <w:p>
            <w:pPr>
              <w:spacing w:after="0"/>
              <w:rPr>
                <w:sz w:val="19"/>
                <w:szCs w:val="19"/>
                <w:color w:val="auto"/>
              </w:rPr>
            </w:pPr>
          </w:p>
        </w:tc>
        <w:tc>
          <w:tcPr>
            <w:tcW w:w="2160" w:type="dxa"/>
            <w:vAlign w:val="bottom"/>
            <w:tcBorders>
              <w:right w:val="single" w:sz="8" w:color="auto"/>
            </w:tcBorders>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Solar</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PPA</w:t>
            </w:r>
          </w:p>
        </w:tc>
        <w:tc>
          <w:tcPr>
            <w:tcW w:w="22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100</w:t>
            </w:r>
          </w:p>
        </w:tc>
        <w:tc>
          <w:tcPr>
            <w:tcW w:w="1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8"/>
              </w:rPr>
              <w:t>Wind</w:t>
            </w:r>
          </w:p>
        </w:tc>
        <w:tc>
          <w:tcPr>
            <w:tcW w:w="140" w:type="dxa"/>
            <w:vAlign w:val="bottom"/>
            <w:shd w:val="clear" w:color="auto" w:fill="EFEFEF"/>
          </w:tcPr>
          <w:p>
            <w:pPr>
              <w:spacing w:after="0"/>
              <w:rPr>
                <w:sz w:val="19"/>
                <w:szCs w:val="19"/>
                <w:color w:val="auto"/>
              </w:rPr>
            </w:pPr>
          </w:p>
        </w:tc>
        <w:tc>
          <w:tcPr>
            <w:tcW w:w="40" w:type="dxa"/>
            <w:vAlign w:val="bottom"/>
            <w:shd w:val="clear" w:color="auto" w:fill="EFEFEF"/>
          </w:tcPr>
          <w:p>
            <w:pPr>
              <w:spacing w:after="0"/>
              <w:rPr>
                <w:sz w:val="19"/>
                <w:szCs w:val="19"/>
                <w:color w:val="auto"/>
              </w:rPr>
            </w:pPr>
          </w:p>
        </w:tc>
        <w:tc>
          <w:tcPr>
            <w:tcW w:w="2100" w:type="dxa"/>
            <w:vAlign w:val="bottom"/>
            <w:gridSpan w:val="2"/>
            <w:shd w:val="clear" w:color="auto" w:fill="EFEFEF"/>
          </w:tcPr>
          <w:p>
            <w:pPr>
              <w:jc w:val="center"/>
              <w:ind w:right="60"/>
              <w:spacing w:after="0"/>
              <w:rPr>
                <w:sz w:val="20"/>
                <w:szCs w:val="20"/>
                <w:color w:val="auto"/>
              </w:rPr>
            </w:pPr>
            <w:r>
              <w:rPr>
                <w:rFonts w:ascii="Times New Roman" w:cs="Times New Roman" w:eastAsia="Times New Roman" w:hAnsi="Times New Roman"/>
                <w:sz w:val="20"/>
                <w:szCs w:val="20"/>
                <w:color w:val="auto"/>
                <w:w w:val="98"/>
              </w:rPr>
              <w:t>PPA</w:t>
            </w:r>
          </w:p>
        </w:tc>
        <w:tc>
          <w:tcPr>
            <w:tcW w:w="2260" w:type="dxa"/>
            <w:vAlign w:val="bottom"/>
            <w:gridSpan w:val="2"/>
            <w:shd w:val="clear" w:color="auto" w:fill="EFEFEF"/>
          </w:tcPr>
          <w:p>
            <w:pPr>
              <w:jc w:val="center"/>
              <w:ind w:left="21"/>
              <w:spacing w:after="0"/>
              <w:rPr>
                <w:sz w:val="20"/>
                <w:szCs w:val="20"/>
                <w:color w:val="auto"/>
              </w:rPr>
            </w:pPr>
            <w:r>
              <w:rPr>
                <w:rFonts w:ascii="Times New Roman" w:cs="Times New Roman" w:eastAsia="Times New Roman" w:hAnsi="Times New Roman"/>
                <w:sz w:val="20"/>
                <w:szCs w:val="20"/>
                <w:color w:val="auto"/>
                <w:w w:val="99"/>
              </w:rPr>
              <w:t>103</w:t>
            </w:r>
          </w:p>
        </w:tc>
        <w:tc>
          <w:tcPr>
            <w:tcW w:w="140" w:type="dxa"/>
            <w:vAlign w:val="bottom"/>
            <w:shd w:val="clear" w:color="auto" w:fill="EFEFEF"/>
          </w:tcPr>
          <w:p>
            <w:pPr>
              <w:spacing w:after="0"/>
              <w:rPr>
                <w:sz w:val="19"/>
                <w:szCs w:val="19"/>
                <w:color w:val="auto"/>
              </w:rPr>
            </w:pPr>
          </w:p>
        </w:tc>
        <w:tc>
          <w:tcPr>
            <w:tcW w:w="2160" w:type="dxa"/>
            <w:vAlign w:val="bottom"/>
            <w:tcBorders>
              <w:right w:val="single" w:sz="8" w:color="auto"/>
            </w:tcBorders>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Solar, Battery</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Hybrid</w:t>
            </w:r>
          </w:p>
        </w:tc>
        <w:tc>
          <w:tcPr>
            <w:tcW w:w="22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800</w:t>
            </w:r>
          </w:p>
        </w:tc>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400</w:t>
            </w: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9"/>
              </w:rPr>
              <w:t>Wind, Battery, Solar</w:t>
            </w:r>
          </w:p>
        </w:tc>
        <w:tc>
          <w:tcPr>
            <w:tcW w:w="140" w:type="dxa"/>
            <w:vAlign w:val="bottom"/>
            <w:shd w:val="clear" w:color="auto" w:fill="EFEFEF"/>
          </w:tcPr>
          <w:p>
            <w:pPr>
              <w:spacing w:after="0"/>
              <w:rPr>
                <w:sz w:val="19"/>
                <w:szCs w:val="19"/>
                <w:color w:val="auto"/>
              </w:rPr>
            </w:pPr>
          </w:p>
        </w:tc>
        <w:tc>
          <w:tcPr>
            <w:tcW w:w="40" w:type="dxa"/>
            <w:vAlign w:val="bottom"/>
            <w:shd w:val="clear" w:color="auto" w:fill="EFEFEF"/>
          </w:tcPr>
          <w:p>
            <w:pPr>
              <w:spacing w:after="0"/>
              <w:rPr>
                <w:sz w:val="19"/>
                <w:szCs w:val="19"/>
                <w:color w:val="auto"/>
              </w:rPr>
            </w:pPr>
          </w:p>
        </w:tc>
        <w:tc>
          <w:tcPr>
            <w:tcW w:w="2100" w:type="dxa"/>
            <w:vAlign w:val="bottom"/>
            <w:gridSpan w:val="2"/>
            <w:shd w:val="clear" w:color="auto" w:fill="EFEFEF"/>
          </w:tcPr>
          <w:p>
            <w:pPr>
              <w:jc w:val="center"/>
              <w:ind w:right="60"/>
              <w:spacing w:after="0"/>
              <w:rPr>
                <w:sz w:val="20"/>
                <w:szCs w:val="20"/>
                <w:color w:val="auto"/>
              </w:rPr>
            </w:pPr>
            <w:r>
              <w:rPr>
                <w:rFonts w:ascii="Times New Roman" w:cs="Times New Roman" w:eastAsia="Times New Roman" w:hAnsi="Times New Roman"/>
                <w:sz w:val="20"/>
                <w:szCs w:val="20"/>
                <w:color w:val="auto"/>
                <w:w w:val="98"/>
              </w:rPr>
              <w:t>Hybrid</w:t>
            </w:r>
          </w:p>
        </w:tc>
        <w:tc>
          <w:tcPr>
            <w:tcW w:w="2260" w:type="dxa"/>
            <w:vAlign w:val="bottom"/>
            <w:gridSpan w:val="2"/>
            <w:shd w:val="clear" w:color="auto" w:fill="EFEFEF"/>
          </w:tcPr>
          <w:p>
            <w:pPr>
              <w:jc w:val="center"/>
              <w:ind w:left="21"/>
              <w:spacing w:after="0"/>
              <w:rPr>
                <w:sz w:val="20"/>
                <w:szCs w:val="20"/>
                <w:color w:val="auto"/>
              </w:rPr>
            </w:pPr>
            <w:r>
              <w:rPr>
                <w:rFonts w:ascii="Times New Roman" w:cs="Times New Roman" w:eastAsia="Times New Roman" w:hAnsi="Times New Roman"/>
                <w:sz w:val="20"/>
                <w:szCs w:val="20"/>
                <w:color w:val="auto"/>
                <w:w w:val="99"/>
              </w:rPr>
              <w:t>800</w:t>
            </w:r>
          </w:p>
        </w:tc>
        <w:tc>
          <w:tcPr>
            <w:tcW w:w="2300" w:type="dxa"/>
            <w:vAlign w:val="bottom"/>
            <w:tcBorders>
              <w:right w:val="single" w:sz="8" w:color="auto"/>
            </w:tcBorders>
            <w:gridSpan w:val="2"/>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9"/>
              </w:rPr>
              <w:t>375</w:t>
            </w: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8</w:t>
            </w:r>
          </w:p>
        </w:tc>
        <w:tc>
          <w:tcPr>
            <w:tcW w:w="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Solar, Battery</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BTA</w:t>
            </w:r>
          </w:p>
        </w:tc>
        <w:tc>
          <w:tcPr>
            <w:tcW w:w="22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450</w:t>
            </w:r>
          </w:p>
        </w:tc>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450</w:t>
            </w: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8"/>
              </w:rPr>
              <w:t>Solar, Battery</w:t>
            </w:r>
          </w:p>
        </w:tc>
        <w:tc>
          <w:tcPr>
            <w:tcW w:w="140" w:type="dxa"/>
            <w:vAlign w:val="bottom"/>
            <w:shd w:val="clear" w:color="auto" w:fill="EFEFEF"/>
          </w:tcPr>
          <w:p>
            <w:pPr>
              <w:spacing w:after="0"/>
              <w:rPr>
                <w:sz w:val="19"/>
                <w:szCs w:val="19"/>
                <w:color w:val="auto"/>
              </w:rPr>
            </w:pPr>
          </w:p>
        </w:tc>
        <w:tc>
          <w:tcPr>
            <w:tcW w:w="40" w:type="dxa"/>
            <w:vAlign w:val="bottom"/>
            <w:shd w:val="clear" w:color="auto" w:fill="EFEFEF"/>
          </w:tcPr>
          <w:p>
            <w:pPr>
              <w:spacing w:after="0"/>
              <w:rPr>
                <w:sz w:val="19"/>
                <w:szCs w:val="19"/>
                <w:color w:val="auto"/>
              </w:rPr>
            </w:pPr>
          </w:p>
        </w:tc>
        <w:tc>
          <w:tcPr>
            <w:tcW w:w="2100" w:type="dxa"/>
            <w:vAlign w:val="bottom"/>
            <w:gridSpan w:val="2"/>
            <w:shd w:val="clear" w:color="auto" w:fill="EFEFEF"/>
          </w:tcPr>
          <w:p>
            <w:pPr>
              <w:jc w:val="center"/>
              <w:ind w:right="60"/>
              <w:spacing w:after="0"/>
              <w:rPr>
                <w:sz w:val="20"/>
                <w:szCs w:val="20"/>
                <w:color w:val="auto"/>
              </w:rPr>
            </w:pPr>
            <w:r>
              <w:rPr>
                <w:rFonts w:ascii="Times New Roman" w:cs="Times New Roman" w:eastAsia="Times New Roman" w:hAnsi="Times New Roman"/>
                <w:sz w:val="20"/>
                <w:szCs w:val="20"/>
                <w:color w:val="auto"/>
                <w:w w:val="99"/>
              </w:rPr>
              <w:t>BTA</w:t>
            </w:r>
          </w:p>
        </w:tc>
        <w:tc>
          <w:tcPr>
            <w:tcW w:w="2260" w:type="dxa"/>
            <w:vAlign w:val="bottom"/>
            <w:gridSpan w:val="2"/>
            <w:shd w:val="clear" w:color="auto" w:fill="EFEFEF"/>
          </w:tcPr>
          <w:p>
            <w:pPr>
              <w:jc w:val="center"/>
              <w:ind w:left="21"/>
              <w:spacing w:after="0"/>
              <w:rPr>
                <w:sz w:val="20"/>
                <w:szCs w:val="20"/>
                <w:color w:val="auto"/>
              </w:rPr>
            </w:pPr>
            <w:r>
              <w:rPr>
                <w:rFonts w:ascii="Times New Roman" w:cs="Times New Roman" w:eastAsia="Times New Roman" w:hAnsi="Times New Roman"/>
                <w:sz w:val="20"/>
                <w:szCs w:val="20"/>
                <w:color w:val="auto"/>
                <w:w w:val="99"/>
              </w:rPr>
              <w:t>400</w:t>
            </w:r>
          </w:p>
        </w:tc>
        <w:tc>
          <w:tcPr>
            <w:tcW w:w="2300" w:type="dxa"/>
            <w:vAlign w:val="bottom"/>
            <w:tcBorders>
              <w:right w:val="single" w:sz="8" w:color="auto"/>
            </w:tcBorders>
            <w:gridSpan w:val="2"/>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9"/>
              </w:rPr>
              <w:t>400</w:t>
            </w: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Battery</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BTA</w:t>
            </w:r>
          </w:p>
        </w:tc>
        <w:tc>
          <w:tcPr>
            <w:tcW w:w="22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100</w:t>
            </w:r>
          </w:p>
        </w:tc>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8"/>
              </w:rPr>
              <w:t>Battery</w:t>
            </w:r>
          </w:p>
        </w:tc>
        <w:tc>
          <w:tcPr>
            <w:tcW w:w="140" w:type="dxa"/>
            <w:vAlign w:val="bottom"/>
            <w:shd w:val="clear" w:color="auto" w:fill="EFEFEF"/>
          </w:tcPr>
          <w:p>
            <w:pPr>
              <w:spacing w:after="0"/>
              <w:rPr>
                <w:sz w:val="19"/>
                <w:szCs w:val="19"/>
                <w:color w:val="auto"/>
              </w:rPr>
            </w:pPr>
          </w:p>
        </w:tc>
        <w:tc>
          <w:tcPr>
            <w:tcW w:w="40" w:type="dxa"/>
            <w:vAlign w:val="bottom"/>
            <w:shd w:val="clear" w:color="auto" w:fill="EFEFEF"/>
          </w:tcPr>
          <w:p>
            <w:pPr>
              <w:spacing w:after="0"/>
              <w:rPr>
                <w:sz w:val="19"/>
                <w:szCs w:val="19"/>
                <w:color w:val="auto"/>
              </w:rPr>
            </w:pPr>
          </w:p>
        </w:tc>
        <w:tc>
          <w:tcPr>
            <w:tcW w:w="2100" w:type="dxa"/>
            <w:vAlign w:val="bottom"/>
            <w:gridSpan w:val="2"/>
            <w:shd w:val="clear" w:color="auto" w:fill="EFEFEF"/>
          </w:tcPr>
          <w:p>
            <w:pPr>
              <w:jc w:val="center"/>
              <w:ind w:right="60"/>
              <w:spacing w:after="0"/>
              <w:rPr>
                <w:sz w:val="20"/>
                <w:szCs w:val="20"/>
                <w:color w:val="auto"/>
              </w:rPr>
            </w:pPr>
            <w:r>
              <w:rPr>
                <w:rFonts w:ascii="Times New Roman" w:cs="Times New Roman" w:eastAsia="Times New Roman" w:hAnsi="Times New Roman"/>
                <w:sz w:val="20"/>
                <w:szCs w:val="20"/>
                <w:color w:val="auto"/>
                <w:w w:val="99"/>
              </w:rPr>
              <w:t>BTA</w:t>
            </w:r>
          </w:p>
        </w:tc>
        <w:tc>
          <w:tcPr>
            <w:tcW w:w="2260" w:type="dxa"/>
            <w:vAlign w:val="bottom"/>
            <w:gridSpan w:val="2"/>
            <w:shd w:val="clear" w:color="auto" w:fill="EFEFEF"/>
          </w:tcPr>
          <w:p>
            <w:pPr>
              <w:jc w:val="center"/>
              <w:ind w:left="21"/>
              <w:spacing w:after="0"/>
              <w:rPr>
                <w:sz w:val="20"/>
                <w:szCs w:val="20"/>
                <w:color w:val="auto"/>
              </w:rPr>
            </w:pPr>
            <w:r>
              <w:rPr>
                <w:rFonts w:ascii="Times New Roman" w:cs="Times New Roman" w:eastAsia="Times New Roman" w:hAnsi="Times New Roman"/>
                <w:sz w:val="20"/>
                <w:szCs w:val="20"/>
                <w:color w:val="auto"/>
                <w:w w:val="99"/>
              </w:rPr>
              <w:t>200</w:t>
            </w:r>
          </w:p>
        </w:tc>
        <w:tc>
          <w:tcPr>
            <w:tcW w:w="2300" w:type="dxa"/>
            <w:vAlign w:val="bottom"/>
            <w:tcBorders>
              <w:right w:val="single" w:sz="8" w:color="auto"/>
            </w:tcBorders>
            <w:gridSpan w:val="2"/>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w w:val="99"/>
              </w:rPr>
              <w:t>200</w:t>
            </w:r>
          </w:p>
        </w:tc>
        <w:tc>
          <w:tcPr>
            <w:tcW w:w="0" w:type="dxa"/>
            <w:vAlign w:val="bottom"/>
          </w:tcPr>
          <w:p>
            <w:pPr>
              <w:spacing w:after="0"/>
              <w:rPr>
                <w:sz w:val="1"/>
                <w:szCs w:val="1"/>
                <w:color w:val="auto"/>
              </w:rPr>
            </w:pPr>
          </w:p>
        </w:tc>
      </w:tr>
      <w:tr>
        <w:trPr>
          <w:trHeight w:val="229"/>
        </w:trPr>
        <w:tc>
          <w:tcPr>
            <w:tcW w:w="214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Solar, Battery</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PPA</w:t>
            </w:r>
          </w:p>
        </w:tc>
        <w:tc>
          <w:tcPr>
            <w:tcW w:w="2260" w:type="dxa"/>
            <w:vAlign w:val="bottom"/>
            <w:tcBorders>
              <w:bottom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900</w:t>
            </w: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a competitive bidding and negotiation process, PGE has executed an agreement for one project on the final shortlist:</w:t>
      </w:r>
    </w:p>
    <w:p>
      <w:pPr>
        <w:spacing w:after="0" w:line="148" w:lineRule="exact"/>
        <w:rPr>
          <w:sz w:val="20"/>
          <w:szCs w:val="20"/>
          <w:color w:val="auto"/>
        </w:rPr>
      </w:pPr>
    </w:p>
    <w:p>
      <w:pPr>
        <w:ind w:left="1020" w:right="80" w:hanging="503"/>
        <w:spacing w:after="0" w:line="249" w:lineRule="auto"/>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Biglow Optimization Phase 2— In October 2026, PGE entered into a build transfer agreement to acquire a 200 MW solar facility and a 250 MW BESS in Sherman County, Oregon. PGE expects to own the resource, representing an investment of approximately $900 million, excluding AFUDC. The project has an estimated commercial operation date at the end of 2029 and is expected to qualify for ITCs.</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PGE continues to evaluate and negotiate with projects on the final shortlist, prioritizing those that include renewable generation and that have a viable pathway to achieve commercial operations within the 2028–2030 eligibility period. However, interconnection, transmission, permitting, and other development constraints have materially reduced the number of viable projects, with several facing potential delays into the 2030s.</w:t>
      </w:r>
    </w:p>
    <w:p>
      <w:pPr>
        <w:spacing w:after="0" w:line="1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Consequently, PGE expects the 2025 RFP to deliver fewer resources than originally anticipated and is pursuing complementary procurement pathways to address the resulting resource gap. PGE believes these resource acquisition opportunities are capable of providing renewable energy and dependable capacity within the identified need period, subject to applicable regulatory approvals.</w:t>
      </w:r>
    </w:p>
    <w:p>
      <w:pPr>
        <w:spacing w:after="0" w:line="18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Together, these procurement activities reflect PGE's diversified approach to meeting growing customer demand, maintaining system reliability, advancing decarbonization objectives, and managing customer costs. The ultimate outcome of the RFP process, or any other additional resource procurement activities outside of the RFP, may involve the selection of multiple projects for both renewable and non-emitting dispatchable capacity resources, which PGE expects will be approximately 2,500 MWs in total.</w:t>
      </w:r>
    </w:p>
    <w:p>
      <w:pPr>
        <w:spacing w:after="0" w:line="193" w:lineRule="exact"/>
        <w:rPr>
          <w:sz w:val="20"/>
          <w:szCs w:val="20"/>
          <w:color w:val="auto"/>
        </w:rPr>
      </w:pPr>
    </w:p>
    <w:p>
      <w:pPr>
        <w:ind w:right="1420"/>
        <w:spacing w:after="0" w:line="269" w:lineRule="auto"/>
        <w:rPr>
          <w:sz w:val="20"/>
          <w:szCs w:val="20"/>
          <w:color w:val="auto"/>
        </w:rPr>
      </w:pPr>
      <w:r>
        <w:rPr>
          <w:rFonts w:ascii="Times New Roman" w:cs="Times New Roman" w:eastAsia="Times New Roman" w:hAnsi="Times New Roman"/>
          <w:sz w:val="20"/>
          <w:szCs w:val="20"/>
          <w:color w:val="auto"/>
        </w:rPr>
        <w:t>Additional information regarding the 2025 All-Source RFP is available in OPUC Docket UM 2371 on the OPUC website at www.oregon.gov/puc.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Procurement Activities</w:t>
      </w:r>
    </w:p>
    <w:p>
      <w:pPr>
        <w:spacing w:after="0" w:line="23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In parallel with its competitive RFP processes, PGE is advancing additional resource acquisitions through bilateral agreements and other regulatory pathways to address identified capacity and renewable energy needs.</w:t>
      </w:r>
    </w:p>
    <w:p>
      <w:pPr>
        <w:spacing w:after="0" w:line="38" w:lineRule="exact"/>
        <w:rPr>
          <w:sz w:val="20"/>
          <w:szCs w:val="20"/>
          <w:color w:val="auto"/>
        </w:rPr>
      </w:pPr>
    </w:p>
    <w:p>
      <w:pPr>
        <w:ind w:left="1020" w:right="20" w:hanging="503"/>
        <w:spacing w:after="0" w:line="254" w:lineRule="auto"/>
        <w:tabs>
          <w:tab w:leader="none" w:pos="10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Meadowlark BESS—a 20-year storage capacity agreement for a 200 MW BESS located in Washington County, Oregon. This project will be owned by Copenhagen Infrastructure Partners, LLC and has an estimated commercial operation date at the end of 2027.</w:t>
      </w:r>
    </w:p>
    <w:p>
      <w:pPr>
        <w:spacing w:after="0" w:line="66" w:lineRule="exact"/>
        <w:rPr>
          <w:rFonts w:ascii="Times New Roman" w:cs="Times New Roman" w:eastAsia="Times New Roman" w:hAnsi="Times New Roman"/>
          <w:sz w:val="20"/>
          <w:szCs w:val="20"/>
          <w:color w:val="auto"/>
        </w:rPr>
      </w:pPr>
    </w:p>
    <w:p>
      <w:pPr>
        <w:ind w:left="1020" w:right="300" w:hanging="503"/>
        <w:spacing w:after="0" w:line="254" w:lineRule="auto"/>
        <w:tabs>
          <w:tab w:leader="none" w:pos="10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Nottingham BESS—a 20-year storage capacity agreement for a 200 MW BESS located in Washington County, Oregon. This project has an estimated commercial operation date in 2028. OPUC approved PGE’s requested waiver of the competitive bidding rules on August 18, 2026.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20" w:right="140" w:hanging="503"/>
        <w:spacing w:after="0" w:line="259" w:lineRule="auto"/>
        <w:tabs>
          <w:tab w:leader="none" w:pos="10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Salmonfly Solar &amp; BESS—PGE has entered into a build transfer agreement to acquire a proposed 199 MW solar facility and a 199 MW BESS in Jefferson County, Oregon, located on the Confederated Tribes of Warm Springs (CTWS) Reservation, representing an investment of approximately $853 million, excluding AFUDC. The project has an estimated commercial operation date at the end of 2029 and is expected to qualify for ITCs. Salmonfly builds on PGE's longstanding partnership with CTWS through the jointly owned Pelton Round Butte Hydroelectric Project. Salmonfly provides a near-term opportunity to secure renewable energy capacity within the identified need period that was not available through the 2025 RFP. This project remains subject to OPUC process as detailed in PGE's request for a waiver to the competitive bidding rules.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Transmission Upgrades</w:t>
      </w:r>
    </w:p>
    <w:p>
      <w:pPr>
        <w:spacing w:after="0" w:line="11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In alignment with local and regional transmission plans, the 2023 IRP Action Plan, and CEP Update, PGE is evaluating and implementing upgrades to existing transmission resources and expansions of current transmission networks. Transmission resource actions are intended to alleviate congestion, improve regional adequacy and reliability, enable decarbonization goals, and address growing customer demand.</w:t>
      </w:r>
    </w:p>
    <w:p>
      <w:pPr>
        <w:spacing w:after="0" w:line="1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 xml:space="preserve">In May 2024, PGE signed a non-binding memorandum of understanding in the development of the North Plains Connector, an approximately 415-mile, high-voltage direct-current (HVDC) transmission line to be constructed with endpoints near Bismarck, North Dakota and Colstrip, Montana. The parties entered negotiations with the United States Department of Energy (U.S. DOE) to finalize the project objectives, terms, and conditions, including the Company’s participation, which is expected to involve a 20% ownership share of the approximately $3.2 billion total investment of the project. In August 2024, the project was awarded a $700 million grant from the U.S. DOE’s Grid Resilience and Innovation Partnerships (GRIP) program to further support its development and would reduce the overall total investment of the project. A portion of the GRIP funding is also allocated to assess upgrades to the Colstrip Transmission System. See </w:t>
      </w:r>
      <w:r>
        <w:rPr>
          <w:rFonts w:ascii="Times New Roman" w:cs="Times New Roman" w:eastAsia="Times New Roman" w:hAnsi="Times New Roman"/>
          <w:sz w:val="19"/>
          <w:szCs w:val="19"/>
          <w:i w:val="1"/>
          <w:iCs w:val="1"/>
          <w:color w:val="auto"/>
        </w:rPr>
        <w:t>“Federal Grants”</w:t>
      </w:r>
      <w:r>
        <w:rPr>
          <w:rFonts w:ascii="Times New Roman" w:cs="Times New Roman" w:eastAsia="Times New Roman" w:hAnsi="Times New Roman"/>
          <w:sz w:val="19"/>
          <w:szCs w:val="19"/>
          <w:color w:val="auto"/>
        </w:rPr>
        <w:t xml:space="preserve"> in the Laws and Regulations section of this Overview for further discussion over the impacts of Federal grants and effect of Presidential executive orders.</w:t>
      </w:r>
    </w:p>
    <w:p>
      <w:pPr>
        <w:spacing w:after="0" w:line="173"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The North Plains Connector would be the nation’s first HVDC transmission connection among three regional U.S. electric energy markets, providing additional flexibility and the sharing of resources across multiple time zones. PGE's resource planning process indicates the need for transmission to provide additional transfer capacity, access to diverse energy resources and enhanced wholesale markets, and ease congestion on the existing western transmission system. PGE continues to explore the North Plains Connector as a resource to help meet those load-service needs.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The U.S. DOE selected the Confederated Tribes of Warm Springs (CTWS), with PGE as a subrecipient under the grant, for a $250 million grant to upgrade the existing 230 kV Bethel-Round Butte Transmission line to 500 kV. The project (Warm Springs Power Pathway) will accelerate the development of transmission capacity, enabling new generation in Central and Eastern Oregon to reach customer demand loads in Western Oregon. The added capacity and associated upgrades will also increase resiliency of the transmission system as well as resiliency of the CTWS communities by increasing resources available to the CTWS to support economic growth opportunities. See </w:t>
      </w:r>
      <w:r>
        <w:rPr>
          <w:rFonts w:ascii="Times New Roman" w:cs="Times New Roman" w:eastAsia="Times New Roman" w:hAnsi="Times New Roman"/>
          <w:sz w:val="20"/>
          <w:szCs w:val="20"/>
          <w:i w:val="1"/>
          <w:iCs w:val="1"/>
          <w:color w:val="auto"/>
        </w:rPr>
        <w:t>“Federal Grants”</w:t>
      </w:r>
      <w:r>
        <w:rPr>
          <w:rFonts w:ascii="Times New Roman" w:cs="Times New Roman" w:eastAsia="Times New Roman" w:hAnsi="Times New Roman"/>
          <w:sz w:val="20"/>
          <w:szCs w:val="20"/>
          <w:color w:val="auto"/>
        </w:rPr>
        <w:t xml:space="preserve"> in the Laws and Regulations section of this Overview for further discussion over the impacts of Federal grants.</w:t>
      </w:r>
    </w:p>
    <w:p>
      <w:pPr>
        <w:spacing w:after="0" w:line="18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Building a resilient grid</w:t>
      </w:r>
      <w:r>
        <w:rPr>
          <w:rFonts w:ascii="Times New Roman" w:cs="Times New Roman" w:eastAsia="Times New Roman" w:hAnsi="Times New Roman"/>
          <w:sz w:val="20"/>
          <w:szCs w:val="20"/>
          <w:color w:val="auto"/>
        </w:rPr>
        <w:t>—To serve communities with clean energy, PGE’s grid of the future will need to be smart and adaptive. Highlights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PGE’s key investments and plans for building a resilient grid include:</w:t>
      </w:r>
    </w:p>
    <w:p>
      <w:pPr>
        <w:spacing w:after="0" w:line="44" w:lineRule="exact"/>
        <w:rPr>
          <w:sz w:val="20"/>
          <w:szCs w:val="20"/>
          <w:color w:val="auto"/>
        </w:rPr>
      </w:pPr>
    </w:p>
    <w:p>
      <w:pPr>
        <w:ind w:left="760" w:right="20" w:hanging="378"/>
        <w:spacing w:after="0" w:line="243" w:lineRule="auto"/>
        <w:tabs>
          <w:tab w:leader="none" w:pos="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Wildfire Mitigation</w:t>
      </w:r>
      <w:r>
        <w:rPr>
          <w:rFonts w:ascii="Times New Roman" w:cs="Times New Roman" w:eastAsia="Times New Roman" w:hAnsi="Times New Roman"/>
          <w:sz w:val="20"/>
          <w:szCs w:val="20"/>
          <w:color w:val="auto"/>
        </w:rPr>
        <w:t>—PGE has a Wildfire Mitigation Program under which an annual Wildfire Mitigation Plan (WMP) is developed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submitted to the OPUC, as required by State law, to coordinate activities across the Company and with State-wide stakeholders. In December 2025, PGE filed its 2026-2028 Wildfire Mitigation Plan, which forecasts $47 to $50 million annually in operations and maintenance costs and an additional $70 to $84 million annually in capital investments, for the 2026-2028 period, to continue system hardening efforts, expand situational awareness capabilities, implement specific inspection and maintenance along with vegetation management, raise community and customer awareness, and take operational actions within high fire risk zones. PGE strives to improve regional safety by mitigating the risk that PGE’s electric utility infrastructure could cause a wildfire, while limiting the impacts of PSPS events and other mitigation activities on customers and increasing the resiliency of PGE assets to wildfire damage. In the nine months ended September 30, 2026, PGE invested $59 million in capital projects related to wildfire mitigation and resiliency and utility asset management.</w:t>
      </w:r>
    </w:p>
    <w:p>
      <w:pPr>
        <w:spacing w:after="0" w:line="74" w:lineRule="exact"/>
        <w:rPr>
          <w:rFonts w:ascii="Times New Roman" w:cs="Times New Roman" w:eastAsia="Times New Roman" w:hAnsi="Times New Roman"/>
          <w:sz w:val="20"/>
          <w:szCs w:val="20"/>
          <w:color w:val="auto"/>
        </w:rPr>
      </w:pPr>
    </w:p>
    <w:p>
      <w:pPr>
        <w:ind w:left="760" w:right="660" w:hanging="378"/>
        <w:spacing w:after="0" w:line="273" w:lineRule="auto"/>
        <w:tabs>
          <w:tab w:leader="none" w:pos="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Virtual Power Plant (VPP)</w:t>
      </w:r>
      <w:r>
        <w:rPr>
          <w:rFonts w:ascii="Times New Roman" w:cs="Times New Roman" w:eastAsia="Times New Roman" w:hAnsi="Times New Roman"/>
          <w:sz w:val="20"/>
          <w:szCs w:val="20"/>
          <w:color w:val="auto"/>
        </w:rPr>
        <w:t>—PGE’s VPP is comprised of Distributed Energy Resources and flexible loads that are managed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technology platforms to provide grid and power operations services. PGE’s customer offerings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0" w:right="100"/>
        <w:spacing w:after="0" w:line="244" w:lineRule="auto"/>
        <w:rPr>
          <w:sz w:val="20"/>
          <w:szCs w:val="20"/>
          <w:color w:val="auto"/>
        </w:rPr>
      </w:pPr>
      <w:r>
        <w:rPr>
          <w:rFonts w:ascii="Times New Roman" w:cs="Times New Roman" w:eastAsia="Times New Roman" w:hAnsi="Times New Roman"/>
          <w:sz w:val="20"/>
          <w:szCs w:val="20"/>
          <w:color w:val="auto"/>
        </w:rPr>
        <w:t>related to flexible load programs, rooftop solar, battery storage, and electric vehicle (EV) charging solutions support grid reliability and increase portfolio flexibility and resource diversity. When coordinated through the Company’s Distributed Energy Resources Management Systems, these resources can be forecasted, dispatched, and measured to support grid reliability and decarbonization goals, advance customer and community energy resiliency, promote customer engagement with the energy system, and unlock additional grid services that enhance PGE’s operation of a dynamic two-way system. As PGE integrates technologies to increase orchestration of these resources, they continue to contribute to reliability and help reduce customer exposure to scarcity pricing in energy markets, benefiting participating and non-participating customers.</w:t>
      </w:r>
    </w:p>
    <w:p>
      <w:pPr>
        <w:spacing w:after="0" w:line="74" w:lineRule="exact"/>
        <w:rPr>
          <w:sz w:val="20"/>
          <w:szCs w:val="20"/>
          <w:color w:val="auto"/>
        </w:rPr>
      </w:pPr>
    </w:p>
    <w:p>
      <w:pPr>
        <w:ind w:left="760" w:right="60" w:hanging="378"/>
        <w:spacing w:after="0" w:line="247"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Grid Enhancing Technologies (GETs)</w:t>
      </w:r>
      <w:r>
        <w:rPr>
          <w:rFonts w:ascii="Times New Roman" w:cs="Times New Roman" w:eastAsia="Times New Roman" w:hAnsi="Times New Roman"/>
          <w:sz w:val="20"/>
          <w:szCs w:val="20"/>
          <w:color w:val="auto"/>
        </w:rPr>
        <w:t>—Network upgrades or non-wires solutions are important strategies that offer improvements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can unlock capacity on existing transmission paths in the region. GETs include advanced conductors and coatings, topological optimization, and dynamic line ratings. PGE is actively incorporating GETs across its system to further increase the performance of new and existing transmission assets. These efforts, when deployed across a number of areas and assets, have the potential to add incremental capacity to the grid at lower costs.</w:t>
      </w:r>
    </w:p>
    <w:p>
      <w:pPr>
        <w:spacing w:after="0" w:line="72" w:lineRule="exact"/>
        <w:rPr>
          <w:rFonts w:ascii="Times New Roman" w:cs="Times New Roman" w:eastAsia="Times New Roman" w:hAnsi="Times New Roman"/>
          <w:sz w:val="20"/>
          <w:szCs w:val="20"/>
          <w:color w:val="auto"/>
        </w:rPr>
      </w:pPr>
    </w:p>
    <w:p>
      <w:pPr>
        <w:ind w:left="760" w:right="40" w:hanging="378"/>
        <w:spacing w:after="0" w:line="245"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Distribution System Plan (DSP)</w:t>
      </w:r>
      <w:r>
        <w:rPr>
          <w:rFonts w:ascii="Times New Roman" w:cs="Times New Roman" w:eastAsia="Times New Roman" w:hAnsi="Times New Roman"/>
          <w:sz w:val="20"/>
          <w:szCs w:val="20"/>
          <w:color w:val="auto"/>
        </w:rPr>
        <w:t>—In 2021 and 2022, PGE filed its inaugural DSP in two parts, which were accepted by the OPUC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2022 and 2023, respectively. The OPUC Staff finalized their review of modifications to the current DSP guidelines in the fourth quarter of 2024 and PGE filed its next DSP in December 2024. The DSP outlines distribution system assets, describes how the Company plans for new load, including distributed resources such as EVs and rooftop solar installations, and presents the vision for modernizing the grid to enable accelerated decarbonization and customer participation in demonstrating continual progress towards PGE’s clean energy goals. For further information on recovery of costs related to the DSP, see </w:t>
      </w:r>
      <w:r>
        <w:rPr>
          <w:rFonts w:ascii="Times New Roman" w:cs="Times New Roman" w:eastAsia="Times New Roman" w:hAnsi="Times New Roman"/>
          <w:sz w:val="20"/>
          <w:szCs w:val="20"/>
          <w:i w:val="1"/>
          <w:iCs w:val="1"/>
          <w:color w:val="auto"/>
        </w:rPr>
        <w:t>“DSP recovery mechanism”</w:t>
      </w:r>
      <w:r>
        <w:rPr>
          <w:rFonts w:ascii="Times New Roman" w:cs="Times New Roman" w:eastAsia="Times New Roman" w:hAnsi="Times New Roman"/>
          <w:sz w:val="20"/>
          <w:szCs w:val="20"/>
          <w:color w:val="auto"/>
        </w:rPr>
        <w:t xml:space="preserve"> in the Regulatory Matters section of this Overview.</w:t>
      </w:r>
    </w:p>
    <w:p>
      <w:pPr>
        <w:spacing w:after="0" w:line="179"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Electrify the economy</w:t>
      </w:r>
      <w:r>
        <w:rPr>
          <w:rFonts w:ascii="Times New Roman" w:cs="Times New Roman" w:eastAsia="Times New Roman" w:hAnsi="Times New Roman"/>
          <w:sz w:val="20"/>
          <w:szCs w:val="20"/>
          <w:color w:val="auto"/>
        </w:rPr>
        <w:t>—To help Oregon reach its decarbonization goals, PGE is committed to increasing electrification of buildings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supporting vehicle electrification for customers.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Transportation electrification (TE) is one of the most significant ways to reduce GHG emissions in Oregon. PGE is engaged with customers and communities to manage EV charging load, develop infrastructure projects aimed at improving accessibility to EV charging stations, build electric fleet partnerships, and offer programs to support customers’ transitions to TE.</w:t>
      </w:r>
    </w:p>
    <w:p>
      <w:pPr>
        <w:spacing w:after="0" w:line="17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In December 2025, the OPUC accepted PGE's 2026-2028 TE Plan. The plan considers current and planned activities, along with forecasted EV loads for the 2026-2028 period, with expected capital expenditures to be approximately $11 million.</w:t>
      </w:r>
    </w:p>
    <w:p>
      <w:pPr>
        <w:spacing w:after="0" w:line="15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PGE continues to pursue advanced technologies to enhance the grid, pursue energy storage, and develop microgrids and the use of data and analytics to better predict demand and support energy-saving customer programs.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Laws and Regulations</w:t>
      </w:r>
    </w:p>
    <w:p>
      <w:pPr>
        <w:spacing w:after="0" w:line="10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Trade Tariffs</w:t>
      </w:r>
      <w:r>
        <w:rPr>
          <w:rFonts w:ascii="Times New Roman" w:cs="Times New Roman" w:eastAsia="Times New Roman" w:hAnsi="Times New Roman"/>
          <w:sz w:val="20"/>
          <w:szCs w:val="20"/>
          <w:color w:val="auto"/>
        </w:rPr>
        <w:t>—U.S. trade policy and tariff measures continue to evolve through a combination of existing and newly implemented tariff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programs, ongoing litigation, and potential future trade actions. These evolving measures may increase the cost of raw materials and equipment, disrupt global supply chains, and contribute to volatility in commodity, capital, and credit markets. The cost of steel utility poles, meters, transformers, and specialized electrical equipment, among other items, may increase, which could affect materials and supplies balances and increase capital projects costs. Similarly, procurement costs may rise and lead times may lengthen for necessary components in resources considered for acquisition in PGE’s All-Source RFPs. For further information on the Company’s RFPs, see “</w:t>
      </w:r>
      <w:r>
        <w:rPr>
          <w:rFonts w:ascii="Times New Roman" w:cs="Times New Roman" w:eastAsia="Times New Roman" w:hAnsi="Times New Roman"/>
          <w:sz w:val="20"/>
          <w:szCs w:val="20"/>
          <w:i w:val="1"/>
          <w:iCs w:val="1"/>
          <w:color w:val="auto"/>
        </w:rPr>
        <w:t>The Resource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Planning Process” </w:t>
      </w:r>
      <w:r>
        <w:rPr>
          <w:rFonts w:ascii="Times New Roman" w:cs="Times New Roman" w:eastAsia="Times New Roman" w:hAnsi="Times New Roman"/>
          <w:sz w:val="20"/>
          <w:szCs w:val="20"/>
          <w:color w:val="auto"/>
        </w:rPr>
        <w:t>in the Investing in a Clean Energy Future section of this Overview. Although PGE does not expect a material impact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its Canadian natural gas imports from existing Canada-related policies and tariffs, future trade actions involving Canada could affect commodity markets, supply chains, or procurement costs. Evolving tariff policies affecting particular countries and product categories, as well as the possibility of additional trade measures, have increased uncertainty regarding future equipment costs and supply availability. The Company is unable to reasonably estimate the effects of the rapidly changing trade tariff landscape, as those effects could include project delays and cost increases, and present obstacles to PGE’s strategic plan execution, capital investments, and resource development initiatives. PGE is closely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monitoring the impacts of trade tariffs and the potential effect they may have on the Company’s financial position, results of operations, or cash flows.</w:t>
      </w:r>
    </w:p>
    <w:p>
      <w:pPr>
        <w:spacing w:after="0" w:line="15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Federal Grants</w:t>
      </w:r>
      <w:r>
        <w:rPr>
          <w:rFonts w:ascii="Times New Roman" w:cs="Times New Roman" w:eastAsia="Times New Roman" w:hAnsi="Times New Roman"/>
          <w:sz w:val="19"/>
          <w:szCs w:val="19"/>
          <w:color w:val="auto"/>
        </w:rPr>
        <w:t>—PGE continues to evaluate opportunities on behalf of customers to leverage state, federal, and private foundation funding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programs to offset the cost of projects. These projects target improvements in electrical system reliability and resiliency, wildfire situational awareness and mitigation, greater communications capabilities, advancements in customer usage analytics using artificial intelligence, renewable resources and advanced electrical grid support, hydro generation operations, and regional transmission capacity constraints.</w:t>
      </w:r>
    </w:p>
    <w:p>
      <w:pPr>
        <w:spacing w:after="0" w:line="16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In October 2025, PGE received notice from the U.S. DOE of the termination of four federal grants that originally planned to provide $61 million in federal reimbursement over the life of the grants. PGE has incurred an immaterial amount of costs for projects associated with the terminated grants and does not expect the termination process to result in a material impact on the Company’s financial position and results of operations. The U.S. DOE has subsequently communicated the potential to reinstate financial assistance related to PGE’s Grid Edge Devices grant, which would provide approximately $45 million in total funding. PGE is evaluating the terms and considerations associated with reinstatement of the grant.</w:t>
      </w:r>
    </w:p>
    <w:p>
      <w:pPr>
        <w:spacing w:after="0" w:line="18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 xml:space="preserve">PGE has been awarded, either as a direct recipient or subrecipient, five additional grants totaling approximately $252 million. These grants remain in various stages of execution, with the largest being the Warm Springs Power Pathway. PGE continues to monitor these grants for potential modification or termination but has not received any formal notice of termination. To date, PGE has incurred only immaterial costs related to these grants. See </w:t>
      </w:r>
      <w:r>
        <w:rPr>
          <w:rFonts w:ascii="Times New Roman" w:cs="Times New Roman" w:eastAsia="Times New Roman" w:hAnsi="Times New Roman"/>
          <w:sz w:val="20"/>
          <w:szCs w:val="20"/>
          <w:i w:val="1"/>
          <w:iCs w:val="1"/>
          <w:color w:val="auto"/>
        </w:rPr>
        <w:t>“Transmission Upgrades”</w:t>
      </w:r>
      <w:r>
        <w:rPr>
          <w:rFonts w:ascii="Times New Roman" w:cs="Times New Roman" w:eastAsia="Times New Roman" w:hAnsi="Times New Roman"/>
          <w:sz w:val="20"/>
          <w:szCs w:val="20"/>
          <w:color w:val="auto"/>
        </w:rPr>
        <w:t xml:space="preserve"> in the Investing in a Clean Energy Future section of this Overview for further discussion on the Warm Springs Power Pathway grant. The Company cannot predict the ultimate timing and success of securing funding from federal programs or predict the outcome of existing grants.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Inflation Reduction Act of 2022 (IRA)</w:t>
      </w:r>
      <w:r>
        <w:rPr>
          <w:rFonts w:ascii="Times New Roman" w:cs="Times New Roman" w:eastAsia="Times New Roman" w:hAnsi="Times New Roman"/>
          <w:sz w:val="20"/>
          <w:szCs w:val="20"/>
          <w:color w:val="auto"/>
        </w:rPr>
        <w:t>—The IRA was signed into law in 2022. The United States Treasury and the IRS released extensive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rules addressing credit transfer eligibility and application, including but not limited to, required registration, filing, and documentation for transferors and transferees to elect and claim a credit transfer.</w:t>
      </w:r>
    </w:p>
    <w:p>
      <w:pPr>
        <w:spacing w:after="0" w:line="173"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9"/>
          <w:szCs w:val="19"/>
          <w:color w:val="auto"/>
        </w:rPr>
        <w:t>In 2024, PGE received approval from the OPUC to transfer PTCs generated in 2024 and 2025 and to record any difference between the full value and the discounted value in a property balancing account. On April 15, 2026, PGE received approval from the OPUC to transfer PTCs generated in 2026 and 2027 and to record any difference between the full value and the discounted value in a property balancing account.</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PGE has entered into agreements to transfer tax credits and transferred $23 million and $153 million, net of discounts, for cash proceeds in the first nine months of 2026 and 2025, respectively. PGE transferred tax credits, net of discounts, of $179 million in 2025. For the remainder of 2026, the Company expects to generate and transfer approximately $15 million of additional tax credits, net of discounts.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The One Big Beautiful Bill Act (OBBBA)</w:t>
      </w:r>
      <w:r>
        <w:rPr>
          <w:rFonts w:ascii="Times New Roman" w:cs="Times New Roman" w:eastAsia="Times New Roman" w:hAnsi="Times New Roman"/>
          <w:sz w:val="19"/>
          <w:szCs w:val="19"/>
          <w:color w:val="auto"/>
        </w:rPr>
        <w:t>—The OBBBA significantly amended or repealed several renewable-energy tax incentives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originally enacted under the IRA. Projects previously placed in service that met applicable tax credit qualification requirements received PTC or ITC benefits, which are reflected in the Company’s condensed consolidated financial statements. The transferability of tax credits, as provided under the IRA, also remains in effect. In August 2025, the U.S. Treasury issued a notice for establishing the beginning of construction for wind and solar projects. The notice required large projects to satisfy a physical-work test after September 2, 2025, eliminated certain inventory-procurement safe harbors, and accelerated the placed in service deadline to December 31, 2027. A subsequent court ruling invalidated the August 2025 notice, although debate continues as to the repercussions. Since the effect of the court ruling on the Company remains unclear, PGE has not changed its method of determining qualifying projects, treating them as if the notice remains in effect.</w:t>
      </w:r>
    </w:p>
    <w:p>
      <w:pPr>
        <w:spacing w:after="0" w:line="17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These changes, together with the repeal of the permanent ten percent ITC, as outlined in the OBBBA, are expected to reduce or eliminate the availability of renewable energy tax incentives on future projects.</w:t>
      </w:r>
    </w:p>
    <w:p>
      <w:pPr>
        <w:spacing w:after="0" w:line="155"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i w:val="1"/>
          <w:iCs w:val="1"/>
          <w:color w:val="auto"/>
        </w:rPr>
        <w:t>“The Resource Planning Process”</w:t>
      </w:r>
      <w:r>
        <w:rPr>
          <w:rFonts w:ascii="Times New Roman" w:cs="Times New Roman" w:eastAsia="Times New Roman" w:hAnsi="Times New Roman"/>
          <w:sz w:val="20"/>
          <w:szCs w:val="20"/>
          <w:color w:val="auto"/>
        </w:rPr>
        <w:t xml:space="preserve"> in the Investing in a Clean Energy Future section of this Overview for information regarding the impact of the OBBBA on the RFP process.</w:t>
      </w:r>
    </w:p>
    <w:p>
      <w:pPr>
        <w:spacing w:after="0" w:line="1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HB 2021</w:t>
      </w:r>
      <w:r>
        <w:rPr>
          <w:rFonts w:ascii="Times New Roman" w:cs="Times New Roman" w:eastAsia="Times New Roman" w:hAnsi="Times New Roman"/>
          <w:sz w:val="20"/>
          <w:szCs w:val="20"/>
          <w:color w:val="auto"/>
        </w:rPr>
        <w:t>—Among other things, HB 2021 requires retail electricity providers to reduce GHG emissions associated with serving Oregon retail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electricity consumers to certain targets: 80% reduction by 2030; 90% by 2035; and 100% by 2040,</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compared to a baseline emission level. The baseline emission level is calculated for each provider by using average annual emissions associated with power generated and purchased for retail load for the years 2010 through 2012.</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HB 2021 requires utilities to develop a CEP for meeting the reduction targets, concurrent with each IRP. In reviewing a CEP, the OPUC must ensure that utilities take actions as soon as practicable that facilitate rapid reduction of GHG emissions, demonstrate continual progress toward meeting the targets, and create a plan that is in the public interest. Further, the CEP must result in an affordable, reliable, and clean electric system. The law does not require particular GHG percentage reductions be attained until 2030. The law contains affordability and reliability related provisions that can slow or pause compliance with the GHG targets, if implicated. The OPUC has a current open docket, UM 2273, in which provisions regarding the cost cap are being investigated. In addition, a rulemaking docket, AR 685, seeks to develop a framework around the components and calculation of the cost cap, including costs already incurred in compliance.</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 separate law adopted in 2009 requires retail electricity providers to report annually to the Oregon Department of Environmental Quality (ODEQ) the GHG emissions associated with electricity used to serve retail customers. The OPUC must use the data reported to the ODEQ to determine whether the GHG targets have been met.</w:t>
      </w:r>
    </w:p>
    <w:p>
      <w:pPr>
        <w:spacing w:after="0" w:line="17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RPS standards and related laws</w:t>
      </w:r>
      <w:r>
        <w:rPr>
          <w:rFonts w:ascii="Times New Roman" w:cs="Times New Roman" w:eastAsia="Times New Roman" w:hAnsi="Times New Roman"/>
          <w:sz w:val="20"/>
          <w:szCs w:val="20"/>
          <w:color w:val="auto"/>
        </w:rPr>
        <w:t>—In 2016, Oregon Senate Bill (SB) 1547 increased the 2007 benchmarks for the percentage of electricity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must come from renewable sources by dates certain and required the elimination of coal as a fuel for generation of electricity used to serve Oregon utility customers on or before January 1, 2030, although an exception in the law may extend this date five years for the output of Colstrip Units 3 and 4 coal-fired generating plant (Colstrip).</w:t>
      </w:r>
    </w:p>
    <w:p>
      <w:pPr>
        <w:spacing w:after="0" w:line="18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Company has a 20% ownership share in Colstrip and has fully depreciated the facility as of December 31, 2025. Any capital spending after 2025 is expected to be fully depreciated within the year of spending. The forecasted annual revenue requirement for Colstrip, including depreciation, is updated annually in a separate, supplemental tariff and recovery of power cost related items is sought annually under the AUT. In order to meet PGE’s regulatory, legislative, and reliability requirements, the Company continues to evaluate its ongoing ownership interest in Colstrip.</w:t>
      </w:r>
    </w:p>
    <w:p>
      <w:pPr>
        <w:spacing w:after="0" w:line="1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Any reduction in generation from Colstrip has the potential to provide additional capacity availability on the Colstrip transmission facilities, which stretch from eastern Montana to near the western end of that state to serve markets in the Pacific Northwest and neighboring states. PGE has an approximate 15% ownership interest in, and capacity on, the Colstrip transmission facilities. See the Investing in a Clean Energy Future section of this Overview for information regarding development in eastern Montana.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provisions of SB 1547:</w:t>
      </w:r>
    </w:p>
    <w:p>
      <w:pPr>
        <w:spacing w:after="0" w:line="108" w:lineRule="exact"/>
        <w:rPr>
          <w:sz w:val="20"/>
          <w:szCs w:val="20"/>
          <w:color w:val="auto"/>
        </w:rPr>
      </w:pPr>
    </w:p>
    <w:p>
      <w:pPr>
        <w:ind w:left="760" w:right="300" w:hanging="378"/>
        <w:spacing w:after="0" w:line="269" w:lineRule="auto"/>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established RPS thresholds of 27% by 2025, 35% by 2030, 45% by 2035, and 50% by 2040, for the percentage of electricity that must come from renewable sources;</w:t>
      </w:r>
    </w:p>
    <w:p>
      <w:pPr>
        <w:spacing w:after="0" w:line="51" w:lineRule="exact"/>
        <w:rPr>
          <w:rFonts w:ascii="Times New Roman" w:cs="Times New Roman" w:eastAsia="Times New Roman" w:hAnsi="Times New Roman"/>
          <w:sz w:val="20"/>
          <w:szCs w:val="20"/>
          <w:color w:val="auto"/>
        </w:rPr>
      </w:pPr>
    </w:p>
    <w:p>
      <w:pPr>
        <w:ind w:left="760" w:right="260" w:hanging="378"/>
        <w:spacing w:after="0" w:line="254" w:lineRule="auto"/>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the life of renewable energy credits (RECs) generated from facilities that become operational after 2022 to five years, but continue unlimited lifespan for all existing RECs and allow for the generation of additional unlimited RECs for a period of five years for projects online before December 31, 2022; and</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opportunity to pursue recovery of energy storage costs related to renewable energy in the Company’s RAC filings.</w:t>
      </w:r>
    </w:p>
    <w:p>
      <w:pPr>
        <w:spacing w:after="0" w:line="216"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During the second quarter of 2026, the Company submitted its RPS report for 2025, which indicated that the Company met the threshold for 2025. The OPUC found the Company in compliance for 2025 on September 15, 2026, through Order 26-345. PGE believes it is on track to meet the RPS threshold for 2026.</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HB 3179</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 response to increasing utility bills and concerns about affordability, the Oregon Legislature in 2025 passed HB 3179.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provisions of the legislation, the OPUC shall balance the interests of the utility investor and the consumer by considering the cumulative economic impact of the proposed price or schedule of prices on the electric or natural gas company’s residential customers. Electric or natural gas companies are required to file a multi-year rate plan (MRP) on a regular interval that is no less than three and no more than seven years long. The OPUC issued Order 26-191 on May 26, 2026, that began formal rulemaking in docket AR 677. In the proposed rules identified in Order 26-191, the OPUC is seeking to establish an initial filing schedule for MRPs, which calls for PGE to file its first MRP no earlier than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May 1, 2029 and no later than July 31, 2029. The OPUC has also opened a docket, AR 676, as a multi-phased rulemaking to establish the MRP framework with a target to complete the framework in early 2027.</w:t>
      </w:r>
    </w:p>
    <w:p>
      <w:pPr>
        <w:spacing w:after="0" w:line="15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Under rules made effective March 19, 2026, each electric and natural gas company is required to, at least annually by December 31, file with the OPUC, and make publicly available, a report on any price adjustments that the electric or natural gas company expects within the next twelve months. Such report, must identify all price adjustment requests that an electric or natural gas company has filed or reasonably knows or anticipates to file. Any increase in residential prices may not take effect from November 1 to March 31.</w:t>
      </w:r>
    </w:p>
    <w:p>
      <w:pPr>
        <w:spacing w:after="0" w:line="17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United States Environmental Protection Agency (EPA) Regulations for Electric Generating Facilities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 2024, the EPA released final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regulations pertaining to electric generation facilities. The regulations included:</w:t>
      </w:r>
    </w:p>
    <w:p>
      <w:pPr>
        <w:spacing w:after="0" w:line="48" w:lineRule="exact"/>
        <w:rPr>
          <w:sz w:val="20"/>
          <w:szCs w:val="20"/>
          <w:color w:val="auto"/>
        </w:rPr>
      </w:pPr>
    </w:p>
    <w:p>
      <w:pPr>
        <w:ind w:left="760" w:right="160" w:hanging="378"/>
        <w:spacing w:after="0" w:line="269" w:lineRule="auto"/>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GHG regulations under section 111 of the Clean Air Act (CAA) for new, modified, and reconstructed fossil fuel-fired combustion turbines and for existing fossil fuel-fired steam generating units, including coal-based units;</w:t>
      </w:r>
    </w:p>
    <w:p>
      <w:pPr>
        <w:spacing w:after="0" w:line="51" w:lineRule="exact"/>
        <w:rPr>
          <w:rFonts w:ascii="Times New Roman" w:cs="Times New Roman" w:eastAsia="Times New Roman" w:hAnsi="Times New Roman"/>
          <w:sz w:val="20"/>
          <w:szCs w:val="20"/>
          <w:color w:val="auto"/>
        </w:rPr>
      </w:pPr>
    </w:p>
    <w:p>
      <w:pPr>
        <w:ind w:left="760" w:right="180" w:hanging="378"/>
        <w:spacing w:after="0" w:line="254" w:lineRule="auto"/>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Supplemental Effluent Limitations Guidelines and Standards for the Steam Electric Power Generating Point Source Category (the ELG Rule), which applies to wastewater discharges from coal-based generating units and establishes pollution control requirements, building upon the 2015 and 2020 ELG Rules; and</w:t>
      </w:r>
    </w:p>
    <w:p>
      <w:pPr>
        <w:spacing w:after="0" w:line="66" w:lineRule="exact"/>
        <w:rPr>
          <w:rFonts w:ascii="Times New Roman" w:cs="Times New Roman" w:eastAsia="Times New Roman" w:hAnsi="Times New Roman"/>
          <w:sz w:val="20"/>
          <w:szCs w:val="20"/>
          <w:color w:val="auto"/>
        </w:rPr>
      </w:pPr>
    </w:p>
    <w:p>
      <w:pPr>
        <w:ind w:left="760" w:right="460" w:hanging="378"/>
        <w:spacing w:after="0" w:line="269" w:lineRule="auto"/>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Updated Mercury and Air Toxics Standards (MATS), pursuant to section 112 of the CAA, which established revised emission standards for filterable particulate matter at existing coal fired generating units.</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In April 2025, the President issued a proclamation, </w:t>
      </w:r>
      <w:r>
        <w:rPr>
          <w:rFonts w:ascii="Times New Roman" w:cs="Times New Roman" w:eastAsia="Times New Roman" w:hAnsi="Times New Roman"/>
          <w:sz w:val="20"/>
          <w:szCs w:val="20"/>
          <w:i w:val="1"/>
          <w:iCs w:val="1"/>
          <w:color w:val="auto"/>
        </w:rPr>
        <w:t>Regulatory Relief for Certain Stationary Sources to Promote American Energy</w:t>
      </w:r>
      <w:r>
        <w:rPr>
          <w:rFonts w:ascii="Times New Roman" w:cs="Times New Roman" w:eastAsia="Times New Roman" w:hAnsi="Times New Roman"/>
          <w:sz w:val="20"/>
          <w:szCs w:val="20"/>
          <w:color w:val="auto"/>
        </w:rPr>
        <w:t>, granting a two-year compliance exemption pursuant to CAA section 112(i)(4) from specified requirements of the 2024 MATS amendments. Colstrip subsequently received an exemption from the otherwise applicable July 8, 2027 compliance date through July 8, 2029, and environmental groups filed court challenges to the exemptions. In February 2026, the EPA finalized repeal of the relevant 2024 MATS amendments effective April 27, 2026. That repeal has subsequently been challenged in litigation. The practical significance of the Colstrip exemption and the related challenges depends on the outcome of both the litigation concerning the exemption and the litigation challenging EPA’s repeal of the 2024 MATS amendments.</w:t>
      </w:r>
    </w:p>
    <w:p>
      <w:pPr>
        <w:spacing w:after="0" w:line="17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 xml:space="preserve">In June 2025, to advance the goals of the President’s </w:t>
      </w:r>
      <w:r>
        <w:rPr>
          <w:rFonts w:ascii="Times New Roman" w:cs="Times New Roman" w:eastAsia="Times New Roman" w:hAnsi="Times New Roman"/>
          <w:sz w:val="20"/>
          <w:szCs w:val="20"/>
          <w:i w:val="1"/>
          <w:iCs w:val="1"/>
          <w:color w:val="auto"/>
        </w:rPr>
        <w:t>Unleashing American Energy</w:t>
      </w:r>
      <w:r>
        <w:rPr>
          <w:rFonts w:ascii="Times New Roman" w:cs="Times New Roman" w:eastAsia="Times New Roman" w:hAnsi="Times New Roman"/>
          <w:sz w:val="20"/>
          <w:szCs w:val="20"/>
          <w:color w:val="auto"/>
        </w:rPr>
        <w:t xml:space="preserve"> executive order, the EPA proposed to repeal the 2024 GHG emission standards for fossil fuel-fired power plants promulgated under section 111 of the CAA, and proposed to repeal specified 2024 MATS amendments. In December 2025, the EPA finalized revisions extending several compliance deadlines under the 2024 ELG Rule. The EPA corrected certain dates in January 2026 and proposed additional revisions in May 2026. On February 12, 2026, the EPA finalized rescission of the 2009 endangerment finding supporting regulation of new motor vehicles and engines under CAA section 202(a) and repealed the associated vehicle GHG standards, effective April 20, 2026. That action did not, by itself, eliminate all potential EPA authority to regulate GHG emissions under other CAA provisions. On September 14, 2026, the EPA finalized a partial repeal of the 2024 power-plant GHG rule, including the emission guidelines for existing fossil fuel-fired steam generating units and specified carbon capture and storage-based standards for modified coal-fired units and new baseload combustion turbines, effective November 16, 2026. The EPA concurrently issued a supplemental proposal to repeal the remaining power-sector GHG standards. On September 17, 2026, environmental and public-health organizations filed a petition for review of the partial repeal in the D.C. Circuit.</w:t>
      </w:r>
    </w:p>
    <w:p>
      <w:pPr>
        <w:spacing w:after="0" w:line="19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PGE continues to evaluate the 2024 MATS amendments, the Colstrip compliance exemption, EPA's repeal of the relevant MATS requirements, and the related litigation to assess the potential impact, which could be material, on the Company’s continuing investment in Colstrip. If EPA's repeal is vacated or otherwise reversed and the 2024 MATS amendments are reinstated, the applicability and timing of those requirements would depend in part on the outcome of the litigation concerning the Colstrip exemption. Reinstatement of the 2024 requirements could require material upgrades at Colstrip on a schedule that may not be achievable or could require the use of technology not yet demonstrated at Colstrip, resulting in significant costs related to the facility.</w:t>
      </w:r>
    </w:p>
    <w:p>
      <w:pPr>
        <w:spacing w:after="0" w:line="18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Legal challenges have been filed concerning the 2024 rules, the subsequent repeal actions, the MATS exemptions, and the rescission of the endangerment finding. Courts previously denied requests to stay the 2024 GHG and MATS rules. Any later orders holding merits proceedings in abeyance while the EPA reconsidered those rules should not be characterized as stays of the rules themselves. The rescission of the endangerment finding took effect April 20, 2026, and the partial repeal of the 2024 power-plant GHG rule is scheduled to take effect November 16, 2026, while related legal challenges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pending. These challenges, and further federal action to withdraw, modify, or reinstate requirements, could affect the applicability to PGE and Colstrip. Given the uncertainty surrounding these laws and regulations, PGE cannot reasonably estimate the impact on its results of operations, financial position, and cash flows. If prior requirements are reinstated, remaining GHG standards apply, or other requirements impose comparable obligations, PGE could incur material additional compliance costs. To the extent these regulations result in increased compliance costs, the Company expects to seek recovery of those costs through the ratemaking process.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1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PGE focuses on providing reliable, clean power to customers at affordable prices while providing a fair return to investors. To achieve this goal the Company must execute effectively within its regulatory framework and maintain prudent management of key financial, regulatory, and environmental matters that may affect customer prices and investor returns. The following discussion provides detail on a number of such matters.</w:t>
      </w:r>
    </w:p>
    <w:p>
      <w:pPr>
        <w:spacing w:after="0" w:line="17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Corporate structure—</w:t>
      </w:r>
      <w:r>
        <w:rPr>
          <w:rFonts w:ascii="Times New Roman" w:cs="Times New Roman" w:eastAsia="Times New Roman" w:hAnsi="Times New Roman"/>
          <w:sz w:val="20"/>
          <w:szCs w:val="20"/>
          <w:color w:val="auto"/>
        </w:rPr>
        <w:t>In July 2025, the Company submitted an application to the OPUC seeking approval of a holding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reorganization. PGE believes it to be in the best interests of its customers and shareholders to update its corporate structure into a holding company structure. The structure contemplated involves placing a non-operating corporate entity over the Company’s existing structure. The intent of the reorganization is to take advantage of the financial flexibility provided by a holding company structure and to support reliability planning and economic development.</w:t>
      </w:r>
    </w:p>
    <w:p>
      <w:pPr>
        <w:spacing w:after="0" w:line="18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On July 23, 2026, FERC issued an order authorizing the reorganization into a holding company structure. On August 12, 2026, PGE and OPUC Staff entered into a stipulation in OPUC Docket UM 2385 that recommended the OPUC approve PGE’s application for a corporate reorganization to create a holding company structure. The stipulation included a monetary commitment of approximately $45 million to fund a rate credit and other customer benefits. The stipulation also included a comprehensive set of enforceable commitments, such as:</w:t>
      </w:r>
    </w:p>
    <w:p>
      <w:pPr>
        <w:spacing w:after="0" w:line="72" w:lineRule="exact"/>
        <w:rPr>
          <w:sz w:val="20"/>
          <w:szCs w:val="20"/>
          <w:color w:val="auto"/>
        </w:rPr>
      </w:pPr>
    </w:p>
    <w:p>
      <w:pPr>
        <w:ind w:left="1020" w:right="480" w:hanging="503"/>
        <w:spacing w:after="0" w:line="269" w:lineRule="auto"/>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commitment to refrain from seeking rate recovery of acquisition premiums, goodwill, transaction costs and other related costs;</w:t>
      </w:r>
    </w:p>
    <w:p>
      <w:pPr>
        <w:spacing w:after="0" w:line="51" w:lineRule="exact"/>
        <w:rPr>
          <w:rFonts w:ascii="Times New Roman" w:cs="Times New Roman" w:eastAsia="Times New Roman" w:hAnsi="Times New Roman"/>
          <w:sz w:val="20"/>
          <w:szCs w:val="20"/>
          <w:color w:val="auto"/>
        </w:rPr>
      </w:pPr>
    </w:p>
    <w:p>
      <w:pPr>
        <w:jc w:val="both"/>
        <w:ind w:left="1020" w:right="360" w:hanging="503"/>
        <w:spacing w:after="0" w:line="254" w:lineRule="auto"/>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commitment to not provide funding or transfer assets over $1 million to any subsidiaries, excluding those to be funded or transferred to PGE and subsidiaries formed for purposes of the acquisition of assets in Washington, without OPUC approval under defined statutory standards;</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commitment to maintain service, safety, and reliability for customers and to provide regular reports on related metrics;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commitment for PGE and the holding company to maintain separate credit ratings;</w:t>
      </w:r>
    </w:p>
    <w:p>
      <w:pPr>
        <w:spacing w:after="0" w:line="10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agreement for the holding company to maintain its subsidiary PGE’s common equity at a level of 45% or higher, with the provision that the dividend may be suspended in certain circumstances including for significant decreases in credit ratings, without an OPUC-approved remediation plan;</w:t>
      </w:r>
    </w:p>
    <w:p>
      <w:pPr>
        <w:spacing w:after="0" w:line="66" w:lineRule="exact"/>
        <w:rPr>
          <w:rFonts w:ascii="Times New Roman" w:cs="Times New Roman" w:eastAsia="Times New Roman" w:hAnsi="Times New Roman"/>
          <w:sz w:val="20"/>
          <w:szCs w:val="20"/>
          <w:color w:val="auto"/>
        </w:rPr>
      </w:pPr>
    </w:p>
    <w:p>
      <w:pPr>
        <w:ind w:left="1020" w:right="700" w:hanging="503"/>
        <w:spacing w:after="0" w:line="269" w:lineRule="auto"/>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commitment to maintain adequate interest coverage and a pool of qualified assets to maintain the ability to issue First Mortgage Bonds;</w:t>
      </w:r>
    </w:p>
    <w:p>
      <w:pPr>
        <w:spacing w:after="0" w:line="51" w:lineRule="exact"/>
        <w:rPr>
          <w:rFonts w:ascii="Times New Roman" w:cs="Times New Roman" w:eastAsia="Times New Roman" w:hAnsi="Times New Roman"/>
          <w:sz w:val="20"/>
          <w:szCs w:val="20"/>
          <w:color w:val="auto"/>
        </w:rPr>
      </w:pPr>
    </w:p>
    <w:p>
      <w:pPr>
        <w:ind w:left="1020" w:right="140" w:hanging="503"/>
        <w:spacing w:after="0" w:line="295" w:lineRule="auto"/>
        <w:tabs>
          <w:tab w:leader="none" w:pos="10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commitment to hold customers harmless from certain costs associated with the formation of the holding company, as well as from costs that may be incurred if the cost of debt becomes more costly as a result of the formation of the holding company;</w:t>
      </w:r>
    </w:p>
    <w:p>
      <w:pPr>
        <w:spacing w:after="0" w:line="29" w:lineRule="exact"/>
        <w:rPr>
          <w:rFonts w:ascii="Times New Roman" w:cs="Times New Roman" w:eastAsia="Times New Roman" w:hAnsi="Times New Roman"/>
          <w:sz w:val="19"/>
          <w:szCs w:val="19"/>
          <w:color w:val="auto"/>
        </w:rPr>
      </w:pPr>
    </w:p>
    <w:p>
      <w:pPr>
        <w:ind w:left="1020" w:right="360" w:hanging="503"/>
        <w:spacing w:after="0" w:line="269" w:lineRule="auto"/>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share of PGE preferred stock held by an independent third party (Golden Share) that will override all other outstanding shares in the event of bankruptcy of the holding company;</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to PGE and holding company books and records;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obligation to honor existing labor agreements.</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September 25, 2026, the OPUC issued a final order (Order No. 26-354) in Docket UM 2385, which included some of the commitments in the stipulation but increased the rate credit and other customer benefits to approximately $83 million, which the Company supports. However, the order also imposes conditions that depart from the stipulation. The stipulation’s terms were consistent with traditional holding company structures approved in Oregon and elsewhere and, in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some cases, were more stringent. The order goes beyond the stipulation by imposing restrictions on ordinary course business activities that may not be feasible for the Company to implement, specifically relating to limitations on dividends tied to retained earnings and credit ratings. The Company believes these conditions could limit its ability to fund investments needed to maintain and enhance system reliability, meet regulatory mandates, acquire sufficient clean energy, serve forecasted customer demand, and advance critical infrastructure projects.</w:t>
      </w:r>
    </w:p>
    <w:p>
      <w:pPr>
        <w:spacing w:after="0" w:line="138"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20"/>
          <w:szCs w:val="20"/>
          <w:color w:val="auto"/>
        </w:rPr>
        <w:t>The Company has filed a request for clarification, reconsideration or rehearing of certain conditions imposed by the order. The Company does not expect to proceed with the reorganization unless these provisions are clarified or modified. The customer rate credit and other benefits will not be implemented unless the Company proceeds with the reorganization.</w:t>
      </w:r>
    </w:p>
    <w:p>
      <w:pPr>
        <w:spacing w:after="0" w:line="147"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At this time, the Company is unable to estimate the full financial impact of the order. The Company expects to provide further updates regarding the effects of the order in future periodic reports and investor communications, as appropriate.</w:t>
      </w:r>
    </w:p>
    <w:p>
      <w:pPr>
        <w:spacing w:after="0" w:line="13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OPUC application is one of many steps required to complete the reorganization. Once the Company's request is resolved, PGE's Board of Directors will decide whether to submit the proposed reorganization to PGE shareholders for approval. Following completion of these steps and the receipt of all required approvals, each outstanding share of PGE common stock would automatically convert into a share of the new holding company (HoldCo) common stock on a one-for-one basis. PGE shareholders, immediately prior to consummation of the reorganization would own the same relative percentages of HoldCo following consummation of the reorganization. After the reorganization, PGE would be a wholly owned subsidiary of HoldCo, which would be an Oregon corporation.</w:t>
      </w:r>
    </w:p>
    <w:p>
      <w:pPr>
        <w:spacing w:after="0" w:line="1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Rate Case - </w:t>
      </w:r>
      <w:r>
        <w:rPr>
          <w:rFonts w:ascii="Times New Roman" w:cs="Times New Roman" w:eastAsia="Times New Roman" w:hAnsi="Times New Roman"/>
          <w:sz w:val="20"/>
          <w:szCs w:val="20"/>
          <w:color w:val="auto"/>
        </w:rPr>
        <w:t>On August 4, 2026, PGE filed with the OPUC a general rate case (UE 473) based on a fiscal July 2027 through June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2028 test year (2027 GRC). The Company's requested $179 million increase in the annual revenue requirement related primarily to deployment of capital since PGE’s last rate case (UE 435) to strengthen and safeguard the grid to meet growing customer demand and bolster reliability. The 2027 GRC, as requested, would result in an approximate 4.8% overall increase relative to currently approved prices. This increase excludes the effects of lower net variable power costs expected in 2027 as reflected in the Annual Power Cost Update Tariff, filed separately, with the OPUC in February 2026 (OPUC Docket UE 465). Based on a recently filed forecast of net variable power costs, customer prices would be expected to fall 2.4% on January 1, 2027, partially offsetting the proposed GRC increase.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proposed GRC increase in annual revenue requirement is based upon:</w:t>
      </w:r>
    </w:p>
    <w:p>
      <w:pPr>
        <w:spacing w:after="0" w:line="135" w:lineRule="exact"/>
        <w:rPr>
          <w:sz w:val="20"/>
          <w:szCs w:val="20"/>
          <w:color w:val="auto"/>
        </w:rPr>
      </w:pPr>
    </w:p>
    <w:p>
      <w:pPr>
        <w:ind w:left="880" w:hanging="123"/>
        <w:spacing w:after="0"/>
        <w:tabs>
          <w:tab w:leader="none" w:pos="8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capital structure of 50% debt and 50% equity;</w:t>
      </w:r>
    </w:p>
    <w:p>
      <w:pPr>
        <w:spacing w:after="0" w:line="107" w:lineRule="exact"/>
        <w:rPr>
          <w:rFonts w:ascii="Times New Roman" w:cs="Times New Roman" w:eastAsia="Times New Roman" w:hAnsi="Times New Roman"/>
          <w:sz w:val="20"/>
          <w:szCs w:val="20"/>
          <w:color w:val="auto"/>
        </w:rPr>
      </w:pPr>
    </w:p>
    <w:p>
      <w:pPr>
        <w:ind w:left="880" w:hanging="123"/>
        <w:spacing w:after="0"/>
        <w:tabs>
          <w:tab w:leader="none" w:pos="8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return on equity of 9.75%;</w:t>
      </w:r>
    </w:p>
    <w:p>
      <w:pPr>
        <w:spacing w:after="0" w:line="107" w:lineRule="exact"/>
        <w:rPr>
          <w:rFonts w:ascii="Times New Roman" w:cs="Times New Roman" w:eastAsia="Times New Roman" w:hAnsi="Times New Roman"/>
          <w:sz w:val="20"/>
          <w:szCs w:val="20"/>
          <w:color w:val="auto"/>
        </w:rPr>
      </w:pPr>
    </w:p>
    <w:p>
      <w:pPr>
        <w:ind w:left="880" w:hanging="123"/>
        <w:spacing w:after="0"/>
        <w:tabs>
          <w:tab w:leader="none" w:pos="8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cost of capital of 7.464%; and</w:t>
      </w:r>
    </w:p>
    <w:p>
      <w:pPr>
        <w:spacing w:after="0" w:line="107" w:lineRule="exact"/>
        <w:rPr>
          <w:rFonts w:ascii="Times New Roman" w:cs="Times New Roman" w:eastAsia="Times New Roman" w:hAnsi="Times New Roman"/>
          <w:sz w:val="20"/>
          <w:szCs w:val="20"/>
          <w:color w:val="auto"/>
        </w:rPr>
      </w:pPr>
    </w:p>
    <w:p>
      <w:pPr>
        <w:ind w:left="880" w:hanging="123"/>
        <w:spacing w:after="0"/>
        <w:tabs>
          <w:tab w:leader="none" w:pos="8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rate base of $8.6 billion.</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Another key item in the filing includes a request for a Bridge Framework to operate between the conclusion of this GRC and the establishment of PGE’s first multi-year rate plan in 2029 pursuant to HB 3179 and OPUC rulemakings in AR 676 and AR 677. Regulatory review of the 2027 GRC is expected throughout 2026 and 2027. The Company cannot predict the ultimate outcome of the regulatory process. We expect a final order to be issued by the OPUC by the end of June 2027. New customer prices are expected to become effective July 1, 2027. The 2027 GRC filing, including copies of direct testimony and exhibits, is expected to be made available on the OPUC website at www.oregon.gov/puc.</w:t>
      </w:r>
    </w:p>
    <w:p>
      <w:pPr>
        <w:spacing w:after="0" w:line="11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Declared states of emergency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The OPUC has approved a pre-authorized deferral of costs associated with qualifying declared states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emergency, which would include federal or state declared emergencies with impacts on PGE’s service territory. Under this mechanism, PGE could provide notice of an event that qualifies within 30 days of the declared state of emergency and would not need to seek OPUC approval to apply deferred accounting treatment for incremental costs related to the emergency. The OPUC maintains responsibility to review utility requests to amortize deferred amounts in customer prices, including, among other requirements, a review of utility prudence and application of an earnings test, in a future proceeding.</w:t>
      </w:r>
    </w:p>
    <w:p>
      <w:pPr>
        <w:spacing w:after="0" w:line="1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January 2024, the Company’s service territory encountered a severe winter weather event that included snow, ice, and high winds over several days that caused catastrophic damage to physical assets and resulted in widespread customer power outages. As a result of the historic winter storm, Oregon’s Governor declared a state of emergency on January 18, 2024, which allowed PGE to seek recovery of incremental storm expenses through the previously authorized emergency</w:t>
      </w:r>
    </w:p>
    <w:p>
      <w:pPr>
        <w:sectPr>
          <w:pgSz w:w="11900" w:h="16838" w:orient="portrait"/>
          <w:cols w:equalWidth="0" w:num="1">
            <w:col w:w="11240"/>
          </w:cols>
          <w:pgMar w:left="320" w:top="114"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deferral. On February 9, 2024, PGE filed a Notice of Deferral with the OPUC under Docket UM 2190 for emergency restoration costs related to the January storm. On March 18, 2026, PGE received the OPUC's final order for the storm recovery docket, which included a disallowance for some operating and maintenance costs of $1 million and application of an earnings test. The OPUC ordered the application of an earnings test at 20 basis points below the Company's 2024 allowed return on equity of 9.5% on the deferred storm costs. The application of the earnings test resulted in an additional $3 million reduction of the previously deferred amounts. After application of adjustments per the final order, PGE’s deferred balance as of March 31, 2026 was $44 million, including interest, which began amortizing on April 1, 2026 over a two year period. The deferred balance as of September 30, 2026 was $36 million.</w:t>
      </w:r>
    </w:p>
    <w:p>
      <w:pPr>
        <w:spacing w:after="0" w:line="14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Reliability Contingency Event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RCE)—</w:t>
      </w:r>
      <w:r>
        <w:rPr>
          <w:rFonts w:ascii="Times New Roman" w:cs="Times New Roman" w:eastAsia="Times New Roman" w:hAnsi="Times New Roman"/>
          <w:sz w:val="20"/>
          <w:szCs w:val="20"/>
          <w:color w:val="auto"/>
        </w:rPr>
        <w:t>Under the RCE mechanism, originally authorized by the OPUC to be effective through 2025, PGE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was allowed to pursue recovery of 80% of costs for RCEs above amounts forecasted in the Company’s AUT, without application of an earnings test, with the remaining 20% flowing through operating expenses and subject to the existing PCAM. Results of the PCAM are filed annually with the OPUC no later than July 1, initiating a regulatory review process that typically results in a final determination and order from the OPUC by the end of the year of filing, with any resulting refund or collection impacting customer prices effective in the following year. RCE costs incurred and deferred are included in each years' respective PCAM filing.</w:t>
      </w:r>
    </w:p>
    <w:p>
      <w:pPr>
        <w:spacing w:after="0" w:line="1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PGE filed the results of the 2024 PCAM with the OPUC on July 1, 2025, in Docket UE 457, initiating a regulatory review process. Included in the filing, the Company requested an extension of the RCE mechanism for one year, through 2026. On March 18, 2026, the OPUC issued its final order in the 2024 RCE mechanism docket which resulted in the approval for recovery of $70 million in deferred costs, before consideration of interest, after determining that costs should be shared at a level of 90%, resulting in a reduction of $8 million to the recovery request. In addition, the OPUC disagreed with PGE's method of estimating the impacts related to wind generating resources in the day ahead forecasts of $2 million, resulting in a total reduction of $10 million in previously deferred costs. The OPUC also declined to extend the sunset date for the RCE mechanism.</w:t>
      </w:r>
    </w:p>
    <w:p>
      <w:pPr>
        <w:spacing w:after="0" w:line="18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After application of adjustments per the final order, PGE’s deferred balance as of September 30, 2026, related to RCEs was $65 million, which included $63 million related to RCEs deferred in 2024 and $2 million related to RCEs deferred in 2025. The 2024 deferred balance began amortizing into customer prices on April 1, 2026 and is being collected over a two-year period. On July 1, 2026, under the Company's PCAM, Advice 26-26 was submitted to the OPUC seeking recovery to begin on April 1, 2027 of $2 million in costs deferred during RCEs in 2025. PGE believes the deferred amounts as of September 30, 2026 are probable of recovery.</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Power costs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Pursuant to the AUT process, PGE annually files an estimate of power costs for the following year. As approved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OPUC, the 2026 AUT included a final increase in power costs for 2026, and a corresponding increase in net variable power costs (NVPC), of $39 million from 2025 levels, which is now reflected in customer prices.</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Renewable recovery framework</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As previously authorized by the OPUC, the RAC is a primary method available to recover costs associated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renewable resources and the inclusion of prudent costs of energy storage projects associated with renewables, under certain conditions. The RAC allows PGE to recover prudently incurred costs associated with complying with renewable mandates through filings made each year, outside of a General Rate Case (GRC). In 2023, the Company filed for Clearwater, which went into service in January 2024. PGE did not submit a request for recovery of any renewable resources under the RAC during 2024 or 2025 and does not anticipate doing so in 2026.</w:t>
      </w:r>
    </w:p>
    <w:p>
      <w:pPr>
        <w:spacing w:after="0" w:line="166"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Under the RAC, during 2023, the Company submitted a filing in OPUC Docket UE 427 for Clearwater proposing to defer the revenue requirement, net of NVPC benefits, from the in-service date of January 2024 until Clearwater was reflected in customer prices, which was March 1, 2025. For the twelve month period ending December 31, 2024, PGE deferred the revenue requirement, net of NVPC benefits, resulting in a net regulatory liability of $40 million, which amortized as a refund to customers over a twelve month period beginning on March 1, 2025, as approved by the OPUC in Order 25-075 issued in February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Order 25-075 also adopted conditions to be applied to the AUT and clarification of the applicability of those conditions was subsequently provided by the OPUC in Order 25-223, which granted certain of PGE’s requests and denied others. PGE and NewSun Energy LLC, as an intervenor, both have Petitions for Judicial Review of Order 25-075 pending at the Oregon Court of Appeals. For the period of January 1, 2025 through December 31, 2025, PGE deferred an additional net $13 million regulatory liability, which was approved for recovery and began amortizing on April 1, 2026 over a twelve month period. As of September 30, 2026, there was $6 million deferred as a regulatory liability in the balancing account.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Seaside Grid BESS recovery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 May 2025, PGE submitted a request to the OPUC to recover the revenue requirement associated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Seaside Battery Energy Storage System (Seaside). The regulatory filing was pursuant to the expedited cost-recovery option introduced by the OPUC in its Order issued December 20, 2024 related to PGE's 2025 GRC (OPUC Docket UE 435).</w:t>
      </w:r>
    </w:p>
    <w:p>
      <w:pPr>
        <w:spacing w:after="0" w:line="17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October 2025, the OPUC issued an Order (Order 25-417) that was supported by a memorandum of understanding (MOU) entered into between PGE and key regulatory stakeholders. One key item in the Order was the adoption of an earnings test for the twelve-month period ended October 31, 2026 at PGE’s authorized return on equity (ROE), implemented via a deferral to track Seaside revenues and refund excess earnings, if applicable. The Company has contested the applicability of an earnings test and in addition has not accrued any refunds, as it currently does not forecast to over earn for the period covered by the test. Such refunds would be recognized as a charge to earnings.</w:t>
      </w:r>
    </w:p>
    <w:p>
      <w:pPr>
        <w:spacing w:after="0" w:line="18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DSP recovery mechanism—</w:t>
      </w:r>
      <w:r>
        <w:rPr>
          <w:rFonts w:ascii="Times New Roman" w:cs="Times New Roman" w:eastAsia="Times New Roman" w:hAnsi="Times New Roman"/>
          <w:sz w:val="20"/>
          <w:szCs w:val="20"/>
          <w:color w:val="auto"/>
        </w:rPr>
        <w:t>On December 23, 2025, PGE and certain intervening parties submitted a stipulation to the OPUC reflecting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that resolved all issues, with the exception of the application of an earnings test as proposed by intervening parties, in PGE's request for recovery in UE 459 related to the Company’s DSP Alternative Recovery Mechanism (ARM). The settlement and submitted stipulation were supported by an MOU entered into between PGE and key regulatory stakeholders. The MOU limited the scope of the ARM to specific capital investments included in the DSP docket (UM 2362) filed in December 2024, which enable network modernization, reliable customer service, and integration of clean energy and distributed energy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Primary components of the stipulation included:</w:t>
      </w:r>
    </w:p>
    <w:p>
      <w:pPr>
        <w:spacing w:after="0" w:line="10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rate base increase of $218 million;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9.34% ROE per the MOU reflecting PGE's latest rate case;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revenue requirement increase of $57 million, compared to PGE's filed request of $72 million.</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Of the $15 million of revenue requirement adjustments, approximately 87% were temporary in nature, allowing PGE to seek recovery of associated investments as applicable in its next GRC. These adjustments were driven primarily by non-distribution investments and were not attributable to specific assets. On August 4, 2026, PGE filed the 2027 GRC with a requested rate effective date of July 1, 2027.</w:t>
      </w:r>
    </w:p>
    <w:p>
      <w:pPr>
        <w:spacing w:after="0" w:line="17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OPUC's final order in Docket UE 459, issued on March 11, 2026, approved the terms of the stipulation, which were reflected in customer prices effective April 1, 2026 and ordered the adoption of an earnings test for the twelve-month period ended March 31, 2027 at PGE’s authorized return on equity (ROE). The Company has contested the applicability of an earnings test and, in addition, has not accrued any probable and reasonably estimable refunds. Any such refunds would be recognized as a charge to earnings.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More information about the DSP ARM docket, UE 459, is available on the OPUC website at www.oregon.gov/puc.</w:t>
      </w:r>
    </w:p>
    <w:p>
      <w:pPr>
        <w:spacing w:after="0" w:line="2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Portland Harbor Environmental Remediation Account (PHERA) mechanism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PGE has been identified by the EPA as a Potentially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Responsible Party (PRP) for the Portland Harbor Superfund Site, however, significant uncertainties remain regarding the scope of remediation, cost allocation among PRPs, and PGE’s ultimate share of costs. The impact of such costs on the Company's results of operations is mitigated by the OPUC-approved PHERA mechanism, which allows for recovery of eligible costs through third-party proceeds and customer prices, subject to prudency reviews and earnings-test limitations. For further information regarding the PHERA mechanism as well as PGEs current estimated range of potential liability, see "Regulatory Assets and Liabilities" in Note 3, Balance Sheet Components, and “EPA Investigation of Portland Harbor” in Note 8, Contingencies in the Notes to Condensed Consolidated Financial Statements in Item 1.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New Large Load, Data Centers, and UM 2377—</w:t>
      </w:r>
      <w:r>
        <w:rPr>
          <w:rFonts w:ascii="Times New Roman" w:cs="Times New Roman" w:eastAsia="Times New Roman" w:hAnsi="Times New Roman"/>
          <w:sz w:val="20"/>
          <w:szCs w:val="20"/>
          <w:color w:val="auto"/>
        </w:rPr>
        <w:t>In 2023, the OPUC established Docket UE 430 to investigate new load connection costs.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Following a lengthy regulatory process, in December 2024, PGE filed Advice No. 24-38 with the OPUC that proposed changes to PGE policies and tariffs that would: i) allocate the costs to the customers that are creating the costs; ii) improve transmission system planning and capacity; iii) provide fair recovery of distribution investment costs from large load users; and iv) implement contractual requirements designed to appropriately allocate and recover distribution and transmission costs and mitigate the risk of stranded assets, while providing flexibility to meet large customer needs.</w:t>
      </w:r>
    </w:p>
    <w:p>
      <w:pPr>
        <w:spacing w:after="0" w:line="18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On April 15, 2025, the OPUC approved PGE's filing, as revised, with an effective date of April 16, 2025, on condition that the issues raised in the filing would continue to be evaluated in a new Commission docket, UM 2377. This initial approval allowed PGE to begin working with large load customers to form a load interconnection queue, conduct studies to assess and allocate connection costs, and offer study and service agreements. Applicable agreements with new large load customers may be revised and updated based on the outcome in the separate OPUC proceeding, UM 2377, that was opened to address PGE’s proposed tariff changes and related issues.</w:t>
      </w:r>
    </w:p>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June 2025, the Oregon Legislature passed HB 3546, which directed the OPUC to provide a classification for retail customers deemed large energy use data center facilities. HB 3546 also directed the OPUC to require that electric companies serving data centers enter into a contract for services with such customer under terms and conditions specified by the law. The OPUC included HB 3546 alignment and establishment of a data center classification for retail customers within the scope of UM 2377 as well as other topics that may apply to all large load customers.</w:t>
      </w:r>
    </w:p>
    <w:p>
      <w:pPr>
        <w:spacing w:after="0" w:line="185"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9"/>
          <w:szCs w:val="19"/>
          <w:color w:val="auto"/>
        </w:rPr>
        <w:t>On June 3, 2026, the Company submitted Advice filing 26-24 to the OPUC, which proposed to create a new tariff for Data Center Standard Service, update base rates and power costs, update DSP Alternative Recovery prices as agreed to via a stipulation adopted by the OPUC in Order No. 26-074 in Docket UE 459, and update the Energy Efficiency Funding Adjustment as directed in Order No. 26-154.</w:t>
      </w:r>
    </w:p>
    <w:p>
      <w:pPr>
        <w:spacing w:after="0" w:line="15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At a public meeting on July 7, 2026, the OPUC approved Advice 26-24, allowing new prices to become effective July 8, 2026. Collectively, the overall price changes result in an average rate decrease of 1.3% for residential customers, a 2.1% average rate decrease for commercial customers, an average rate decrease of 1.4% for industrial customers who do not qualify for PGE's new data center rate, and an average rate increase of 29.7% for data center customers.</w:t>
      </w:r>
    </w:p>
    <w:p>
      <w:pPr>
        <w:spacing w:after="0" w:line="17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Residential Exchange Program—</w:t>
      </w:r>
      <w:r>
        <w:rPr>
          <w:rFonts w:ascii="Times New Roman" w:cs="Times New Roman" w:eastAsia="Times New Roman" w:hAnsi="Times New Roman"/>
          <w:sz w:val="20"/>
          <w:szCs w:val="20"/>
          <w:color w:val="auto"/>
        </w:rPr>
        <w:t>The Pacific Northwest Electric Power Planning and Conservation Act, passed by Congress in 1980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(Northwest Power Act), established the Residential Exchange Program to ensure that residential and small farm electric customers of investor-owned utilities (IOUs) in the Pacific Northwest benefit from low-cost, federally-owned power marketed by the Bonneville Power Administration (BPA). Customers of both investor-owned and customer-owned utilities have received those benefits for over 40 years. In 2012, BPA approved a settlement agreement that established fixed customer benefits through October 2028. BPA's recent modeling indicates that these benefits for IOUs could be substantially reduced after the current settlement agreement expires. The modeling suggests a potential reduction of approximately 55%. Because IOUs pass these benefits directly to eligible customers as bill credits, such a reduction would increase residential and small farm customers' bills by an estimated average of 4%. On April 24, 2026, PGE joined several other utilities in filing a petition for review in the Ninth Circuit Court of Appeals against BPA, seeking to prevent BPA from violating the Northwest Power Act and depriving eligible IOU customers of the benefits of low-cost BPA hydropower to which they are entitled.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Operating Activities</w:t>
      </w:r>
    </w:p>
    <w:p>
      <w:pPr>
        <w:spacing w:after="0" w:line="11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In addition to providing electricity from PGE’s own generation portfolio, to meet retail load requirements and balance energy supply with customer demand, manage risk, and administer its long-term wholesale contracts, the Company purchases and sells electricity in the wholesale market. To fuel its generation portfolio, the Company purchases natural gas in the United States and Canada and sells excess gas back into the wholesale market. PGE also performs wholesale market sales services for third parties in the region and purchases and sells environmental credits bundled with electricity in the wholesale marketplace.</w:t>
      </w:r>
    </w:p>
    <w:p>
      <w:pPr>
        <w:spacing w:after="0" w:line="18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PGE participates in the California Independent System Operator's (CAISO) western Energy Imbalance Market (EIM), which enables, among other benefits, greater integration of renewable energy onto the grid by better balancing the variable output of renewable resources.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signed an implementation agreement and filed tariff changes with the FERC to join the CAISO’s Extended Day-Ahead Market (EDAM), which is expected to build on the success of the western EIM and help provide PGE and its customers additional access to affordable, reliable, and clean energy.</w:t>
      </w:r>
    </w:p>
    <w:p>
      <w:pPr>
        <w:spacing w:after="0" w:line="1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EDAM, which began operation in May 2026, allows market participants to submit bids for their forecasted energy demand and available generation resources a day ahead of expected use. The EDAM optimizes transmission and resource use across all market participants, enabling access to the lowest-cost resources to meet regional needs. PGE began participation on October 1, 2026, to leverage existing technology and systems and utilize the Company’s transmission system to connect regional resources, such as hydropower and wind facilities in the Pacific Northwest and solar facilities in California and the desert Southwest, across a unified market platform.</w:t>
      </w:r>
    </w:p>
    <w:p>
      <w:pPr>
        <w:spacing w:after="0" w:line="18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As part of its ongoing commitment to reliably serving both retail and wholesale customers, PGE is evaluating alternatives to participation as a financially binding entity in the Western Power Pool’s resource adequacy program known as the Western Resource Adequacy Program (WRAP). While PGE continues to support the regional planning and analytical framework established by the WRAP, the Company provided notice of withdrawal in October 2025. PGE is in collaboration with utilities committed to the EDAM and Oregon regulated load serving entities to develop and adopt a resource adequacy framework that enhances reliability, is aligned more closely with the EDAM design, and reflects the operational realities of a rapidly evolving electric grid across the western United States, with a target operational date of 2028.</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PGE generates revenues and cash flows primarily from the sale and distribution of electricity to its retail customers. The impact of seasonal weather conditions on demand for electricity can cause the Company’s revenues, cash flows, and income from operations to fluctuate from period to period. Summer peak deliveries have continued to exceed those of the winter months for nearly ten years, generally resulting from growing air conditioning demand and the trend toward a warmer overall climate. In August 2023, demand reached a new all-time high, surpassing the previous mark, which was set in summer 2021. Historically, PGE had experienced its highest average megawatt deliveries and retail energy sales during the winter heating season and recorded its current winter peak load in December 2022. Summer peak deliveries in each year since 2021 have exceeded that winter peak.</w:t>
      </w:r>
    </w:p>
    <w:p>
      <w:pPr>
        <w:spacing w:after="0" w:line="18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Retail customer price changes and customer usage patterns, which can be affected by the economy, also have an effect on revenues. Wholesale power availability and price, hydro and wind generation, and fuel costs for thermal plants can also affect income from operations. PGE has taken measures to enhance the availability of supply chain-constrained items that are needed to serve new and existing customers, such as securing inventory of critical materials to improve reliability, reserving manufacturing capacity with strategic partners, and evaluating availability with established and new suppliers. The Company’s materials and supplies forecasting process is designed to secure materials availability as well as help mitigate cost increases through long-term agreements, supplier engagement, and expanding the supply base. PGE is monitoring the fluid situation around tariffs and trade policies and continues to evaluate any potential impact to its operations and the need to implement applicable mitigation strategies.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b w:val="1"/>
          <w:bCs w:val="1"/>
          <w:color w:val="auto"/>
        </w:rPr>
        <w:t>Customers and Demand—</w:t>
      </w:r>
      <w:r>
        <w:rPr>
          <w:rFonts w:ascii="Times New Roman" w:cs="Times New Roman" w:eastAsia="Times New Roman" w:hAnsi="Times New Roman"/>
          <w:sz w:val="20"/>
          <w:szCs w:val="20"/>
          <w:color w:val="auto"/>
        </w:rPr>
        <w:t>The following tables present total energy deliveries, in thousands of Megawatt hours (MWh), and the average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retail customers by customer type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80" w:type="dxa"/>
            <w:vAlign w:val="bottom"/>
          </w:tcPr>
          <w:p>
            <w:pPr>
              <w:spacing w:after="0"/>
              <w:rPr>
                <w:sz w:val="22"/>
                <w:szCs w:val="22"/>
                <w:color w:val="auto"/>
              </w:rPr>
            </w:pPr>
          </w:p>
        </w:tc>
        <w:tc>
          <w:tcPr>
            <w:tcW w:w="4300" w:type="dxa"/>
            <w:vAlign w:val="bottom"/>
            <w:tcBorders>
              <w:bottom w:val="single" w:sz="8" w:color="155CAB"/>
            </w:tcBorders>
            <w:gridSpan w:val="7"/>
          </w:tcPr>
          <w:p>
            <w:pPr>
              <w:jc w:val="right"/>
              <w:ind w:right="661"/>
              <w:spacing w:after="0"/>
              <w:rPr>
                <w:sz w:val="20"/>
                <w:szCs w:val="20"/>
                <w:color w:val="auto"/>
              </w:rPr>
            </w:pPr>
            <w:r>
              <w:rPr>
                <w:rFonts w:ascii="Times New Roman" w:cs="Times New Roman" w:eastAsia="Times New Roman" w:hAnsi="Times New Roman"/>
                <w:sz w:val="20"/>
                <w:szCs w:val="20"/>
                <w:b w:val="1"/>
                <w:bCs w:val="1"/>
                <w:color w:val="155CAB"/>
              </w:rPr>
              <w:t>Three Months Ended September 30,</w:t>
            </w:r>
          </w:p>
        </w:tc>
        <w:tc>
          <w:tcPr>
            <w:tcW w:w="120" w:type="dxa"/>
            <w:vAlign w:val="bottom"/>
          </w:tcPr>
          <w:p>
            <w:pPr>
              <w:spacing w:after="0"/>
              <w:rPr>
                <w:sz w:val="22"/>
                <w:szCs w:val="22"/>
                <w:color w:val="auto"/>
              </w:rPr>
            </w:pPr>
          </w:p>
        </w:tc>
        <w:tc>
          <w:tcPr>
            <w:tcW w:w="4540" w:type="dxa"/>
            <w:vAlign w:val="bottom"/>
            <w:tcBorders>
              <w:bottom w:val="single" w:sz="8" w:color="155CAB"/>
            </w:tcBorders>
            <w:gridSpan w:val="7"/>
          </w:tcPr>
          <w:p>
            <w:pPr>
              <w:jc w:val="right"/>
              <w:ind w:right="841"/>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196"/>
        </w:trPr>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221"/>
              <w:spacing w:after="0" w:line="196" w:lineRule="exact"/>
              <w:rPr>
                <w:sz w:val="20"/>
                <w:szCs w:val="20"/>
                <w:color w:val="auto"/>
              </w:rPr>
            </w:pPr>
            <w:r>
              <w:rPr>
                <w:rFonts w:ascii="Times New Roman" w:cs="Times New Roman" w:eastAsia="Times New Roman" w:hAnsi="Times New Roman"/>
                <w:sz w:val="20"/>
                <w:szCs w:val="20"/>
                <w:b w:val="1"/>
                <w:bCs w:val="1"/>
                <w:color w:val="155CAB"/>
                <w:w w:val="99"/>
              </w:rPr>
              <w:t>% Change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40"/>
              <w:spacing w:after="0" w:line="196" w:lineRule="exact"/>
              <w:rPr>
                <w:sz w:val="20"/>
                <w:szCs w:val="20"/>
                <w:color w:val="auto"/>
              </w:rPr>
            </w:pPr>
            <w:r>
              <w:rPr>
                <w:rFonts w:ascii="Times New Roman" w:cs="Times New Roman" w:eastAsia="Times New Roman" w:hAnsi="Times New Roman"/>
                <w:sz w:val="20"/>
                <w:szCs w:val="20"/>
                <w:b w:val="1"/>
                <w:bCs w:val="1"/>
                <w:color w:val="155CAB"/>
              </w:rPr>
              <w:t>% Change</w:t>
            </w:r>
          </w:p>
        </w:tc>
      </w:tr>
      <w:tr>
        <w:trPr>
          <w:trHeight w:val="230"/>
        </w:trPr>
        <w:tc>
          <w:tcPr>
            <w:tcW w:w="2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b w:val="1"/>
                <w:bCs w:val="1"/>
                <w:color w:val="155CAB"/>
              </w:rPr>
              <w:t>%</w:t>
            </w:r>
          </w:p>
        </w:tc>
        <w:tc>
          <w:tcPr>
            <w:tcW w:w="100" w:type="dxa"/>
            <w:vAlign w:val="bottom"/>
          </w:tcPr>
          <w:p>
            <w:pPr>
              <w:spacing w:after="0"/>
              <w:rPr>
                <w:sz w:val="19"/>
                <w:szCs w:val="19"/>
                <w:color w:val="auto"/>
              </w:rPr>
            </w:pPr>
          </w:p>
        </w:tc>
        <w:tc>
          <w:tcPr>
            <w:tcW w:w="1260" w:type="dxa"/>
            <w:vAlign w:val="bottom"/>
          </w:tcPr>
          <w:p>
            <w:pPr>
              <w:jc w:val="center"/>
              <w:ind w:right="221"/>
              <w:spacing w:after="0"/>
              <w:rPr>
                <w:sz w:val="20"/>
                <w:szCs w:val="20"/>
                <w:color w:val="auto"/>
              </w:rPr>
            </w:pPr>
            <w:r>
              <w:rPr>
                <w:rFonts w:ascii="Times New Roman" w:cs="Times New Roman" w:eastAsia="Times New Roman" w:hAnsi="Times New Roman"/>
                <w:sz w:val="20"/>
                <w:szCs w:val="20"/>
                <w:b w:val="1"/>
                <w:bCs w:val="1"/>
                <w:color w:val="155CAB"/>
                <w:w w:val="97"/>
              </w:rPr>
              <w:t>(Weather-</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b w:val="1"/>
                <w:bCs w:val="1"/>
                <w:color w:val="155CAB"/>
              </w:rPr>
              <w:t>%</w:t>
            </w:r>
          </w:p>
        </w:tc>
        <w:tc>
          <w:tcPr>
            <w:tcW w:w="12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55CAB"/>
              </w:rPr>
              <w:t>(Weather-</w:t>
            </w:r>
          </w:p>
        </w:tc>
      </w:tr>
      <w:tr>
        <w:trPr>
          <w:trHeight w:val="256"/>
        </w:trPr>
        <w:tc>
          <w:tcPr>
            <w:tcW w:w="2280" w:type="dxa"/>
            <w:vAlign w:val="bottom"/>
          </w:tcPr>
          <w:p>
            <w:pPr>
              <w:spacing w:after="0"/>
              <w:rPr>
                <w:sz w:val="22"/>
                <w:szCs w:val="22"/>
                <w:color w:val="auto"/>
              </w:rPr>
            </w:pPr>
          </w:p>
        </w:tc>
        <w:tc>
          <w:tcPr>
            <w:tcW w:w="80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22"/>
                <w:szCs w:val="22"/>
                <w:color w:val="auto"/>
              </w:rPr>
            </w:pPr>
          </w:p>
        </w:tc>
        <w:tc>
          <w:tcPr>
            <w:tcW w:w="11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155CAB"/>
              </w:rPr>
              <w:t>Change</w:t>
            </w:r>
          </w:p>
        </w:tc>
        <w:tc>
          <w:tcPr>
            <w:tcW w:w="100" w:type="dxa"/>
            <w:vAlign w:val="bottom"/>
          </w:tcPr>
          <w:p>
            <w:pPr>
              <w:spacing w:after="0"/>
              <w:rPr>
                <w:sz w:val="22"/>
                <w:szCs w:val="22"/>
                <w:color w:val="auto"/>
              </w:rPr>
            </w:pPr>
          </w:p>
        </w:tc>
        <w:tc>
          <w:tcPr>
            <w:tcW w:w="1260" w:type="dxa"/>
            <w:vAlign w:val="bottom"/>
          </w:tcPr>
          <w:p>
            <w:pPr>
              <w:jc w:val="center"/>
              <w:ind w:right="161"/>
              <w:spacing w:after="0"/>
              <w:rPr>
                <w:sz w:val="20"/>
                <w:szCs w:val="20"/>
                <w:color w:val="auto"/>
              </w:rPr>
            </w:pPr>
            <w:r>
              <w:rPr>
                <w:rFonts w:ascii="Times New Roman" w:cs="Times New Roman" w:eastAsia="Times New Roman" w:hAnsi="Times New Roman"/>
                <w:sz w:val="20"/>
                <w:szCs w:val="20"/>
                <w:b w:val="1"/>
                <w:bCs w:val="1"/>
                <w:color w:val="155CAB"/>
                <w:w w:val="99"/>
              </w:rPr>
              <w:t>Adjusted)</w:t>
            </w:r>
          </w:p>
        </w:tc>
        <w:tc>
          <w:tcPr>
            <w:tcW w:w="9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22"/>
                <w:szCs w:val="22"/>
                <w:color w:val="auto"/>
              </w:rPr>
            </w:pPr>
          </w:p>
        </w:tc>
        <w:tc>
          <w:tcPr>
            <w:tcW w:w="11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155CAB"/>
              </w:rPr>
              <w:t>Change</w:t>
            </w:r>
          </w:p>
        </w:tc>
        <w:tc>
          <w:tcPr>
            <w:tcW w:w="120" w:type="dxa"/>
            <w:vAlign w:val="bottom"/>
          </w:tcPr>
          <w:p>
            <w:pPr>
              <w:spacing w:after="0"/>
              <w:rPr>
                <w:sz w:val="22"/>
                <w:szCs w:val="22"/>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55CAB"/>
              </w:rPr>
              <w:t>Adjusted)*</w:t>
            </w:r>
          </w:p>
        </w:tc>
      </w:tr>
      <w:tr>
        <w:trPr>
          <w:trHeight w:val="223"/>
        </w:trPr>
        <w:tc>
          <w:tcPr>
            <w:tcW w:w="228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Energy deliveries:</w:t>
            </w:r>
          </w:p>
        </w:tc>
        <w:tc>
          <w:tcPr>
            <w:tcW w:w="80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820" w:type="dxa"/>
            <w:vAlign w:val="bottom"/>
            <w:tcBorders>
              <w:top w:val="single" w:sz="8" w:color="155CAB"/>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100" w:type="dxa"/>
            <w:vAlign w:val="bottom"/>
            <w:tcBorders>
              <w:top w:val="single" w:sz="8" w:color="155CAB"/>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6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86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940" w:type="dxa"/>
            <w:vAlign w:val="bottom"/>
            <w:tcBorders>
              <w:top w:val="single" w:sz="8" w:color="155CAB"/>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10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300" w:type="dxa"/>
            <w:vAlign w:val="bottom"/>
            <w:tcBorders>
              <w:top w:val="single" w:sz="8" w:color="155CAB"/>
            </w:tcBorders>
            <w:shd w:val="clear" w:color="auto" w:fill="EFEFEF"/>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280" w:type="dxa"/>
            <w:vAlign w:val="bottom"/>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Residential</w:t>
            </w:r>
          </w:p>
        </w:tc>
        <w:tc>
          <w:tcPr>
            <w:tcW w:w="8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1,740</w:t>
            </w:r>
          </w:p>
        </w:tc>
        <w:tc>
          <w:tcPr>
            <w:tcW w:w="94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1,911</w:t>
            </w:r>
          </w:p>
        </w:tc>
        <w:tc>
          <w:tcPr>
            <w:tcW w:w="120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36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98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5,418</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5,708</w:t>
            </w:r>
          </w:p>
        </w:tc>
        <w:tc>
          <w:tcPr>
            <w:tcW w:w="120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42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2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1,668</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1,752</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(4.8)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(1.8)</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4,791</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4,930</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(2.8)</w:t>
            </w: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228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Industrial</w:t>
            </w:r>
          </w:p>
        </w:tc>
        <w:tc>
          <w:tcPr>
            <w:tcW w:w="8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1,654</w:t>
            </w:r>
          </w:p>
        </w:tc>
        <w:tc>
          <w:tcPr>
            <w:tcW w:w="120" w:type="dxa"/>
            <w:vAlign w:val="bottom"/>
            <w:tcBorders>
              <w:bottom w:val="single" w:sz="8" w:color="EFEFEF"/>
            </w:tcBorders>
            <w:shd w:val="clear" w:color="auto" w:fill="EFEFEF"/>
          </w:tcPr>
          <w:p>
            <w:pPr>
              <w:spacing w:after="0"/>
              <w:rPr>
                <w:sz w:val="19"/>
                <w:szCs w:val="19"/>
                <w:color w:val="auto"/>
              </w:rPr>
            </w:pPr>
          </w:p>
        </w:tc>
        <w:tc>
          <w:tcPr>
            <w:tcW w:w="8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1,561</w:t>
            </w:r>
          </w:p>
        </w:tc>
        <w:tc>
          <w:tcPr>
            <w:tcW w:w="100" w:type="dxa"/>
            <w:vAlign w:val="bottom"/>
            <w:tcBorders>
              <w:bottom w:val="single" w:sz="8" w:color="EFEFEF"/>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181"/>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Borders>
              <w:bottom w:val="single" w:sz="8" w:color="EFEFEF"/>
            </w:tcBorders>
            <w:shd w:val="clear" w:color="auto" w:fill="EFEFEF"/>
          </w:tcPr>
          <w:p>
            <w:pPr>
              <w:spacing w:after="0"/>
              <w:rPr>
                <w:sz w:val="19"/>
                <w:szCs w:val="19"/>
                <w:color w:val="auto"/>
              </w:rPr>
            </w:pPr>
          </w:p>
        </w:tc>
        <w:tc>
          <w:tcPr>
            <w:tcW w:w="126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6.4</w:t>
            </w:r>
          </w:p>
        </w:tc>
        <w:tc>
          <w:tcPr>
            <w:tcW w:w="120" w:type="dxa"/>
            <w:vAlign w:val="bottom"/>
            <w:tcBorders>
              <w:bottom w:val="single" w:sz="8" w:color="EFEFEF"/>
            </w:tcBorders>
            <w:shd w:val="clear" w:color="auto" w:fill="EFEFEF"/>
          </w:tcPr>
          <w:p>
            <w:pPr>
              <w:spacing w:after="0"/>
              <w:rPr>
                <w:sz w:val="19"/>
                <w:szCs w:val="19"/>
                <w:color w:val="auto"/>
              </w:rPr>
            </w:pPr>
          </w:p>
        </w:tc>
        <w:tc>
          <w:tcPr>
            <w:tcW w:w="8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4,815</w:t>
            </w:r>
          </w:p>
        </w:tc>
        <w:tc>
          <w:tcPr>
            <w:tcW w:w="120" w:type="dxa"/>
            <w:vAlign w:val="bottom"/>
            <w:tcBorders>
              <w:bottom w:val="single" w:sz="8" w:color="EFEFEF"/>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4,375</w:t>
            </w:r>
          </w:p>
        </w:tc>
        <w:tc>
          <w:tcPr>
            <w:tcW w:w="100" w:type="dxa"/>
            <w:vAlign w:val="bottom"/>
            <w:tcBorders>
              <w:bottom w:val="single" w:sz="8" w:color="EFEFEF"/>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Borders>
              <w:bottom w:val="single" w:sz="8" w:color="EFEFEF"/>
            </w:tcBorders>
            <w:shd w:val="clear" w:color="auto" w:fill="EFEFEF"/>
          </w:tcPr>
          <w:p>
            <w:pPr>
              <w:spacing w:after="0"/>
              <w:rPr>
                <w:sz w:val="19"/>
                <w:szCs w:val="19"/>
                <w:color w:val="auto"/>
              </w:rPr>
            </w:pPr>
          </w:p>
        </w:tc>
        <w:tc>
          <w:tcPr>
            <w:tcW w:w="130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10.2</w:t>
            </w:r>
          </w:p>
        </w:tc>
      </w:tr>
      <w:tr>
        <w:trPr>
          <w:trHeight w:val="223"/>
        </w:trPr>
        <w:tc>
          <w:tcPr>
            <w:tcW w:w="228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Subtotal</w:t>
            </w:r>
          </w:p>
        </w:tc>
        <w:tc>
          <w:tcPr>
            <w:tcW w:w="8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5,062</w:t>
            </w:r>
          </w:p>
        </w:tc>
        <w:tc>
          <w:tcPr>
            <w:tcW w:w="94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5,224</w:t>
            </w:r>
          </w:p>
        </w:tc>
        <w:tc>
          <w:tcPr>
            <w:tcW w:w="1200" w:type="dxa"/>
            <w:vAlign w:val="bottom"/>
            <w:gridSpan w:val="2"/>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1360" w:type="dxa"/>
            <w:vAlign w:val="bottom"/>
            <w:gridSpan w:val="2"/>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1.1</w:t>
            </w:r>
          </w:p>
        </w:tc>
        <w:tc>
          <w:tcPr>
            <w:tcW w:w="98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15,024</w:t>
            </w:r>
          </w:p>
        </w:tc>
        <w:tc>
          <w:tcPr>
            <w:tcW w:w="106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15,013</w:t>
            </w:r>
          </w:p>
        </w:tc>
        <w:tc>
          <w:tcPr>
            <w:tcW w:w="1200" w:type="dxa"/>
            <w:vAlign w:val="bottom"/>
            <w:gridSpan w:val="2"/>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0.1</w:t>
            </w:r>
          </w:p>
        </w:tc>
        <w:tc>
          <w:tcPr>
            <w:tcW w:w="1420" w:type="dxa"/>
            <w:vAlign w:val="bottom"/>
            <w:gridSpan w:val="2"/>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1.5</w:t>
            </w:r>
          </w:p>
        </w:tc>
      </w:tr>
      <w:tr>
        <w:trPr>
          <w:trHeight w:val="223"/>
        </w:trPr>
        <w:tc>
          <w:tcPr>
            <w:tcW w:w="2280" w:type="dxa"/>
            <w:vAlign w:val="bottom"/>
            <w:shd w:val="clear" w:color="auto" w:fill="EFEFEF"/>
          </w:tcPr>
          <w:p>
            <w:pPr>
              <w:ind w:left="60"/>
              <w:spacing w:after="0" w:line="223" w:lineRule="exact"/>
              <w:rPr>
                <w:sz w:val="20"/>
                <w:szCs w:val="20"/>
                <w:color w:val="auto"/>
              </w:rPr>
            </w:pPr>
            <w:r>
              <w:rPr>
                <w:rFonts w:ascii="Times New Roman" w:cs="Times New Roman" w:eastAsia="Times New Roman" w:hAnsi="Times New Roman"/>
                <w:sz w:val="20"/>
                <w:szCs w:val="20"/>
                <w:color w:val="auto"/>
              </w:rPr>
              <w:t>Direct access:</w:t>
            </w:r>
          </w:p>
        </w:tc>
        <w:tc>
          <w:tcPr>
            <w:tcW w:w="80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82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10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6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86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94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10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300" w:type="dxa"/>
            <w:vAlign w:val="bottom"/>
            <w:tcBorders>
              <w:top w:val="single" w:sz="8" w:color="auto"/>
            </w:tcBorders>
            <w:shd w:val="clear" w:color="auto" w:fill="EFEFEF"/>
          </w:tcPr>
          <w:p>
            <w:pPr>
              <w:spacing w:after="0"/>
              <w:rPr>
                <w:sz w:val="19"/>
                <w:szCs w:val="19"/>
                <w:color w:val="auto"/>
              </w:rPr>
            </w:pPr>
          </w:p>
        </w:tc>
      </w:tr>
      <w:tr>
        <w:trPr>
          <w:trHeight w:val="229"/>
        </w:trPr>
        <w:tc>
          <w:tcPr>
            <w:tcW w:w="2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Commercial</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134</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155</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(13.5)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(13.5)</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368</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419</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(12.2)</w:t>
            </w: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(12.2)</w:t>
            </w:r>
          </w:p>
        </w:tc>
      </w:tr>
      <w:tr>
        <w:trPr>
          <w:trHeight w:val="229"/>
        </w:trPr>
        <w:tc>
          <w:tcPr>
            <w:tcW w:w="2280" w:type="dxa"/>
            <w:vAlign w:val="bottom"/>
            <w:tcBorders>
              <w:bottom w:val="single" w:sz="8" w:color="EFEFEF"/>
            </w:tcBorders>
            <w:shd w:val="clear" w:color="auto" w:fill="EFEFEF"/>
          </w:tcPr>
          <w:p>
            <w:pPr>
              <w:ind w:left="120"/>
              <w:spacing w:after="0"/>
              <w:rPr>
                <w:sz w:val="20"/>
                <w:szCs w:val="20"/>
                <w:color w:val="auto"/>
              </w:rPr>
            </w:pPr>
            <w:r>
              <w:rPr>
                <w:rFonts w:ascii="Times New Roman" w:cs="Times New Roman" w:eastAsia="Times New Roman" w:hAnsi="Times New Roman"/>
                <w:sz w:val="20"/>
                <w:szCs w:val="20"/>
                <w:color w:val="auto"/>
              </w:rPr>
              <w:t>Industrial</w:t>
            </w:r>
          </w:p>
        </w:tc>
        <w:tc>
          <w:tcPr>
            <w:tcW w:w="8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552</w:t>
            </w:r>
          </w:p>
        </w:tc>
        <w:tc>
          <w:tcPr>
            <w:tcW w:w="120" w:type="dxa"/>
            <w:vAlign w:val="bottom"/>
            <w:tcBorders>
              <w:bottom w:val="single" w:sz="8" w:color="EFEFEF"/>
            </w:tcBorders>
            <w:shd w:val="clear" w:color="auto" w:fill="EFEFEF"/>
          </w:tcPr>
          <w:p>
            <w:pPr>
              <w:spacing w:after="0"/>
              <w:rPr>
                <w:sz w:val="19"/>
                <w:szCs w:val="19"/>
                <w:color w:val="auto"/>
              </w:rPr>
            </w:pPr>
          </w:p>
        </w:tc>
        <w:tc>
          <w:tcPr>
            <w:tcW w:w="8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545</w:t>
            </w:r>
          </w:p>
        </w:tc>
        <w:tc>
          <w:tcPr>
            <w:tcW w:w="100" w:type="dxa"/>
            <w:vAlign w:val="bottom"/>
            <w:tcBorders>
              <w:bottom w:val="single" w:sz="8" w:color="EFEFEF"/>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181"/>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EFEFEF"/>
            </w:tcBorders>
            <w:shd w:val="clear" w:color="auto" w:fill="EFEFEF"/>
          </w:tcPr>
          <w:p>
            <w:pPr>
              <w:spacing w:after="0"/>
              <w:rPr>
                <w:sz w:val="19"/>
                <w:szCs w:val="19"/>
                <w:color w:val="auto"/>
              </w:rPr>
            </w:pPr>
          </w:p>
        </w:tc>
        <w:tc>
          <w:tcPr>
            <w:tcW w:w="126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Borders>
              <w:bottom w:val="single" w:sz="8" w:color="EFEFEF"/>
            </w:tcBorders>
            <w:shd w:val="clear" w:color="auto" w:fill="EFEFEF"/>
          </w:tcPr>
          <w:p>
            <w:pPr>
              <w:spacing w:after="0"/>
              <w:rPr>
                <w:sz w:val="19"/>
                <w:szCs w:val="19"/>
                <w:color w:val="auto"/>
              </w:rPr>
            </w:pPr>
          </w:p>
        </w:tc>
        <w:tc>
          <w:tcPr>
            <w:tcW w:w="8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1,562</w:t>
            </w:r>
          </w:p>
        </w:tc>
        <w:tc>
          <w:tcPr>
            <w:tcW w:w="120" w:type="dxa"/>
            <w:vAlign w:val="bottom"/>
            <w:tcBorders>
              <w:bottom w:val="single" w:sz="8" w:color="EFEFEF"/>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1,501</w:t>
            </w:r>
          </w:p>
        </w:tc>
        <w:tc>
          <w:tcPr>
            <w:tcW w:w="100" w:type="dxa"/>
            <w:vAlign w:val="bottom"/>
            <w:tcBorders>
              <w:bottom w:val="single" w:sz="8" w:color="EFEFEF"/>
            </w:tcBorders>
            <w:shd w:val="clear" w:color="auto" w:fill="EFEFEF"/>
          </w:tcPr>
          <w:p>
            <w:pPr>
              <w:spacing w:after="0"/>
              <w:rPr>
                <w:sz w:val="19"/>
                <w:szCs w:val="19"/>
                <w:color w:val="auto"/>
              </w:rPr>
            </w:pPr>
          </w:p>
        </w:tc>
        <w:tc>
          <w:tcPr>
            <w:tcW w:w="110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Borders>
              <w:bottom w:val="single" w:sz="8" w:color="EFEFEF"/>
            </w:tcBorders>
            <w:shd w:val="clear" w:color="auto" w:fill="EFEFEF"/>
          </w:tcPr>
          <w:p>
            <w:pPr>
              <w:spacing w:after="0"/>
              <w:rPr>
                <w:sz w:val="19"/>
                <w:szCs w:val="19"/>
                <w:color w:val="auto"/>
              </w:rPr>
            </w:pPr>
          </w:p>
        </w:tc>
        <w:tc>
          <w:tcPr>
            <w:tcW w:w="130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4.1</w:t>
            </w:r>
          </w:p>
        </w:tc>
      </w:tr>
      <w:tr>
        <w:trPr>
          <w:trHeight w:val="223"/>
        </w:trPr>
        <w:tc>
          <w:tcPr>
            <w:tcW w:w="228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Subtotal</w:t>
            </w:r>
          </w:p>
        </w:tc>
        <w:tc>
          <w:tcPr>
            <w:tcW w:w="8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686</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700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1,930</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1,920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0.5</w:t>
            </w:r>
          </w:p>
        </w:tc>
      </w:tr>
      <w:tr>
        <w:trPr>
          <w:trHeight w:val="263"/>
        </w:trPr>
        <w:tc>
          <w:tcPr>
            <w:tcW w:w="2280" w:type="dxa"/>
            <w:vAlign w:val="bottom"/>
            <w:shd w:val="clear" w:color="auto" w:fill="EFEFEF"/>
          </w:tcPr>
          <w:p>
            <w:pPr>
              <w:ind w:left="120"/>
              <w:spacing w:after="0" w:line="223" w:lineRule="exact"/>
              <w:rPr>
                <w:sz w:val="20"/>
                <w:szCs w:val="20"/>
                <w:color w:val="auto"/>
              </w:rPr>
            </w:pPr>
            <w:r>
              <w:rPr>
                <w:rFonts w:ascii="Times New Roman" w:cs="Times New Roman" w:eastAsia="Times New Roman" w:hAnsi="Times New Roman"/>
                <w:sz w:val="20"/>
                <w:szCs w:val="20"/>
                <w:color w:val="auto"/>
              </w:rPr>
              <w:t>Total retail</w:t>
            </w:r>
          </w:p>
        </w:tc>
        <w:tc>
          <w:tcPr>
            <w:tcW w:w="8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5,748</w:t>
            </w:r>
          </w:p>
        </w:tc>
        <w:tc>
          <w:tcPr>
            <w:tcW w:w="94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5,924</w:t>
            </w:r>
          </w:p>
        </w:tc>
        <w:tc>
          <w:tcPr>
            <w:tcW w:w="1200" w:type="dxa"/>
            <w:vAlign w:val="bottom"/>
            <w:gridSpan w:val="2"/>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136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0.7%</w:t>
            </w:r>
          </w:p>
        </w:tc>
        <w:tc>
          <w:tcPr>
            <w:tcW w:w="98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16,954</w:t>
            </w:r>
          </w:p>
        </w:tc>
        <w:tc>
          <w:tcPr>
            <w:tcW w:w="106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16,933</w:t>
            </w:r>
          </w:p>
        </w:tc>
        <w:tc>
          <w:tcPr>
            <w:tcW w:w="1200" w:type="dxa"/>
            <w:vAlign w:val="bottom"/>
            <w:gridSpan w:val="2"/>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0.1</w:t>
            </w:r>
          </w:p>
        </w:tc>
        <w:tc>
          <w:tcPr>
            <w:tcW w:w="1420" w:type="dxa"/>
            <w:vAlign w:val="bottom"/>
            <w:gridSpan w:val="2"/>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1.3%</w:t>
            </w:r>
          </w:p>
        </w:tc>
      </w:tr>
      <w:tr>
        <w:trPr>
          <w:trHeight w:val="210"/>
        </w:trPr>
        <w:tc>
          <w:tcPr>
            <w:tcW w:w="2280" w:type="dxa"/>
            <w:vAlign w:val="bottom"/>
            <w:tcBorders>
              <w:top w:val="single" w:sz="8" w:color="EFEFEF"/>
            </w:tcBorders>
          </w:tcPr>
          <w:p>
            <w:pPr>
              <w:spacing w:after="0" w:line="210" w:lineRule="exact"/>
              <w:rPr>
                <w:sz w:val="20"/>
                <w:szCs w:val="20"/>
                <w:color w:val="auto"/>
              </w:rPr>
            </w:pPr>
            <w:r>
              <w:rPr>
                <w:rFonts w:ascii="Times New Roman" w:cs="Times New Roman" w:eastAsia="Times New Roman" w:hAnsi="Times New Roman"/>
                <w:sz w:val="20"/>
                <w:szCs w:val="20"/>
                <w:color w:val="auto"/>
              </w:rPr>
              <w:t>Wholesale</w:t>
            </w:r>
          </w:p>
        </w:tc>
        <w:tc>
          <w:tcPr>
            <w:tcW w:w="800" w:type="dxa"/>
            <w:vAlign w:val="bottom"/>
            <w:tcBorders>
              <w:top w:val="single" w:sz="8" w:color="EFEFEF"/>
              <w:bottom w:val="single" w:sz="8" w:color="auto"/>
            </w:tcBorders>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2,379</w:t>
            </w:r>
          </w:p>
        </w:tc>
        <w:tc>
          <w:tcPr>
            <w:tcW w:w="120" w:type="dxa"/>
            <w:vAlign w:val="bottom"/>
            <w:tcBorders>
              <w:top w:val="single" w:sz="8" w:color="EFEFEF"/>
            </w:tcBorders>
          </w:tcPr>
          <w:p>
            <w:pPr>
              <w:spacing w:after="0"/>
              <w:rPr>
                <w:sz w:val="18"/>
                <w:szCs w:val="18"/>
                <w:color w:val="auto"/>
              </w:rPr>
            </w:pPr>
          </w:p>
        </w:tc>
        <w:tc>
          <w:tcPr>
            <w:tcW w:w="820" w:type="dxa"/>
            <w:vAlign w:val="bottom"/>
            <w:tcBorders>
              <w:top w:val="single" w:sz="8" w:color="EFEFEF"/>
              <w:bottom w:val="single" w:sz="8" w:color="auto"/>
            </w:tcBorders>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2,741</w:t>
            </w:r>
          </w:p>
        </w:tc>
        <w:tc>
          <w:tcPr>
            <w:tcW w:w="100" w:type="dxa"/>
            <w:vAlign w:val="bottom"/>
            <w:tcBorders>
              <w:top w:val="single" w:sz="8" w:color="EFEFEF"/>
            </w:tcBorders>
          </w:tcPr>
          <w:p>
            <w:pPr>
              <w:spacing w:after="0"/>
              <w:rPr>
                <w:sz w:val="18"/>
                <w:szCs w:val="18"/>
                <w:color w:val="auto"/>
              </w:rPr>
            </w:pPr>
          </w:p>
        </w:tc>
        <w:tc>
          <w:tcPr>
            <w:tcW w:w="1100" w:type="dxa"/>
            <w:vAlign w:val="bottom"/>
            <w:tcBorders>
              <w:top w:val="single" w:sz="8" w:color="EFEFEF"/>
              <w:bottom w:val="single" w:sz="8" w:color="auto"/>
            </w:tcBorders>
          </w:tcPr>
          <w:p>
            <w:pPr>
              <w:jc w:val="right"/>
              <w:ind w:right="101"/>
              <w:spacing w:after="0" w:line="210" w:lineRule="exact"/>
              <w:rPr>
                <w:sz w:val="20"/>
                <w:szCs w:val="20"/>
                <w:color w:val="auto"/>
              </w:rPr>
            </w:pPr>
            <w:r>
              <w:rPr>
                <w:rFonts w:ascii="Times New Roman" w:cs="Times New Roman" w:eastAsia="Times New Roman" w:hAnsi="Times New Roman"/>
                <w:sz w:val="20"/>
                <w:szCs w:val="20"/>
                <w:color w:val="auto"/>
              </w:rPr>
              <w:t>(13.2)</w:t>
            </w:r>
          </w:p>
        </w:tc>
        <w:tc>
          <w:tcPr>
            <w:tcW w:w="100" w:type="dxa"/>
            <w:vAlign w:val="bottom"/>
            <w:tcBorders>
              <w:top w:val="single" w:sz="8" w:color="EFEFE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860" w:type="dxa"/>
            <w:vAlign w:val="bottom"/>
            <w:tcBorders>
              <w:top w:val="single" w:sz="8" w:color="EFEFEF"/>
              <w:bottom w:val="single" w:sz="8" w:color="auto"/>
            </w:tcBorders>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5,293</w:t>
            </w:r>
          </w:p>
        </w:tc>
        <w:tc>
          <w:tcPr>
            <w:tcW w:w="120" w:type="dxa"/>
            <w:vAlign w:val="bottom"/>
            <w:tcBorders>
              <w:top w:val="single" w:sz="8" w:color="EFEFEF"/>
            </w:tcBorders>
          </w:tcPr>
          <w:p>
            <w:pPr>
              <w:spacing w:after="0"/>
              <w:rPr>
                <w:sz w:val="18"/>
                <w:szCs w:val="18"/>
                <w:color w:val="auto"/>
              </w:rPr>
            </w:pPr>
          </w:p>
        </w:tc>
        <w:tc>
          <w:tcPr>
            <w:tcW w:w="940" w:type="dxa"/>
            <w:vAlign w:val="bottom"/>
            <w:tcBorders>
              <w:top w:val="single" w:sz="8" w:color="EFEFEF"/>
              <w:bottom w:val="single" w:sz="8" w:color="auto"/>
            </w:tcBorders>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7,159</w:t>
            </w:r>
          </w:p>
        </w:tc>
        <w:tc>
          <w:tcPr>
            <w:tcW w:w="100" w:type="dxa"/>
            <w:vAlign w:val="bottom"/>
            <w:tcBorders>
              <w:top w:val="single" w:sz="8" w:color="EFEFEF"/>
            </w:tcBorders>
          </w:tcPr>
          <w:p>
            <w:pPr>
              <w:spacing w:after="0"/>
              <w:rPr>
                <w:sz w:val="18"/>
                <w:szCs w:val="18"/>
                <w:color w:val="auto"/>
              </w:rPr>
            </w:pPr>
          </w:p>
        </w:tc>
        <w:tc>
          <w:tcPr>
            <w:tcW w:w="1100" w:type="dxa"/>
            <w:vAlign w:val="bottom"/>
            <w:tcBorders>
              <w:top w:val="single" w:sz="8" w:color="EFEFEF"/>
              <w:bottom w:val="single" w:sz="8" w:color="auto"/>
            </w:tcBorders>
          </w:tcPr>
          <w:p>
            <w:pPr>
              <w:jc w:val="right"/>
              <w:ind w:right="81"/>
              <w:spacing w:after="0" w:line="210" w:lineRule="exact"/>
              <w:rPr>
                <w:sz w:val="20"/>
                <w:szCs w:val="20"/>
                <w:color w:val="auto"/>
              </w:rPr>
            </w:pPr>
            <w:r>
              <w:rPr>
                <w:rFonts w:ascii="Times New Roman" w:cs="Times New Roman" w:eastAsia="Times New Roman" w:hAnsi="Times New Roman"/>
                <w:sz w:val="20"/>
                <w:szCs w:val="20"/>
                <w:color w:val="auto"/>
              </w:rPr>
              <w:t>(26.1)</w:t>
            </w:r>
          </w:p>
        </w:tc>
        <w:tc>
          <w:tcPr>
            <w:tcW w:w="120" w:type="dxa"/>
            <w:vAlign w:val="bottom"/>
            <w:tcBorders>
              <w:top w:val="single" w:sz="8" w:color="EFEFE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63"/>
        </w:trPr>
        <w:tc>
          <w:tcPr>
            <w:tcW w:w="2280" w:type="dxa"/>
            <w:vAlign w:val="bottom"/>
            <w:tcBorders>
              <w:bottom w:val="single" w:sz="8" w:color="EFEFEF"/>
            </w:tcBorders>
            <w:shd w:val="clear" w:color="auto" w:fill="EFEFEF"/>
          </w:tcPr>
          <w:p>
            <w:pPr>
              <w:ind w:left="12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8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8,127</w:t>
            </w:r>
          </w:p>
        </w:tc>
        <w:tc>
          <w:tcPr>
            <w:tcW w:w="120" w:type="dxa"/>
            <w:vAlign w:val="bottom"/>
            <w:tcBorders>
              <w:bottom w:val="single" w:sz="8" w:color="EFEFEF"/>
            </w:tcBorders>
            <w:shd w:val="clear" w:color="auto" w:fill="EFEFEF"/>
          </w:tcPr>
          <w:p>
            <w:pPr>
              <w:spacing w:after="0"/>
              <w:rPr>
                <w:sz w:val="22"/>
                <w:szCs w:val="22"/>
                <w:color w:val="auto"/>
              </w:rPr>
            </w:pPr>
          </w:p>
        </w:tc>
        <w:tc>
          <w:tcPr>
            <w:tcW w:w="8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8,665</w:t>
            </w:r>
          </w:p>
        </w:tc>
        <w:tc>
          <w:tcPr>
            <w:tcW w:w="100" w:type="dxa"/>
            <w:vAlign w:val="bottom"/>
            <w:tcBorders>
              <w:bottom w:val="single" w:sz="8" w:color="EFEFEF"/>
            </w:tcBorders>
            <w:shd w:val="clear" w:color="auto" w:fill="EFEFEF"/>
          </w:tcPr>
          <w:p>
            <w:pPr>
              <w:spacing w:after="0"/>
              <w:rPr>
                <w:sz w:val="22"/>
                <w:szCs w:val="22"/>
                <w:color w:val="auto"/>
              </w:rPr>
            </w:pPr>
          </w:p>
        </w:tc>
        <w:tc>
          <w:tcPr>
            <w:tcW w:w="11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(6.2)%</w:t>
            </w:r>
          </w:p>
        </w:tc>
        <w:tc>
          <w:tcPr>
            <w:tcW w:w="100" w:type="dxa"/>
            <w:vAlign w:val="bottom"/>
            <w:tcBorders>
              <w:bottom w:val="single" w:sz="8" w:color="EFEFEF"/>
            </w:tcBorders>
            <w:shd w:val="clear" w:color="auto" w:fill="EFEFEF"/>
          </w:tcPr>
          <w:p>
            <w:pPr>
              <w:spacing w:after="0"/>
              <w:rPr>
                <w:sz w:val="22"/>
                <w:szCs w:val="22"/>
                <w:color w:val="auto"/>
              </w:rPr>
            </w:pPr>
          </w:p>
        </w:tc>
        <w:tc>
          <w:tcPr>
            <w:tcW w:w="1260" w:type="dxa"/>
            <w:vAlign w:val="bottom"/>
            <w:tcBorders>
              <w:bottom w:val="single" w:sz="8" w:color="EFEFEF"/>
            </w:tcBorders>
            <w:shd w:val="clear" w:color="auto" w:fill="EFEFEF"/>
          </w:tcPr>
          <w:p>
            <w:pPr>
              <w:spacing w:after="0"/>
              <w:rPr>
                <w:sz w:val="22"/>
                <w:szCs w:val="22"/>
                <w:color w:val="auto"/>
              </w:rPr>
            </w:pPr>
          </w:p>
        </w:tc>
        <w:tc>
          <w:tcPr>
            <w:tcW w:w="120" w:type="dxa"/>
            <w:vAlign w:val="bottom"/>
            <w:tcBorders>
              <w:bottom w:val="single" w:sz="8" w:color="EFEFEF"/>
            </w:tcBorders>
            <w:shd w:val="clear" w:color="auto" w:fill="EFEFEF"/>
          </w:tcPr>
          <w:p>
            <w:pPr>
              <w:spacing w:after="0"/>
              <w:rPr>
                <w:sz w:val="22"/>
                <w:szCs w:val="22"/>
                <w:color w:val="auto"/>
              </w:rPr>
            </w:pPr>
          </w:p>
        </w:tc>
        <w:tc>
          <w:tcPr>
            <w:tcW w:w="8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22,247</w:t>
            </w:r>
          </w:p>
        </w:tc>
        <w:tc>
          <w:tcPr>
            <w:tcW w:w="120" w:type="dxa"/>
            <w:vAlign w:val="bottom"/>
            <w:tcBorders>
              <w:bottom w:val="single" w:sz="8" w:color="EFEFEF"/>
            </w:tcBorders>
            <w:shd w:val="clear" w:color="auto" w:fill="EFEFEF"/>
          </w:tcPr>
          <w:p>
            <w:pPr>
              <w:spacing w:after="0"/>
              <w:rPr>
                <w:sz w:val="22"/>
                <w:szCs w:val="22"/>
                <w:color w:val="auto"/>
              </w:rPr>
            </w:pPr>
          </w:p>
        </w:tc>
        <w:tc>
          <w:tcPr>
            <w:tcW w:w="9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24,092</w:t>
            </w:r>
          </w:p>
        </w:tc>
        <w:tc>
          <w:tcPr>
            <w:tcW w:w="100" w:type="dxa"/>
            <w:vAlign w:val="bottom"/>
            <w:tcBorders>
              <w:bottom w:val="single" w:sz="8" w:color="EFEFEF"/>
            </w:tcBorders>
            <w:shd w:val="clear" w:color="auto" w:fill="EFEFEF"/>
          </w:tcPr>
          <w:p>
            <w:pPr>
              <w:spacing w:after="0"/>
              <w:rPr>
                <w:sz w:val="22"/>
                <w:szCs w:val="22"/>
                <w:color w:val="auto"/>
              </w:rPr>
            </w:pPr>
          </w:p>
        </w:tc>
        <w:tc>
          <w:tcPr>
            <w:tcW w:w="11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(7.7)%</w:t>
            </w:r>
          </w:p>
        </w:tc>
        <w:tc>
          <w:tcPr>
            <w:tcW w:w="120" w:type="dxa"/>
            <w:vAlign w:val="bottom"/>
            <w:tcBorders>
              <w:bottom w:val="single" w:sz="8" w:color="EFEFEF"/>
            </w:tcBorders>
            <w:shd w:val="clear" w:color="auto" w:fill="EFEFEF"/>
          </w:tcPr>
          <w:p>
            <w:pPr>
              <w:spacing w:after="0"/>
              <w:rPr>
                <w:sz w:val="22"/>
                <w:szCs w:val="22"/>
                <w:color w:val="auto"/>
              </w:rPr>
            </w:pPr>
          </w:p>
        </w:tc>
        <w:tc>
          <w:tcPr>
            <w:tcW w:w="1300" w:type="dxa"/>
            <w:vAlign w:val="bottom"/>
            <w:tcBorders>
              <w:bottom w:val="single" w:sz="8" w:color="EFEFEF"/>
            </w:tcBorders>
            <w:shd w:val="clear" w:color="auto" w:fill="EFEFE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-1259840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-1259840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-1259840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-1259840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-1259840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-1259840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-1259840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-659765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-659765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-659765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-659765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-659765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-659765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-659765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-350520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-334010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-25400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160" w:firstLine="8"/>
        <w:spacing w:after="0" w:line="282" w:lineRule="auto"/>
        <w:tabs>
          <w:tab w:leader="none" w:pos="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impact of weather is based on various model assumptions related to temperature and customer response. Weather-adjusted estimates may not fully reflect the impacts of extreme weather variations and deviations in customer behavior to such extremes.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20" w:type="dxa"/>
            <w:vAlign w:val="bottom"/>
          </w:tcPr>
          <w:p>
            <w:pPr>
              <w:spacing w:after="0"/>
              <w:rPr>
                <w:sz w:val="22"/>
                <w:szCs w:val="22"/>
                <w:color w:val="auto"/>
              </w:rPr>
            </w:pPr>
          </w:p>
        </w:tc>
        <w:tc>
          <w:tcPr>
            <w:tcW w:w="3760" w:type="dxa"/>
            <w:vAlign w:val="bottom"/>
            <w:tcBorders>
              <w:bottom w:val="single" w:sz="8" w:color="155CAB"/>
            </w:tcBorders>
            <w:gridSpan w:val="5"/>
          </w:tcPr>
          <w:p>
            <w:pPr>
              <w:jc w:val="right"/>
              <w:ind w:right="361"/>
              <w:spacing w:after="0"/>
              <w:rPr>
                <w:sz w:val="20"/>
                <w:szCs w:val="20"/>
                <w:color w:val="auto"/>
              </w:rPr>
            </w:pPr>
            <w:r>
              <w:rPr>
                <w:rFonts w:ascii="Times New Roman" w:cs="Times New Roman" w:eastAsia="Times New Roman" w:hAnsi="Times New Roman"/>
                <w:sz w:val="20"/>
                <w:szCs w:val="20"/>
                <w:b w:val="1"/>
                <w:bCs w:val="1"/>
                <w:color w:val="155CAB"/>
              </w:rPr>
              <w:t>Three Months Ended September 30,</w:t>
            </w:r>
          </w:p>
        </w:tc>
        <w:tc>
          <w:tcPr>
            <w:tcW w:w="100" w:type="dxa"/>
            <w:vAlign w:val="bottom"/>
          </w:tcPr>
          <w:p>
            <w:pPr>
              <w:spacing w:after="0"/>
              <w:rPr>
                <w:sz w:val="22"/>
                <w:szCs w:val="22"/>
                <w:color w:val="auto"/>
              </w:rPr>
            </w:pPr>
          </w:p>
        </w:tc>
        <w:tc>
          <w:tcPr>
            <w:tcW w:w="4260" w:type="dxa"/>
            <w:vAlign w:val="bottom"/>
            <w:tcBorders>
              <w:bottom w:val="single" w:sz="8" w:color="155CAB"/>
            </w:tcBorders>
            <w:gridSpan w:val="5"/>
          </w:tcPr>
          <w:p>
            <w:pPr>
              <w:jc w:val="right"/>
              <w:ind w:right="661"/>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223"/>
        </w:trPr>
        <w:tc>
          <w:tcPr>
            <w:tcW w:w="3120" w:type="dxa"/>
            <w:vAlign w:val="bottom"/>
          </w:tcPr>
          <w:p>
            <w:pPr>
              <w:spacing w:after="0"/>
              <w:rPr>
                <w:sz w:val="19"/>
                <w:szCs w:val="19"/>
                <w:color w:val="auto"/>
              </w:rPr>
            </w:pPr>
          </w:p>
        </w:tc>
        <w:tc>
          <w:tcPr>
            <w:tcW w:w="1100" w:type="dxa"/>
            <w:vAlign w:val="bottom"/>
          </w:tcPr>
          <w:p>
            <w:pPr>
              <w:jc w:val="right"/>
              <w:ind w:right="32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20" w:type="dxa"/>
            <w:vAlign w:val="bottom"/>
            <w:gridSpan w:val="2"/>
          </w:tcPr>
          <w:p>
            <w:pPr>
              <w:jc w:val="right"/>
              <w:ind w:right="32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c>
          <w:tcPr>
            <w:tcW w:w="1340" w:type="dxa"/>
            <w:vAlign w:val="bottom"/>
          </w:tcPr>
          <w:p>
            <w:pPr>
              <w:jc w:val="right"/>
              <w:ind w:right="221"/>
              <w:spacing w:after="0" w:line="223" w:lineRule="exact"/>
              <w:rPr>
                <w:sz w:val="20"/>
                <w:szCs w:val="20"/>
                <w:color w:val="auto"/>
              </w:rPr>
            </w:pPr>
            <w:r>
              <w:rPr>
                <w:rFonts w:ascii="Times New Roman" w:cs="Times New Roman" w:eastAsia="Times New Roman" w:hAnsi="Times New Roman"/>
                <w:sz w:val="20"/>
                <w:szCs w:val="20"/>
                <w:b w:val="1"/>
                <w:bCs w:val="1"/>
                <w:color w:val="155CAB"/>
              </w:rPr>
              <w:t>% Change</w:t>
            </w:r>
          </w:p>
        </w:tc>
        <w:tc>
          <w:tcPr>
            <w:tcW w:w="100" w:type="dxa"/>
            <w:vAlign w:val="bottom"/>
          </w:tcPr>
          <w:p>
            <w:pPr>
              <w:spacing w:after="0"/>
              <w:rPr>
                <w:sz w:val="19"/>
                <w:szCs w:val="19"/>
                <w:color w:val="auto"/>
              </w:rPr>
            </w:pPr>
          </w:p>
        </w:tc>
        <w:tc>
          <w:tcPr>
            <w:tcW w:w="1500" w:type="dxa"/>
            <w:vAlign w:val="bottom"/>
          </w:tcPr>
          <w:p>
            <w:pPr>
              <w:jc w:val="right"/>
              <w:ind w:right="52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80" w:type="dxa"/>
            <w:vAlign w:val="bottom"/>
            <w:gridSpan w:val="2"/>
          </w:tcPr>
          <w:p>
            <w:pPr>
              <w:jc w:val="right"/>
              <w:ind w:right="34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20" w:type="dxa"/>
            <w:vAlign w:val="bottom"/>
          </w:tcPr>
          <w:p>
            <w:pPr>
              <w:spacing w:after="0"/>
              <w:rPr>
                <w:sz w:val="19"/>
                <w:szCs w:val="19"/>
                <w:color w:val="auto"/>
              </w:rPr>
            </w:pPr>
          </w:p>
        </w:tc>
        <w:tc>
          <w:tcPr>
            <w:tcW w:w="1360" w:type="dxa"/>
            <w:vAlign w:val="bottom"/>
          </w:tcPr>
          <w:p>
            <w:pPr>
              <w:jc w:val="right"/>
              <w:ind w:right="241"/>
              <w:spacing w:after="0" w:line="223" w:lineRule="exact"/>
              <w:rPr>
                <w:sz w:val="20"/>
                <w:szCs w:val="20"/>
                <w:color w:val="auto"/>
              </w:rPr>
            </w:pPr>
            <w:r>
              <w:rPr>
                <w:rFonts w:ascii="Times New Roman" w:cs="Times New Roman" w:eastAsia="Times New Roman" w:hAnsi="Times New Roman"/>
                <w:sz w:val="20"/>
                <w:szCs w:val="20"/>
                <w:b w:val="1"/>
                <w:bCs w:val="1"/>
                <w:color w:val="155CAB"/>
              </w:rPr>
              <w:t>% Change</w:t>
            </w:r>
          </w:p>
        </w:tc>
      </w:tr>
      <w:tr>
        <w:trPr>
          <w:trHeight w:val="196"/>
        </w:trPr>
        <w:tc>
          <w:tcPr>
            <w:tcW w:w="3120" w:type="dxa"/>
            <w:vAlign w:val="bottom"/>
            <w:shd w:val="clear" w:color="auto" w:fill="EFEFEF"/>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Average number of retail</w:t>
            </w:r>
          </w:p>
        </w:tc>
        <w:tc>
          <w:tcPr>
            <w:tcW w:w="1100" w:type="dxa"/>
            <w:vAlign w:val="bottom"/>
            <w:tcBorders>
              <w:top w:val="single" w:sz="8" w:color="155CAB"/>
            </w:tcBorders>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120" w:type="dxa"/>
            <w:vAlign w:val="bottom"/>
            <w:tcBorders>
              <w:top w:val="single" w:sz="8" w:color="155CAB"/>
            </w:tcBorders>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340" w:type="dxa"/>
            <w:vAlign w:val="bottom"/>
            <w:tcBorders>
              <w:top w:val="single" w:sz="8" w:color="155CAB"/>
            </w:tcBorders>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500" w:type="dxa"/>
            <w:vAlign w:val="bottom"/>
            <w:tcBorders>
              <w:top w:val="single" w:sz="8" w:color="155CAB"/>
            </w:tcBorders>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180" w:type="dxa"/>
            <w:vAlign w:val="bottom"/>
            <w:tcBorders>
              <w:top w:val="single" w:sz="8" w:color="155CAB"/>
            </w:tcBorders>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1360" w:type="dxa"/>
            <w:vAlign w:val="bottom"/>
            <w:tcBorders>
              <w:top w:val="single" w:sz="8" w:color="155CAB"/>
            </w:tcBorders>
            <w:shd w:val="clear" w:color="auto" w:fill="EFEFEF"/>
          </w:tcPr>
          <w:p>
            <w:pPr>
              <w:spacing w:after="0"/>
              <w:rPr>
                <w:sz w:val="17"/>
                <w:szCs w:val="17"/>
                <w:color w:val="auto"/>
              </w:rPr>
            </w:pPr>
          </w:p>
        </w:tc>
      </w:tr>
      <w:tr>
        <w:trPr>
          <w:trHeight w:val="256"/>
        </w:trPr>
        <w:tc>
          <w:tcPr>
            <w:tcW w:w="312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b w:val="1"/>
                <w:bCs w:val="1"/>
                <w:color w:val="auto"/>
              </w:rPr>
              <w:t>customers:</w:t>
            </w:r>
          </w:p>
        </w:tc>
        <w:tc>
          <w:tcPr>
            <w:tcW w:w="1100" w:type="dxa"/>
            <w:vAlign w:val="bottom"/>
            <w:shd w:val="clear" w:color="auto" w:fill="EFEFEF"/>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1120" w:type="dxa"/>
            <w:vAlign w:val="bottom"/>
            <w:shd w:val="clear" w:color="auto" w:fill="EFEFEF"/>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1340" w:type="dxa"/>
            <w:vAlign w:val="bottom"/>
            <w:shd w:val="clear" w:color="auto" w:fill="EFEFEF"/>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1500" w:type="dxa"/>
            <w:vAlign w:val="bottom"/>
            <w:shd w:val="clear" w:color="auto" w:fill="EFEFEF"/>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1180" w:type="dxa"/>
            <w:vAlign w:val="bottom"/>
            <w:shd w:val="clear" w:color="auto" w:fill="EFEFEF"/>
          </w:tcPr>
          <w:p>
            <w:pPr>
              <w:spacing w:after="0"/>
              <w:rPr>
                <w:sz w:val="22"/>
                <w:szCs w:val="22"/>
                <w:color w:val="auto"/>
              </w:rPr>
            </w:pPr>
          </w:p>
        </w:tc>
        <w:tc>
          <w:tcPr>
            <w:tcW w:w="120" w:type="dxa"/>
            <w:vAlign w:val="bottom"/>
            <w:shd w:val="clear" w:color="auto" w:fill="EFEFEF"/>
          </w:tcPr>
          <w:p>
            <w:pPr>
              <w:spacing w:after="0"/>
              <w:rPr>
                <w:sz w:val="22"/>
                <w:szCs w:val="22"/>
                <w:color w:val="auto"/>
              </w:rPr>
            </w:pPr>
          </w:p>
        </w:tc>
        <w:tc>
          <w:tcPr>
            <w:tcW w:w="1360" w:type="dxa"/>
            <w:vAlign w:val="bottom"/>
            <w:shd w:val="clear" w:color="auto" w:fill="EFEFEF"/>
          </w:tcPr>
          <w:p>
            <w:pPr>
              <w:spacing w:after="0"/>
              <w:rPr>
                <w:sz w:val="22"/>
                <w:szCs w:val="22"/>
                <w:color w:val="auto"/>
              </w:rPr>
            </w:pPr>
          </w:p>
        </w:tc>
      </w:tr>
      <w:tr>
        <w:trPr>
          <w:trHeight w:val="230"/>
        </w:trPr>
        <w:tc>
          <w:tcPr>
            <w:tcW w:w="31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Residential</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847,007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841,257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846,286</w:t>
            </w: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839,429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312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Commercial</w:t>
            </w:r>
          </w:p>
        </w:tc>
        <w:tc>
          <w:tcPr>
            <w:tcW w:w="1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114,495</w:t>
            </w:r>
          </w:p>
        </w:tc>
        <w:tc>
          <w:tcPr>
            <w:tcW w:w="122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114,258</w:t>
            </w:r>
          </w:p>
        </w:tc>
        <w:tc>
          <w:tcPr>
            <w:tcW w:w="100" w:type="dxa"/>
            <w:vAlign w:val="bottom"/>
            <w:shd w:val="clear" w:color="auto" w:fill="EFEFEF"/>
          </w:tcPr>
          <w:p>
            <w:pPr>
              <w:spacing w:after="0"/>
              <w:rPr>
                <w:sz w:val="19"/>
                <w:szCs w:val="19"/>
                <w:color w:val="auto"/>
              </w:rPr>
            </w:pPr>
          </w:p>
        </w:tc>
        <w:tc>
          <w:tcPr>
            <w:tcW w:w="134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114,520</w:t>
            </w:r>
          </w:p>
        </w:tc>
        <w:tc>
          <w:tcPr>
            <w:tcW w:w="128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114,226</w:t>
            </w:r>
          </w:p>
        </w:tc>
        <w:tc>
          <w:tcPr>
            <w:tcW w:w="120" w:type="dxa"/>
            <w:vAlign w:val="bottom"/>
            <w:shd w:val="clear" w:color="auto" w:fill="EFEFEF"/>
          </w:tcPr>
          <w:p>
            <w:pPr>
              <w:spacing w:after="0"/>
              <w:rPr>
                <w:sz w:val="19"/>
                <w:szCs w:val="19"/>
                <w:color w:val="auto"/>
              </w:rPr>
            </w:pPr>
          </w:p>
        </w:tc>
        <w:tc>
          <w:tcPr>
            <w:tcW w:w="136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1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Industrial</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218</w:t>
            </w: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3</w:t>
            </w:r>
          </w:p>
        </w:tc>
        <w:tc>
          <w:tcPr>
            <w:tcW w:w="16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222</w:t>
            </w: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217</w:t>
            </w:r>
          </w:p>
        </w:tc>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3120" w:type="dxa"/>
            <w:vAlign w:val="bottom"/>
            <w:tcBorders>
              <w:bottom w:val="single" w:sz="8" w:color="EFEFEF"/>
            </w:tcBorders>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Direct access</w:t>
            </w:r>
          </w:p>
        </w:tc>
        <w:tc>
          <w:tcPr>
            <w:tcW w:w="11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497</w:t>
            </w:r>
          </w:p>
        </w:tc>
        <w:tc>
          <w:tcPr>
            <w:tcW w:w="100" w:type="dxa"/>
            <w:vAlign w:val="bottom"/>
            <w:tcBorders>
              <w:bottom w:val="single" w:sz="8" w:color="EFEFEF"/>
            </w:tcBorders>
            <w:shd w:val="clear" w:color="auto" w:fill="EFEFEF"/>
          </w:tcPr>
          <w:p>
            <w:pPr>
              <w:spacing w:after="0"/>
              <w:rPr>
                <w:sz w:val="19"/>
                <w:szCs w:val="19"/>
                <w:color w:val="auto"/>
              </w:rPr>
            </w:pPr>
          </w:p>
        </w:tc>
        <w:tc>
          <w:tcPr>
            <w:tcW w:w="11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747</w:t>
            </w:r>
          </w:p>
        </w:tc>
        <w:tc>
          <w:tcPr>
            <w:tcW w:w="100" w:type="dxa"/>
            <w:vAlign w:val="bottom"/>
            <w:tcBorders>
              <w:bottom w:val="single" w:sz="8" w:color="EFEFEF"/>
            </w:tcBorders>
            <w:shd w:val="clear" w:color="auto" w:fill="EFEFEF"/>
          </w:tcPr>
          <w:p>
            <w:pPr>
              <w:spacing w:after="0"/>
              <w:rPr>
                <w:sz w:val="19"/>
                <w:szCs w:val="19"/>
                <w:color w:val="auto"/>
              </w:rPr>
            </w:pPr>
          </w:p>
        </w:tc>
        <w:tc>
          <w:tcPr>
            <w:tcW w:w="13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Borders>
              <w:bottom w:val="single" w:sz="8" w:color="EFEFEF"/>
            </w:tcBorders>
            <w:shd w:val="clear" w:color="auto" w:fill="EFEFEF"/>
          </w:tcPr>
          <w:p>
            <w:pPr>
              <w:spacing w:after="0"/>
              <w:rPr>
                <w:sz w:val="19"/>
                <w:szCs w:val="19"/>
                <w:color w:val="auto"/>
              </w:rPr>
            </w:pPr>
          </w:p>
        </w:tc>
        <w:tc>
          <w:tcPr>
            <w:tcW w:w="15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511</w:t>
            </w:r>
          </w:p>
        </w:tc>
        <w:tc>
          <w:tcPr>
            <w:tcW w:w="100" w:type="dxa"/>
            <w:vAlign w:val="bottom"/>
            <w:tcBorders>
              <w:bottom w:val="single" w:sz="8" w:color="EFEFEF"/>
            </w:tcBorders>
            <w:shd w:val="clear" w:color="auto" w:fill="EFEFEF"/>
          </w:tcPr>
          <w:p>
            <w:pPr>
              <w:spacing w:after="0"/>
              <w:rPr>
                <w:sz w:val="19"/>
                <w:szCs w:val="19"/>
                <w:color w:val="auto"/>
              </w:rPr>
            </w:pPr>
          </w:p>
        </w:tc>
        <w:tc>
          <w:tcPr>
            <w:tcW w:w="11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688</w:t>
            </w:r>
          </w:p>
        </w:tc>
        <w:tc>
          <w:tcPr>
            <w:tcW w:w="120" w:type="dxa"/>
            <w:vAlign w:val="bottom"/>
            <w:tcBorders>
              <w:bottom w:val="single" w:sz="8" w:color="EFEFEF"/>
            </w:tcBorders>
            <w:shd w:val="clear" w:color="auto" w:fill="EFEFEF"/>
          </w:tcPr>
          <w:p>
            <w:pPr>
              <w:spacing w:after="0"/>
              <w:rPr>
                <w:sz w:val="19"/>
                <w:szCs w:val="19"/>
                <w:color w:val="auto"/>
              </w:rPr>
            </w:pPr>
          </w:p>
        </w:tc>
        <w:tc>
          <w:tcPr>
            <w:tcW w:w="13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(26)</w:t>
            </w:r>
          </w:p>
        </w:tc>
      </w:tr>
      <w:tr>
        <w:trPr>
          <w:trHeight w:val="223"/>
        </w:trPr>
        <w:tc>
          <w:tcPr>
            <w:tcW w:w="312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1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962,223</w:t>
            </w:r>
          </w:p>
        </w:tc>
        <w:tc>
          <w:tcPr>
            <w:tcW w:w="122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956,480</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60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961,539</w:t>
            </w:r>
          </w:p>
        </w:tc>
        <w:tc>
          <w:tcPr>
            <w:tcW w:w="128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954,560</w:t>
            </w:r>
          </w:p>
        </w:tc>
        <w:tc>
          <w:tcPr>
            <w:tcW w:w="14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0"/>
        </w:trPr>
        <w:tc>
          <w:tcPr>
            <w:tcW w:w="3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-179705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-179705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-179705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-179705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-179705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Total retail energy deliveries for the nine months ended September 30, 2026 were up 0.1% compared to the nine months ended September 30, 2025. While industrial deliveries increased, declines occurred in both the residential and commercial categories.</w:t>
      </w:r>
    </w:p>
    <w:p>
      <w:pPr>
        <w:spacing w:after="0" w:line="15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Residential weather-adjusted deliveries decreased 2.4% in the aggregate, driven primarily by a decrease in average usage per customer of 3.4% during the nine months of 2026 compared with 2025, partially offset by an increase in the average number of residential customers of 1%. PGE has observed seasonal shifts in use per customer, such as higher air conditioning penetration in the summer in response to higher cooling degree days, as well as an increased number of rooftop solar installations within its service territory, and continued energy efficiency programs.</w:t>
      </w:r>
    </w:p>
    <w:p>
      <w:pPr>
        <w:spacing w:after="0" w:line="185"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The industrial class continues to show growth as overall energy deliveries are up 8.5% in the nine months ended September 30, 2026 compared to the same period in 2025, reflecting strength primarily in the digital services sector.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The following table indicates the number of heating degree-days for the three and nine months ended September 30, 2026 and 2025, along with the current 15-year averages based on weather data provided by the National Weather Service, as measured at Portland International Airport: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60" w:type="dxa"/>
            <w:vAlign w:val="bottom"/>
          </w:tcPr>
          <w:p>
            <w:pPr>
              <w:spacing w:after="0"/>
              <w:rPr>
                <w:sz w:val="22"/>
                <w:szCs w:val="22"/>
                <w:color w:val="auto"/>
              </w:rPr>
            </w:pPr>
          </w:p>
        </w:tc>
        <w:tc>
          <w:tcPr>
            <w:tcW w:w="2880" w:type="dxa"/>
            <w:vAlign w:val="bottom"/>
            <w:tcBorders>
              <w:bottom w:val="single" w:sz="8" w:color="155CAB"/>
            </w:tcBorders>
            <w:gridSpan w:val="5"/>
          </w:tcPr>
          <w:p>
            <w:pPr>
              <w:ind w:left="1000"/>
              <w:spacing w:after="0"/>
              <w:rPr>
                <w:sz w:val="20"/>
                <w:szCs w:val="20"/>
                <w:color w:val="auto"/>
              </w:rPr>
            </w:pPr>
            <w:r>
              <w:rPr>
                <w:rFonts w:ascii="Times New Roman" w:cs="Times New Roman" w:eastAsia="Times New Roman" w:hAnsi="Times New Roman"/>
                <w:sz w:val="20"/>
                <w:szCs w:val="20"/>
                <w:b w:val="1"/>
                <w:bCs w:val="1"/>
                <w:color w:val="155CAB"/>
              </w:rPr>
              <w:t>Heating Degree-days</w:t>
            </w:r>
          </w:p>
        </w:tc>
        <w:tc>
          <w:tcPr>
            <w:tcW w:w="1000" w:type="dxa"/>
            <w:vAlign w:val="bottom"/>
            <w:tcBorders>
              <w:bottom w:val="single" w:sz="8" w:color="155CAB"/>
            </w:tcBorders>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tcBorders>
              <w:bottom w:val="single" w:sz="8" w:color="155CAB"/>
            </w:tcBorders>
            <w:gridSpan w:val="4"/>
          </w:tcPr>
          <w:p>
            <w:pPr>
              <w:ind w:left="1220"/>
              <w:spacing w:after="0"/>
              <w:rPr>
                <w:sz w:val="20"/>
                <w:szCs w:val="20"/>
                <w:color w:val="auto"/>
              </w:rPr>
            </w:pPr>
            <w:r>
              <w:rPr>
                <w:rFonts w:ascii="Times New Roman" w:cs="Times New Roman" w:eastAsia="Times New Roman" w:hAnsi="Times New Roman"/>
                <w:sz w:val="20"/>
                <w:szCs w:val="20"/>
                <w:b w:val="1"/>
                <w:bCs w:val="1"/>
                <w:color w:val="155CAB"/>
              </w:rPr>
              <w:t>Cooling Degree-days</w:t>
            </w:r>
          </w:p>
        </w:tc>
        <w:tc>
          <w:tcPr>
            <w:tcW w:w="1260" w:type="dxa"/>
            <w:vAlign w:val="bottom"/>
            <w:tcBorders>
              <w:bottom w:val="single" w:sz="8" w:color="155CAB"/>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220" w:type="dxa"/>
            <w:vAlign w:val="bottom"/>
            <w:tcBorders>
              <w:bottom w:val="single" w:sz="8" w:color="155CAB"/>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00" w:type="dxa"/>
            <w:vAlign w:val="bottom"/>
          </w:tcPr>
          <w:p>
            <w:pPr>
              <w:spacing w:after="0"/>
              <w:rPr>
                <w:sz w:val="19"/>
                <w:szCs w:val="19"/>
                <w:color w:val="auto"/>
              </w:rPr>
            </w:pPr>
          </w:p>
        </w:tc>
        <w:tc>
          <w:tcPr>
            <w:tcW w:w="1240" w:type="dxa"/>
            <w:vAlign w:val="bottom"/>
            <w:tcBorders>
              <w:bottom w:val="single" w:sz="8" w:color="155CAB"/>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c>
          <w:tcPr>
            <w:tcW w:w="220" w:type="dxa"/>
            <w:vAlign w:val="bottom"/>
            <w:tcBorders>
              <w:bottom w:val="single" w:sz="8" w:color="155CAB"/>
            </w:tcBorders>
          </w:tcPr>
          <w:p>
            <w:pPr>
              <w:spacing w:after="0"/>
              <w:rPr>
                <w:sz w:val="19"/>
                <w:szCs w:val="19"/>
                <w:color w:val="auto"/>
              </w:rPr>
            </w:pPr>
          </w:p>
        </w:tc>
        <w:tc>
          <w:tcPr>
            <w:tcW w:w="1000" w:type="dxa"/>
            <w:vAlign w:val="bottom"/>
            <w:tcBorders>
              <w:bottom w:val="single" w:sz="8" w:color="155CAB"/>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b w:val="1"/>
                <w:bCs w:val="1"/>
                <w:color w:val="155CAB"/>
              </w:rPr>
              <w:t>Avg.</w:t>
            </w:r>
          </w:p>
        </w:tc>
        <w:tc>
          <w:tcPr>
            <w:tcW w:w="100" w:type="dxa"/>
            <w:vAlign w:val="bottom"/>
          </w:tcPr>
          <w:p>
            <w:pPr>
              <w:spacing w:after="0"/>
              <w:rPr>
                <w:sz w:val="19"/>
                <w:szCs w:val="19"/>
                <w:color w:val="auto"/>
              </w:rPr>
            </w:pPr>
          </w:p>
        </w:tc>
        <w:tc>
          <w:tcPr>
            <w:tcW w:w="1600" w:type="dxa"/>
            <w:vAlign w:val="bottom"/>
            <w:tcBorders>
              <w:bottom w:val="single" w:sz="8" w:color="155CAB"/>
            </w:tcBorders>
          </w:tcPr>
          <w:p>
            <w:pPr>
              <w:jc w:val="right"/>
              <w:ind w:right="64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00" w:type="dxa"/>
            <w:vAlign w:val="bottom"/>
          </w:tcPr>
          <w:p>
            <w:pPr>
              <w:spacing w:after="0"/>
              <w:rPr>
                <w:sz w:val="19"/>
                <w:szCs w:val="19"/>
                <w:color w:val="auto"/>
              </w:rPr>
            </w:pPr>
          </w:p>
        </w:tc>
        <w:tc>
          <w:tcPr>
            <w:tcW w:w="1240" w:type="dxa"/>
            <w:vAlign w:val="bottom"/>
            <w:tcBorders>
              <w:bottom w:val="single" w:sz="8" w:color="155CAB"/>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c>
          <w:tcPr>
            <w:tcW w:w="1260" w:type="dxa"/>
            <w:vAlign w:val="bottom"/>
            <w:tcBorders>
              <w:bottom w:val="single" w:sz="8" w:color="155CAB"/>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155CAB"/>
              </w:rPr>
              <w:t>Avg.</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First Quarter</w:t>
            </w:r>
          </w:p>
        </w:tc>
        <w:tc>
          <w:tcPr>
            <w:tcW w:w="1220" w:type="dxa"/>
            <w:vAlign w:val="bottom"/>
            <w:tcBorders>
              <w:bottom w:val="single" w:sz="8" w:color="auto"/>
            </w:tcBorders>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1,737</w:t>
            </w:r>
          </w:p>
        </w:tc>
        <w:tc>
          <w:tcPr>
            <w:tcW w:w="100" w:type="dxa"/>
            <w:vAlign w:val="bottom"/>
            <w:tcBorders>
              <w:bottom w:val="single" w:sz="8" w:color="EFEFEF"/>
            </w:tcBorders>
            <w:shd w:val="clear" w:color="auto" w:fill="EFEFEF"/>
          </w:tcPr>
          <w:p>
            <w:pPr>
              <w:spacing w:after="0"/>
              <w:rPr>
                <w:sz w:val="19"/>
                <w:szCs w:val="19"/>
                <w:color w:val="auto"/>
              </w:rPr>
            </w:pPr>
          </w:p>
        </w:tc>
        <w:tc>
          <w:tcPr>
            <w:tcW w:w="1240" w:type="dxa"/>
            <w:vAlign w:val="bottom"/>
            <w:tcBorders>
              <w:bottom w:val="single" w:sz="8" w:color="auto"/>
            </w:tcBorders>
            <w:shd w:val="clear" w:color="auto" w:fill="EFEFEF"/>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1,772</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1,828</w:t>
            </w:r>
          </w:p>
        </w:tc>
        <w:tc>
          <w:tcPr>
            <w:tcW w:w="100" w:type="dxa"/>
            <w:vAlign w:val="bottom"/>
            <w:tcBorders>
              <w:bottom w:val="single" w:sz="8" w:color="EFEFEF"/>
            </w:tcBorders>
            <w:shd w:val="clear" w:color="auto" w:fill="EFEFEF"/>
          </w:tcPr>
          <w:p>
            <w:pPr>
              <w:spacing w:after="0"/>
              <w:rPr>
                <w:sz w:val="19"/>
                <w:szCs w:val="19"/>
                <w:color w:val="auto"/>
              </w:rPr>
            </w:pPr>
          </w:p>
        </w:tc>
        <w:tc>
          <w:tcPr>
            <w:tcW w:w="1600" w:type="dxa"/>
            <w:vAlign w:val="bottom"/>
            <w:tcBorders>
              <w:bottom w:val="single" w:sz="8" w:color="auto"/>
            </w:tcBorders>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124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EFEFEF"/>
            </w:tcBorders>
            <w:shd w:val="clear" w:color="auto" w:fill="EFEFEF"/>
          </w:tcPr>
          <w:p>
            <w:pPr>
              <w:spacing w:after="0"/>
              <w:rPr>
                <w:sz w:val="19"/>
                <w:szCs w:val="19"/>
                <w:color w:val="auto"/>
              </w:rPr>
            </w:pPr>
          </w:p>
        </w:tc>
        <w:tc>
          <w:tcPr>
            <w:tcW w:w="12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29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Second Quarter</w:t>
            </w:r>
          </w:p>
        </w:tc>
        <w:tc>
          <w:tcPr>
            <w:tcW w:w="122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477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464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580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133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23"/>
        </w:trPr>
        <w:tc>
          <w:tcPr>
            <w:tcW w:w="2960" w:type="dxa"/>
            <w:vAlign w:val="bottom"/>
            <w:shd w:val="clear" w:color="auto" w:fill="EFEFEF"/>
          </w:tcPr>
          <w:p>
            <w:pPr>
              <w:ind w:left="80"/>
              <w:spacing w:after="0" w:line="223" w:lineRule="exact"/>
              <w:rPr>
                <w:sz w:val="20"/>
                <w:szCs w:val="20"/>
                <w:color w:val="auto"/>
              </w:rPr>
            </w:pPr>
            <w:r>
              <w:rPr>
                <w:rFonts w:ascii="Times New Roman" w:cs="Times New Roman" w:eastAsia="Times New Roman" w:hAnsi="Times New Roman"/>
                <w:sz w:val="20"/>
                <w:szCs w:val="20"/>
                <w:color w:val="auto"/>
              </w:rPr>
              <w:t>July</w:t>
            </w:r>
          </w:p>
        </w:tc>
        <w:tc>
          <w:tcPr>
            <w:tcW w:w="1220" w:type="dxa"/>
            <w:vAlign w:val="bottom"/>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1340" w:type="dxa"/>
            <w:vAlign w:val="bottom"/>
            <w:gridSpan w:val="2"/>
            <w:shd w:val="clear" w:color="auto" w:fill="EFEFEF"/>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10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700" w:type="dxa"/>
            <w:vAlign w:val="bottom"/>
            <w:gridSpan w:val="2"/>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190</w:t>
            </w:r>
          </w:p>
        </w:tc>
        <w:tc>
          <w:tcPr>
            <w:tcW w:w="1340" w:type="dxa"/>
            <w:vAlign w:val="bottom"/>
            <w:gridSpan w:val="2"/>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209</w:t>
            </w:r>
          </w:p>
        </w:tc>
        <w:tc>
          <w:tcPr>
            <w:tcW w:w="100" w:type="dxa"/>
            <w:vAlign w:val="bottom"/>
            <w:shd w:val="clear" w:color="auto" w:fill="EFEFEF"/>
          </w:tcPr>
          <w:p>
            <w:pPr>
              <w:spacing w:after="0"/>
              <w:rPr>
                <w:sz w:val="19"/>
                <w:szCs w:val="19"/>
                <w:color w:val="auto"/>
              </w:rPr>
            </w:pPr>
          </w:p>
        </w:tc>
        <w:tc>
          <w:tcPr>
            <w:tcW w:w="126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August</w:t>
            </w:r>
          </w:p>
        </w:tc>
        <w:tc>
          <w:tcPr>
            <w:tcW w:w="12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19"/>
                <w:szCs w:val="19"/>
                <w:color w:val="auto"/>
              </w:rPr>
            </w:pPr>
          </w:p>
        </w:tc>
        <w:tc>
          <w:tcPr>
            <w:tcW w:w="156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170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202</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277</w:t>
            </w:r>
          </w:p>
        </w:tc>
        <w:tc>
          <w:tcPr>
            <w:tcW w:w="10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EFEFEF"/>
            </w:tcBorders>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September</w:t>
            </w:r>
          </w:p>
        </w:tc>
        <w:tc>
          <w:tcPr>
            <w:tcW w:w="122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61</w:t>
            </w:r>
          </w:p>
        </w:tc>
        <w:tc>
          <w:tcPr>
            <w:tcW w:w="100" w:type="dxa"/>
            <w:vAlign w:val="bottom"/>
            <w:tcBorders>
              <w:bottom w:val="single" w:sz="8" w:color="EFEFEF"/>
            </w:tcBorders>
            <w:shd w:val="clear" w:color="auto" w:fill="EFEFEF"/>
          </w:tcPr>
          <w:p>
            <w:pPr>
              <w:spacing w:after="0"/>
              <w:rPr>
                <w:sz w:val="19"/>
                <w:szCs w:val="19"/>
                <w:color w:val="auto"/>
              </w:rPr>
            </w:pPr>
          </w:p>
        </w:tc>
        <w:tc>
          <w:tcPr>
            <w:tcW w:w="1240" w:type="dxa"/>
            <w:vAlign w:val="bottom"/>
            <w:tcBorders>
              <w:bottom w:val="single" w:sz="8" w:color="auto"/>
            </w:tcBorders>
            <w:shd w:val="clear" w:color="auto" w:fill="EFEFEF"/>
          </w:tcPr>
          <w:p>
            <w:pPr>
              <w:jc w:val="right"/>
              <w:ind w:right="181"/>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100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bottom w:val="single" w:sz="8" w:color="EFEFEF"/>
            </w:tcBorders>
            <w:shd w:val="clear" w:color="auto" w:fill="EFEFEF"/>
          </w:tcPr>
          <w:p>
            <w:pPr>
              <w:spacing w:after="0"/>
              <w:rPr>
                <w:sz w:val="19"/>
                <w:szCs w:val="19"/>
                <w:color w:val="auto"/>
              </w:rPr>
            </w:pPr>
          </w:p>
        </w:tc>
        <w:tc>
          <w:tcPr>
            <w:tcW w:w="1600" w:type="dxa"/>
            <w:vAlign w:val="bottom"/>
            <w:tcBorders>
              <w:bottom w:val="single" w:sz="8" w:color="auto"/>
            </w:tcBorders>
            <w:shd w:val="clear" w:color="auto" w:fill="EFEFEF"/>
          </w:tcPr>
          <w:p>
            <w:pPr>
              <w:jc w:val="right"/>
              <w:ind w:right="161"/>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Borders>
              <w:bottom w:val="single" w:sz="8" w:color="EFEFEF"/>
            </w:tcBorders>
            <w:shd w:val="clear" w:color="auto" w:fill="EFEFEF"/>
          </w:tcPr>
          <w:p>
            <w:pPr>
              <w:spacing w:after="0"/>
              <w:rPr>
                <w:sz w:val="19"/>
                <w:szCs w:val="19"/>
                <w:color w:val="auto"/>
              </w:rPr>
            </w:pPr>
          </w:p>
        </w:tc>
        <w:tc>
          <w:tcPr>
            <w:tcW w:w="124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Borders>
              <w:bottom w:val="single" w:sz="8" w:color="EFEFEF"/>
            </w:tcBorders>
            <w:shd w:val="clear" w:color="auto" w:fill="EFEFEF"/>
          </w:tcPr>
          <w:p>
            <w:pPr>
              <w:spacing w:after="0"/>
              <w:rPr>
                <w:sz w:val="19"/>
                <w:szCs w:val="19"/>
                <w:color w:val="auto"/>
              </w:rPr>
            </w:pPr>
          </w:p>
        </w:tc>
        <w:tc>
          <w:tcPr>
            <w:tcW w:w="12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23"/>
        </w:trPr>
        <w:tc>
          <w:tcPr>
            <w:tcW w:w="29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Third Quarter</w:t>
            </w:r>
          </w:p>
        </w:tc>
        <w:tc>
          <w:tcPr>
            <w:tcW w:w="122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415</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588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540</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EFEFEF"/>
            </w:tcBorders>
            <w:shd w:val="clear" w:color="auto" w:fill="EFEFEF"/>
          </w:tcPr>
          <w:p>
            <w:pPr>
              <w:ind w:left="160"/>
              <w:spacing w:after="0" w:line="223" w:lineRule="exact"/>
              <w:rPr>
                <w:sz w:val="20"/>
                <w:szCs w:val="20"/>
                <w:color w:val="auto"/>
              </w:rPr>
            </w:pPr>
            <w:r>
              <w:rPr>
                <w:rFonts w:ascii="Times New Roman" w:cs="Times New Roman" w:eastAsia="Times New Roman" w:hAnsi="Times New Roman"/>
                <w:sz w:val="20"/>
                <w:szCs w:val="20"/>
                <w:color w:val="auto"/>
              </w:rPr>
              <w:t>Year-to-date</w:t>
            </w:r>
          </w:p>
        </w:tc>
        <w:tc>
          <w:tcPr>
            <w:tcW w:w="1220" w:type="dxa"/>
            <w:vAlign w:val="bottom"/>
            <w:tcBorders>
              <w:bottom w:val="single" w:sz="8" w:color="auto"/>
            </w:tcBorders>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2,283</w:t>
            </w:r>
          </w:p>
        </w:tc>
        <w:tc>
          <w:tcPr>
            <w:tcW w:w="100" w:type="dxa"/>
            <w:vAlign w:val="bottom"/>
            <w:tcBorders>
              <w:bottom w:val="single" w:sz="8" w:color="EFEFEF"/>
            </w:tcBorders>
            <w:shd w:val="clear" w:color="auto" w:fill="EFEFEF"/>
          </w:tcPr>
          <w:p>
            <w:pPr>
              <w:spacing w:after="0"/>
              <w:rPr>
                <w:sz w:val="22"/>
                <w:szCs w:val="22"/>
                <w:color w:val="auto"/>
              </w:rPr>
            </w:pPr>
          </w:p>
        </w:tc>
        <w:tc>
          <w:tcPr>
            <w:tcW w:w="1240" w:type="dxa"/>
            <w:vAlign w:val="bottom"/>
            <w:tcBorders>
              <w:bottom w:val="single" w:sz="8" w:color="auto"/>
            </w:tcBorders>
            <w:shd w:val="clear" w:color="auto" w:fill="EFEFEF"/>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2,255</w:t>
            </w:r>
          </w:p>
        </w:tc>
        <w:tc>
          <w:tcPr>
            <w:tcW w:w="100" w:type="dxa"/>
            <w:vAlign w:val="bottom"/>
            <w:tcBorders>
              <w:bottom w:val="single" w:sz="8" w:color="EFEFEF"/>
            </w:tcBorders>
            <w:shd w:val="clear" w:color="auto" w:fill="EFEFEF"/>
          </w:tcPr>
          <w:p>
            <w:pPr>
              <w:spacing w:after="0"/>
              <w:rPr>
                <w:sz w:val="22"/>
                <w:szCs w:val="22"/>
                <w:color w:val="auto"/>
              </w:rPr>
            </w:pPr>
          </w:p>
        </w:tc>
        <w:tc>
          <w:tcPr>
            <w:tcW w:w="220" w:type="dxa"/>
            <w:vAlign w:val="bottom"/>
            <w:tcBorders>
              <w:bottom w:val="single" w:sz="8" w:color="auto"/>
            </w:tcBorders>
            <w:shd w:val="clear" w:color="auto" w:fill="EFEFEF"/>
          </w:tcPr>
          <w:p>
            <w:pPr>
              <w:spacing w:after="0"/>
              <w:rPr>
                <w:sz w:val="22"/>
                <w:szCs w:val="22"/>
                <w:color w:val="auto"/>
              </w:rPr>
            </w:pPr>
          </w:p>
        </w:tc>
        <w:tc>
          <w:tcPr>
            <w:tcW w:w="100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2,462</w:t>
            </w:r>
          </w:p>
        </w:tc>
        <w:tc>
          <w:tcPr>
            <w:tcW w:w="100" w:type="dxa"/>
            <w:vAlign w:val="bottom"/>
            <w:tcBorders>
              <w:bottom w:val="single" w:sz="8" w:color="EFEFEF"/>
            </w:tcBorders>
            <w:shd w:val="clear" w:color="auto" w:fill="EFEFEF"/>
          </w:tcPr>
          <w:p>
            <w:pPr>
              <w:spacing w:after="0"/>
              <w:rPr>
                <w:sz w:val="22"/>
                <w:szCs w:val="22"/>
                <w:color w:val="auto"/>
              </w:rPr>
            </w:pPr>
          </w:p>
        </w:tc>
        <w:tc>
          <w:tcPr>
            <w:tcW w:w="1600" w:type="dxa"/>
            <w:vAlign w:val="bottom"/>
            <w:tcBorders>
              <w:bottom w:val="single" w:sz="8" w:color="auto"/>
            </w:tcBorders>
            <w:shd w:val="clear" w:color="auto" w:fill="EFEFE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548</w:t>
            </w:r>
          </w:p>
        </w:tc>
        <w:tc>
          <w:tcPr>
            <w:tcW w:w="100" w:type="dxa"/>
            <w:vAlign w:val="bottom"/>
            <w:tcBorders>
              <w:bottom w:val="single" w:sz="8" w:color="EFEFEF"/>
            </w:tcBorders>
            <w:shd w:val="clear" w:color="auto" w:fill="EFEFEF"/>
          </w:tcPr>
          <w:p>
            <w:pPr>
              <w:spacing w:after="0"/>
              <w:rPr>
                <w:sz w:val="22"/>
                <w:szCs w:val="22"/>
                <w:color w:val="auto"/>
              </w:rPr>
            </w:pPr>
          </w:p>
        </w:tc>
        <w:tc>
          <w:tcPr>
            <w:tcW w:w="124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694</w:t>
            </w:r>
          </w:p>
        </w:tc>
        <w:tc>
          <w:tcPr>
            <w:tcW w:w="100" w:type="dxa"/>
            <w:vAlign w:val="bottom"/>
            <w:tcBorders>
              <w:bottom w:val="single" w:sz="8" w:color="EFEFEF"/>
            </w:tcBorders>
            <w:shd w:val="clear" w:color="auto" w:fill="EFEFEF"/>
          </w:tcPr>
          <w:p>
            <w:pPr>
              <w:spacing w:after="0"/>
              <w:rPr>
                <w:sz w:val="22"/>
                <w:szCs w:val="22"/>
                <w:color w:val="auto"/>
              </w:rPr>
            </w:pPr>
          </w:p>
        </w:tc>
        <w:tc>
          <w:tcPr>
            <w:tcW w:w="12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655</w:t>
            </w:r>
          </w:p>
        </w:tc>
        <w:tc>
          <w:tcPr>
            <w:tcW w:w="0" w:type="dxa"/>
            <w:vAlign w:val="bottom"/>
          </w:tcPr>
          <w:p>
            <w:pPr>
              <w:spacing w:after="0"/>
              <w:rPr>
                <w:sz w:val="1"/>
                <w:szCs w:val="1"/>
                <w:color w:val="auto"/>
              </w:rPr>
            </w:pPr>
          </w:p>
        </w:tc>
      </w:tr>
      <w:tr>
        <w:trPr>
          <w:trHeight w:val="187"/>
        </w:trPr>
        <w:tc>
          <w:tcPr>
            <w:tcW w:w="2960" w:type="dxa"/>
            <w:vAlign w:val="bottom"/>
          </w:tcPr>
          <w:p>
            <w:pPr>
              <w:ind w:left="160"/>
              <w:spacing w:after="0" w:line="187" w:lineRule="exact"/>
              <w:rPr>
                <w:sz w:val="20"/>
                <w:szCs w:val="20"/>
                <w:color w:val="auto"/>
              </w:rPr>
            </w:pPr>
            <w:r>
              <w:rPr>
                <w:rFonts w:ascii="Times New Roman" w:cs="Times New Roman" w:eastAsia="Times New Roman" w:hAnsi="Times New Roman"/>
                <w:sz w:val="20"/>
                <w:szCs w:val="20"/>
                <w:color w:val="auto"/>
              </w:rPr>
              <w:t>(Decrease)/Increase from the 15-</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160"/>
              <w:spacing w:after="0" w:line="212" w:lineRule="exact"/>
              <w:rPr>
                <w:sz w:val="20"/>
                <w:szCs w:val="20"/>
                <w:color w:val="auto"/>
              </w:rPr>
            </w:pPr>
            <w:r>
              <w:rPr>
                <w:rFonts w:ascii="Times New Roman" w:cs="Times New Roman" w:eastAsia="Times New Roman" w:hAnsi="Times New Roman"/>
                <w:sz w:val="20"/>
                <w:szCs w:val="20"/>
                <w:color w:val="auto"/>
              </w:rPr>
              <w:t>year average</w:t>
            </w:r>
          </w:p>
        </w:tc>
        <w:tc>
          <w:tcPr>
            <w:tcW w:w="122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-1224915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-1224915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-1224915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-1224915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-1224915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-624840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-624840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-624840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-624840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-624840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-316230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-299720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-316230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-299720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-316230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-299720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-316230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-316230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-299720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During the three months ended September 30, 2026 compared to the same three months of 2025, although the Company’s service territory saw an increase in heating degree-days, it was more than offset by the 29% less cooling degree-days than in 2025. Cooling degree-days were 23% below average in the third quarter of 2026 compared to 13% above average in 2025 while the number of heating degree-days recorded in the third quarter of 2026 was 28% above average compared to 69% below in the same period of 2025.</w:t>
      </w:r>
    </w:p>
    <w:p>
      <w:pPr>
        <w:spacing w:after="0" w:line="18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Company’s cost-of-service opt-out program caps participation by customers in the fixed three-year and minimum five-year opt-out programs, which account for the majority of energy delivered to Direct Access customers who purchase their energy from ESSs. Had the cap limit been fully subscribed and utilized, 12% of PGE’s total retail energy deliveries for the first nine months of 2026 would have been to these customers.</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PGE offers service to customers under an OPUC created New Large Load Direct Access program for unplanned, large, new loads and large load growth at existing customer sites. With the adoption of the New Large Load Direct Access program, which is capped at 119 MWa, as much as 16% of the Company’s retail energy deliveries could have been supplied by ESSs to Direct Access customers.</w:t>
      </w:r>
    </w:p>
    <w:p>
      <w:pPr>
        <w:spacing w:after="0" w:line="17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Customers are measured and reported in terms of individual service points, with certain companies who are either commercial, industrial, or Direct Access customers having multiple service points. Deliveries to Direct Access customers increased 0.5% in the nine months ended September 30, 2026 compared to the prior year, which is in line with PGE’s overall 0.1% increase in deliveries over the same comparative periods. Actual deliveries to Direct Access customers of energy supplied by ESSs represented 11% of PGE’s total retail energy deliveries for the first nine months of both 2026 and 2025. The OPUC, under docket UM 2024, undertook an investigation of long-term Direct Access with program caps being one of the issues under consideration. On May 7, 2026, the OPUC issued Order 26-153, which left the present caps in place, although provided an allowance for waiver opportunity if ESSs were to meet certain reliability conditions in the future.</w:t>
      </w:r>
    </w:p>
    <w:p>
      <w:pPr>
        <w:spacing w:after="0" w:line="18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Power Operations—</w:t>
      </w:r>
      <w:r>
        <w:rPr>
          <w:rFonts w:ascii="Times New Roman" w:cs="Times New Roman" w:eastAsia="Times New Roman" w:hAnsi="Times New Roman"/>
          <w:sz w:val="20"/>
          <w:szCs w:val="20"/>
          <w:color w:val="auto"/>
        </w:rPr>
        <w:t>PGE utilizes a combination of its own generating resources and wholesale market transactions to meet the energy needs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retail customers. The Company participates in wholesale markets by purchasing and selling electricity, natural gas, and environmental credits in an effort to meet the needs of, and obtain reasonably-priced power for, its retail customers. PGE continuously makes economic dispatch decisions based on numerous factors, such as plant availability, customer demand, river flows, wind conditions, and current wholesale prices. As a result, the amount of power generated and purchased in the wholesale market to meet the Company’s retail load requirement can vary from period to period and impacts NVPC and income from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regarding the performance of the Company’s generating resources for the nine months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2026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3"/>
          </w:tcPr>
          <w:p>
            <w:pPr>
              <w:jc w:val="center"/>
              <w:ind w:right="141"/>
              <w:spacing w:after="0"/>
              <w:rPr>
                <w:sz w:val="20"/>
                <w:szCs w:val="20"/>
                <w:color w:val="auto"/>
              </w:rPr>
            </w:pPr>
            <w:r>
              <w:rPr>
                <w:rFonts w:ascii="Times New Roman" w:cs="Times New Roman" w:eastAsia="Times New Roman" w:hAnsi="Times New Roman"/>
                <w:sz w:val="20"/>
                <w:szCs w:val="20"/>
                <w:b w:val="1"/>
                <w:bCs w:val="1"/>
                <w:color w:val="155CAB"/>
                <w:w w:val="99"/>
              </w:rPr>
              <w:t>Actual energy provided</w:t>
            </w:r>
          </w:p>
        </w:tc>
        <w:tc>
          <w:tcPr>
            <w:tcW w:w="120" w:type="dxa"/>
            <w:vAlign w:val="bottom"/>
          </w:tcPr>
          <w:p>
            <w:pPr>
              <w:spacing w:after="0"/>
              <w:rPr>
                <w:sz w:val="19"/>
                <w:szCs w:val="19"/>
                <w:color w:val="auto"/>
              </w:rPr>
            </w:pPr>
          </w:p>
        </w:tc>
        <w:tc>
          <w:tcPr>
            <w:tcW w:w="2680" w:type="dxa"/>
            <w:vAlign w:val="bottom"/>
            <w:gridSpan w:val="4"/>
          </w:tcPr>
          <w:p>
            <w:pPr>
              <w:jc w:val="center"/>
              <w:ind w:right="161"/>
              <w:spacing w:after="0"/>
              <w:rPr>
                <w:sz w:val="20"/>
                <w:szCs w:val="20"/>
                <w:color w:val="auto"/>
              </w:rPr>
            </w:pPr>
            <w:r>
              <w:rPr>
                <w:rFonts w:ascii="Times New Roman" w:cs="Times New Roman" w:eastAsia="Times New Roman" w:hAnsi="Times New Roman"/>
                <w:sz w:val="20"/>
                <w:szCs w:val="20"/>
                <w:b w:val="1"/>
                <w:bCs w:val="1"/>
                <w:color w:val="155CAB"/>
                <w:w w:val="99"/>
              </w:rPr>
              <w:t>Actual energy provided as a</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214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20"/>
                <w:szCs w:val="20"/>
                <w:b w:val="1"/>
                <w:bCs w:val="1"/>
                <w:color w:val="155CAB"/>
              </w:rPr>
              <w:t xml:space="preserve">Plant availability </w:t>
            </w:r>
            <w:r>
              <w:rPr>
                <w:rFonts w:ascii="Times New Roman" w:cs="Times New Roman" w:eastAsia="Times New Roman" w:hAnsi="Times New Roman"/>
                <w:sz w:val="26"/>
                <w:szCs w:val="26"/>
                <w:b w:val="1"/>
                <w:bCs w:val="1"/>
                <w:color w:val="155CAB"/>
                <w:vertAlign w:val="superscript"/>
              </w:rPr>
              <w:t>(1)</w:t>
            </w:r>
          </w:p>
        </w:tc>
        <w:tc>
          <w:tcPr>
            <w:tcW w:w="480" w:type="dxa"/>
            <w:vAlign w:val="bottom"/>
          </w:tcPr>
          <w:p>
            <w:pPr>
              <w:spacing w:after="0"/>
              <w:rPr>
                <w:sz w:val="19"/>
                <w:szCs w:val="19"/>
                <w:color w:val="auto"/>
              </w:rPr>
            </w:pPr>
          </w:p>
        </w:tc>
        <w:tc>
          <w:tcPr>
            <w:tcW w:w="2740" w:type="dxa"/>
            <w:vAlign w:val="bottom"/>
            <w:gridSpan w:val="4"/>
          </w:tcPr>
          <w:p>
            <w:pPr>
              <w:jc w:val="center"/>
              <w:ind w:right="21"/>
              <w:spacing w:after="0"/>
              <w:rPr>
                <w:sz w:val="20"/>
                <w:szCs w:val="20"/>
                <w:color w:val="auto"/>
              </w:rPr>
            </w:pPr>
            <w:r>
              <w:rPr>
                <w:rFonts w:ascii="Times New Roman" w:cs="Times New Roman" w:eastAsia="Times New Roman" w:hAnsi="Times New Roman"/>
                <w:sz w:val="20"/>
                <w:szCs w:val="20"/>
                <w:b w:val="1"/>
                <w:bCs w:val="1"/>
                <w:color w:val="155CAB"/>
                <w:w w:val="98"/>
              </w:rPr>
              <w:t>compared to projected levels</w:t>
            </w:r>
          </w:p>
        </w:tc>
        <w:tc>
          <w:tcPr>
            <w:tcW w:w="120" w:type="dxa"/>
            <w:vAlign w:val="bottom"/>
          </w:tcPr>
          <w:p>
            <w:pPr>
              <w:spacing w:after="0"/>
              <w:rPr>
                <w:sz w:val="19"/>
                <w:szCs w:val="19"/>
                <w:color w:val="auto"/>
              </w:rPr>
            </w:pPr>
          </w:p>
        </w:tc>
        <w:tc>
          <w:tcPr>
            <w:tcW w:w="2680" w:type="dxa"/>
            <w:vAlign w:val="bottom"/>
            <w:gridSpan w:val="4"/>
          </w:tcPr>
          <w:p>
            <w:pPr>
              <w:jc w:val="center"/>
              <w:ind w:right="161"/>
              <w:spacing w:after="0"/>
              <w:rPr>
                <w:sz w:val="20"/>
                <w:szCs w:val="20"/>
                <w:color w:val="auto"/>
              </w:rPr>
            </w:pPr>
            <w:r>
              <w:rPr>
                <w:rFonts w:ascii="Times New Roman" w:cs="Times New Roman" w:eastAsia="Times New Roman" w:hAnsi="Times New Roman"/>
                <w:sz w:val="20"/>
                <w:szCs w:val="20"/>
                <w:b w:val="1"/>
                <w:bCs w:val="1"/>
                <w:color w:val="155CAB"/>
                <w:w w:val="98"/>
              </w:rPr>
              <w:t>percentage of total system</w:t>
            </w:r>
          </w:p>
        </w:tc>
        <w:tc>
          <w:tcPr>
            <w:tcW w:w="0" w:type="dxa"/>
            <w:vAlign w:val="bottom"/>
          </w:tcPr>
          <w:p>
            <w:pPr>
              <w:spacing w:after="0"/>
              <w:rPr>
                <w:sz w:val="1"/>
                <w:szCs w:val="1"/>
                <w:color w:val="auto"/>
              </w:rPr>
            </w:pPr>
          </w:p>
        </w:tc>
      </w:tr>
      <w:tr>
        <w:trPr>
          <w:trHeight w:val="257"/>
        </w:trPr>
        <w:tc>
          <w:tcPr>
            <w:tcW w:w="3080" w:type="dxa"/>
            <w:vAlign w:val="bottom"/>
          </w:tcPr>
          <w:p>
            <w:pPr>
              <w:spacing w:after="0"/>
              <w:rPr>
                <w:sz w:val="22"/>
                <w:szCs w:val="22"/>
                <w:color w:val="auto"/>
              </w:rPr>
            </w:pPr>
          </w:p>
        </w:tc>
        <w:tc>
          <w:tcPr>
            <w:tcW w:w="2140" w:type="dxa"/>
            <w:vAlign w:val="bottom"/>
            <w:gridSpan w:val="4"/>
            <w:vMerge w:val="continue"/>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gridSpan w:val="3"/>
          </w:tcPr>
          <w:p>
            <w:pPr>
              <w:jc w:val="center"/>
              <w:ind w:left="1066"/>
              <w:spacing w:after="0"/>
              <w:rPr>
                <w:sz w:val="20"/>
                <w:szCs w:val="20"/>
                <w:color w:val="auto"/>
              </w:rPr>
            </w:pPr>
            <w:r>
              <w:rPr>
                <w:rFonts w:ascii="Times New Roman" w:cs="Times New Roman" w:eastAsia="Times New Roman" w:hAnsi="Times New Roman"/>
                <w:sz w:val="13"/>
                <w:szCs w:val="13"/>
                <w:b w:val="1"/>
                <w:bCs w:val="1"/>
                <w:color w:val="155CAB"/>
              </w:rPr>
              <w:t>(2)</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center"/>
              <w:ind w:left="801"/>
              <w:spacing w:after="0"/>
              <w:rPr>
                <w:sz w:val="20"/>
                <w:szCs w:val="20"/>
                <w:color w:val="auto"/>
              </w:rPr>
            </w:pPr>
            <w:r>
              <w:rPr>
                <w:rFonts w:ascii="Times New Roman" w:cs="Times New Roman" w:eastAsia="Times New Roman" w:hAnsi="Times New Roman"/>
                <w:sz w:val="20"/>
                <w:szCs w:val="20"/>
                <w:b w:val="1"/>
                <w:bCs w:val="1"/>
                <w:color w:val="155CAB"/>
                <w:w w:val="98"/>
              </w:rPr>
              <w:t>load</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780" w:type="dxa"/>
            <w:vAlign w:val="bottom"/>
            <w:tcBorders>
              <w:top w:val="single" w:sz="8" w:color="155CAB"/>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460" w:type="dxa"/>
            <w:vAlign w:val="bottom"/>
            <w:tcBorders>
              <w:top w:val="single" w:sz="8" w:color="155CAB"/>
              <w:bottom w:val="single" w:sz="8" w:color="155CAB"/>
            </w:tcBorders>
          </w:tcPr>
          <w:p>
            <w:pPr>
              <w:spacing w:after="0"/>
              <w:rPr>
                <w:sz w:val="19"/>
                <w:szCs w:val="19"/>
                <w:color w:val="auto"/>
              </w:rPr>
            </w:pPr>
          </w:p>
        </w:tc>
        <w:tc>
          <w:tcPr>
            <w:tcW w:w="120" w:type="dxa"/>
            <w:vAlign w:val="bottom"/>
            <w:tcBorders>
              <w:top w:val="single" w:sz="8" w:color="155CAB"/>
            </w:tcBorders>
          </w:tcPr>
          <w:p>
            <w:pPr>
              <w:spacing w:after="0"/>
              <w:rPr>
                <w:sz w:val="19"/>
                <w:szCs w:val="19"/>
                <w:color w:val="auto"/>
              </w:rPr>
            </w:pPr>
          </w:p>
        </w:tc>
        <w:tc>
          <w:tcPr>
            <w:tcW w:w="780" w:type="dxa"/>
            <w:vAlign w:val="bottom"/>
            <w:tcBorders>
              <w:top w:val="single" w:sz="8" w:color="155CAB"/>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480" w:type="dxa"/>
            <w:vAlign w:val="bottom"/>
            <w:tcBorders>
              <w:top w:val="single" w:sz="8" w:color="155CAB"/>
              <w:bottom w:val="single" w:sz="8" w:color="155CAB"/>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155CAB"/>
              <w:bottom w:val="single" w:sz="8" w:color="155CAB"/>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Borders>
              <w:top w:val="single" w:sz="8" w:color="155CAB"/>
            </w:tcBorders>
          </w:tcPr>
          <w:p>
            <w:pPr>
              <w:spacing w:after="0"/>
              <w:rPr>
                <w:sz w:val="19"/>
                <w:szCs w:val="19"/>
                <w:color w:val="auto"/>
              </w:rPr>
            </w:pPr>
          </w:p>
        </w:tc>
        <w:tc>
          <w:tcPr>
            <w:tcW w:w="1260" w:type="dxa"/>
            <w:vAlign w:val="bottom"/>
            <w:tcBorders>
              <w:top w:val="single" w:sz="8" w:color="155CAB"/>
              <w:bottom w:val="single" w:sz="8" w:color="155CAB"/>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20" w:type="dxa"/>
            <w:vAlign w:val="bottom"/>
          </w:tcPr>
          <w:p>
            <w:pPr>
              <w:spacing w:after="0"/>
              <w:rPr>
                <w:sz w:val="19"/>
                <w:szCs w:val="19"/>
                <w:color w:val="auto"/>
              </w:rPr>
            </w:pPr>
          </w:p>
        </w:tc>
        <w:tc>
          <w:tcPr>
            <w:tcW w:w="1260" w:type="dxa"/>
            <w:vAlign w:val="bottom"/>
            <w:tcBorders>
              <w:top w:val="single" w:sz="8" w:color="155CAB"/>
              <w:bottom w:val="single" w:sz="8" w:color="155CAB"/>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Borders>
              <w:top w:val="single" w:sz="8" w:color="155CAB"/>
            </w:tcBorders>
          </w:tcPr>
          <w:p>
            <w:pPr>
              <w:spacing w:after="0"/>
              <w:rPr>
                <w:sz w:val="19"/>
                <w:szCs w:val="19"/>
                <w:color w:val="auto"/>
              </w:rPr>
            </w:pPr>
          </w:p>
        </w:tc>
        <w:tc>
          <w:tcPr>
            <w:tcW w:w="200" w:type="dxa"/>
            <w:vAlign w:val="bottom"/>
            <w:tcBorders>
              <w:top w:val="single" w:sz="8" w:color="155CAB"/>
              <w:bottom w:val="single" w:sz="8" w:color="155CAB"/>
            </w:tcBorders>
          </w:tcPr>
          <w:p>
            <w:pPr>
              <w:spacing w:after="0"/>
              <w:rPr>
                <w:sz w:val="19"/>
                <w:szCs w:val="19"/>
                <w:color w:val="auto"/>
              </w:rPr>
            </w:pPr>
          </w:p>
        </w:tc>
        <w:tc>
          <w:tcPr>
            <w:tcW w:w="1100" w:type="dxa"/>
            <w:vAlign w:val="bottom"/>
            <w:tcBorders>
              <w:top w:val="single" w:sz="8" w:color="155CAB"/>
              <w:bottom w:val="single" w:sz="8" w:color="155CAB"/>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0" w:type="dxa"/>
            <w:vAlign w:val="bottom"/>
          </w:tcPr>
          <w:p>
            <w:pPr>
              <w:spacing w:after="0"/>
              <w:rPr>
                <w:sz w:val="1"/>
                <w:szCs w:val="1"/>
                <w:color w:val="auto"/>
              </w:rPr>
            </w:pPr>
          </w:p>
        </w:tc>
      </w:tr>
      <w:tr>
        <w:trPr>
          <w:trHeight w:val="223"/>
        </w:trPr>
        <w:tc>
          <w:tcPr>
            <w:tcW w:w="386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Generation:</w:t>
            </w:r>
          </w:p>
        </w:tc>
        <w:tc>
          <w:tcPr>
            <w:tcW w:w="4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48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2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2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26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110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Thermal:</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Natural gas</w:t>
            </w:r>
          </w:p>
        </w:tc>
        <w:tc>
          <w:tcPr>
            <w:tcW w:w="460" w:type="dxa"/>
            <w:vAlign w:val="bottom"/>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81%</w:t>
            </w:r>
          </w:p>
        </w:tc>
        <w:tc>
          <w:tcPr>
            <w:tcW w:w="120" w:type="dxa"/>
            <w:vAlign w:val="bottom"/>
            <w:shd w:val="clear" w:color="auto" w:fill="EFEFEF"/>
          </w:tcPr>
          <w:p>
            <w:pPr>
              <w:spacing w:after="0"/>
              <w:rPr>
                <w:sz w:val="19"/>
                <w:szCs w:val="19"/>
                <w:color w:val="auto"/>
              </w:rPr>
            </w:pPr>
          </w:p>
        </w:tc>
        <w:tc>
          <w:tcPr>
            <w:tcW w:w="780" w:type="dxa"/>
            <w:vAlign w:val="bottom"/>
            <w:shd w:val="clear" w:color="auto" w:fill="EFEFEF"/>
          </w:tcPr>
          <w:p>
            <w:pPr>
              <w:spacing w:after="0"/>
              <w:rPr>
                <w:sz w:val="19"/>
                <w:szCs w:val="19"/>
                <w:color w:val="auto"/>
              </w:rPr>
            </w:pPr>
          </w:p>
        </w:tc>
        <w:tc>
          <w:tcPr>
            <w:tcW w:w="48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87%</w:t>
            </w:r>
          </w:p>
        </w:tc>
        <w:tc>
          <w:tcPr>
            <w:tcW w:w="1360" w:type="dxa"/>
            <w:vAlign w:val="bottom"/>
            <w:gridSpan w:val="2"/>
            <w:shd w:val="clear" w:color="auto" w:fill="EFEFEF"/>
          </w:tcPr>
          <w:p>
            <w:pPr>
              <w:ind w:left="960"/>
              <w:spacing w:after="0"/>
              <w:rPr>
                <w:sz w:val="20"/>
                <w:szCs w:val="20"/>
                <w:color w:val="auto"/>
              </w:rPr>
            </w:pPr>
            <w:r>
              <w:rPr>
                <w:rFonts w:ascii="Times New Roman" w:cs="Times New Roman" w:eastAsia="Times New Roman" w:hAnsi="Times New Roman"/>
                <w:sz w:val="20"/>
                <w:szCs w:val="20"/>
                <w:color w:val="auto"/>
              </w:rPr>
              <w:t>81%</w:t>
            </w:r>
          </w:p>
        </w:tc>
        <w:tc>
          <w:tcPr>
            <w:tcW w:w="120" w:type="dxa"/>
            <w:vAlign w:val="bottom"/>
            <w:shd w:val="clear" w:color="auto" w:fill="EFEFEF"/>
          </w:tcPr>
          <w:p>
            <w:pPr>
              <w:spacing w:after="0"/>
              <w:rPr>
                <w:sz w:val="19"/>
                <w:szCs w:val="19"/>
                <w:color w:val="auto"/>
              </w:rPr>
            </w:pPr>
          </w:p>
        </w:tc>
        <w:tc>
          <w:tcPr>
            <w:tcW w:w="12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38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11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0"/>
                <w:szCs w:val="20"/>
                <w:color w:val="auto"/>
              </w:rPr>
              <w:t xml:space="preserve">Coal </w:t>
            </w:r>
            <w:r>
              <w:rPr>
                <w:rFonts w:ascii="Times New Roman" w:cs="Times New Roman" w:eastAsia="Times New Roman" w:hAnsi="Times New Roman"/>
                <w:sz w:val="26"/>
                <w:szCs w:val="26"/>
                <w:color w:val="auto"/>
                <w:vertAlign w:val="superscript"/>
              </w:rPr>
              <w:t>(3)</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77</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69</w:t>
            </w:r>
          </w:p>
        </w:tc>
        <w:tc>
          <w:tcPr>
            <w:tcW w:w="120" w:type="dxa"/>
            <w:vAlign w:val="bottom"/>
          </w:tcPr>
          <w:p>
            <w:pPr>
              <w:spacing w:after="0"/>
              <w:rPr>
                <w:sz w:val="21"/>
                <w:szCs w:val="21"/>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100</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EFEFEF"/>
          </w:tcPr>
          <w:p>
            <w:pPr>
              <w:ind w:left="80"/>
              <w:spacing w:after="0" w:line="243" w:lineRule="exact"/>
              <w:rPr>
                <w:sz w:val="20"/>
                <w:szCs w:val="20"/>
                <w:color w:val="auto"/>
              </w:rPr>
            </w:pPr>
            <w:r>
              <w:rPr>
                <w:rFonts w:ascii="Times New Roman" w:cs="Times New Roman" w:eastAsia="Times New Roman" w:hAnsi="Times New Roman"/>
                <w:sz w:val="20"/>
                <w:szCs w:val="20"/>
                <w:color w:val="auto"/>
              </w:rPr>
              <w:t xml:space="preserve">Wind </w:t>
            </w:r>
            <w:r>
              <w:rPr>
                <w:rFonts w:ascii="Times New Roman" w:cs="Times New Roman" w:eastAsia="Times New Roman" w:hAnsi="Times New Roman"/>
                <w:sz w:val="26"/>
                <w:szCs w:val="26"/>
                <w:color w:val="auto"/>
                <w:vertAlign w:val="superscript"/>
              </w:rPr>
              <w:t>(4)</w:t>
            </w:r>
          </w:p>
        </w:tc>
        <w:tc>
          <w:tcPr>
            <w:tcW w:w="460" w:type="dxa"/>
            <w:vAlign w:val="bottom"/>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87</w:t>
            </w:r>
          </w:p>
        </w:tc>
        <w:tc>
          <w:tcPr>
            <w:tcW w:w="120" w:type="dxa"/>
            <w:vAlign w:val="bottom"/>
            <w:shd w:val="clear" w:color="auto" w:fill="EFEFEF"/>
          </w:tcPr>
          <w:p>
            <w:pPr>
              <w:spacing w:after="0"/>
              <w:rPr>
                <w:sz w:val="21"/>
                <w:szCs w:val="21"/>
                <w:color w:val="auto"/>
              </w:rPr>
            </w:pPr>
          </w:p>
        </w:tc>
        <w:tc>
          <w:tcPr>
            <w:tcW w:w="780" w:type="dxa"/>
            <w:vAlign w:val="bottom"/>
            <w:shd w:val="clear" w:color="auto" w:fill="EFEFEF"/>
          </w:tcPr>
          <w:p>
            <w:pPr>
              <w:spacing w:after="0"/>
              <w:rPr>
                <w:sz w:val="21"/>
                <w:szCs w:val="21"/>
                <w:color w:val="auto"/>
              </w:rPr>
            </w:pPr>
          </w:p>
        </w:tc>
        <w:tc>
          <w:tcPr>
            <w:tcW w:w="48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89</w:t>
            </w:r>
          </w:p>
        </w:tc>
        <w:tc>
          <w:tcPr>
            <w:tcW w:w="1360" w:type="dxa"/>
            <w:vAlign w:val="bottom"/>
            <w:gridSpan w:val="2"/>
            <w:shd w:val="clear" w:color="auto" w:fill="EFEFEF"/>
          </w:tcPr>
          <w:p>
            <w:pPr>
              <w:ind w:left="960"/>
              <w:spacing w:after="0"/>
              <w:rPr>
                <w:sz w:val="20"/>
                <w:szCs w:val="20"/>
                <w:color w:val="auto"/>
              </w:rPr>
            </w:pPr>
            <w:r>
              <w:rPr>
                <w:rFonts w:ascii="Times New Roman" w:cs="Times New Roman" w:eastAsia="Times New Roman" w:hAnsi="Times New Roman"/>
                <w:sz w:val="20"/>
                <w:szCs w:val="20"/>
                <w:color w:val="auto"/>
              </w:rPr>
              <w:t>91</w:t>
            </w:r>
          </w:p>
        </w:tc>
        <w:tc>
          <w:tcPr>
            <w:tcW w:w="120" w:type="dxa"/>
            <w:vAlign w:val="bottom"/>
            <w:shd w:val="clear" w:color="auto" w:fill="EFEFEF"/>
          </w:tcPr>
          <w:p>
            <w:pPr>
              <w:spacing w:after="0"/>
              <w:rPr>
                <w:sz w:val="21"/>
                <w:szCs w:val="21"/>
                <w:color w:val="auto"/>
              </w:rPr>
            </w:pPr>
          </w:p>
        </w:tc>
        <w:tc>
          <w:tcPr>
            <w:tcW w:w="126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95</w:t>
            </w:r>
          </w:p>
        </w:tc>
        <w:tc>
          <w:tcPr>
            <w:tcW w:w="1380" w:type="dxa"/>
            <w:vAlign w:val="bottom"/>
            <w:gridSpan w:val="2"/>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EFEFEF"/>
          </w:tcPr>
          <w:p>
            <w:pPr>
              <w:spacing w:after="0"/>
              <w:rPr>
                <w:sz w:val="21"/>
                <w:szCs w:val="21"/>
                <w:color w:val="auto"/>
              </w:rPr>
            </w:pPr>
          </w:p>
        </w:tc>
        <w:tc>
          <w:tcPr>
            <w:tcW w:w="200" w:type="dxa"/>
            <w:vAlign w:val="bottom"/>
            <w:shd w:val="clear" w:color="auto" w:fill="EFEFEF"/>
          </w:tcPr>
          <w:p>
            <w:pPr>
              <w:spacing w:after="0"/>
              <w:rPr>
                <w:sz w:val="21"/>
                <w:szCs w:val="21"/>
                <w:color w:val="auto"/>
              </w:rPr>
            </w:pPr>
          </w:p>
        </w:tc>
        <w:tc>
          <w:tcPr>
            <w:tcW w:w="110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8"/>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Hydro</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95</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73</w:t>
            </w:r>
          </w:p>
        </w:tc>
        <w:tc>
          <w:tcPr>
            <w:tcW w:w="120" w:type="dxa"/>
            <w:vAlign w:val="bottom"/>
          </w:tcPr>
          <w:p>
            <w:pPr>
              <w:spacing w:after="0"/>
              <w:rPr>
                <w:sz w:val="22"/>
                <w:szCs w:val="22"/>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95</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right="140" w:hanging="372"/>
        <w:spacing w:after="0" w:line="261"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availability represents the percentage of the period plants were available for operations, which is impacted by planned maintenance and forced, or unplanned, outages.</w:t>
      </w:r>
    </w:p>
    <w:p>
      <w:pPr>
        <w:jc w:val="both"/>
        <w:ind w:left="380" w:right="160" w:hanging="372"/>
        <w:spacing w:after="0" w:line="25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energy are included as part of PGE’s AUT. Such projections establish the power cost component of retail prices for the following calendar year. Any shortfall is generally replaced with power from higher cost sources, while any excess generally displaces power from higher cost sources.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availability reflects Colstrip, which PGE does not operate.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availability includes Wheatridge Renewable Energy Facility and Clearwater, neither of which does PGE operate.</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Energy received from PGE-owned and jointly-owned thermal plants during the nine months ended September 30, 2026 compared to 2025 decreased 19%. This decrease was primarily driven by economic dispatch decisions. Energy expected to be received from thermal resources is projected annually in the AUT based on forecast market prices, variable costs to run the plant, and the constraints of the plant. PGE’s thermal generating plants require varying levels of annual maintenance, which is generally performed during the second quarter of the year.</w:t>
      </w:r>
    </w:p>
    <w:p>
      <w:pPr>
        <w:spacing w:after="0" w:line="16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Total energy received from hydroelectric generation sources, both PGE-owned generation and purchased, decreased 31% during the nine months ended September 30, 2026 compared to 2025. Energy purchased from mid-Columbia and other regional hydroelectric projects decreased 33% and energy generated by the Company-owned facilities decreased 21% during the nine months ended September 30, 2026. Energy expected to be received from hydroelectric resources is projected annually in the AUT based on a modified hydro study, which utilizes 10 years of historical generation data. See “</w:t>
      </w:r>
      <w:r>
        <w:rPr>
          <w:rFonts w:ascii="Times New Roman" w:cs="Times New Roman" w:eastAsia="Times New Roman" w:hAnsi="Times New Roman"/>
          <w:sz w:val="20"/>
          <w:szCs w:val="20"/>
          <w:i w:val="1"/>
          <w:iCs w:val="1"/>
          <w:color w:val="auto"/>
        </w:rPr>
        <w:t>Purchased power and fuel</w:t>
      </w:r>
      <w:r>
        <w:rPr>
          <w:rFonts w:ascii="Times New Roman" w:cs="Times New Roman" w:eastAsia="Times New Roman" w:hAnsi="Times New Roman"/>
          <w:sz w:val="20"/>
          <w:szCs w:val="20"/>
          <w:color w:val="auto"/>
        </w:rPr>
        <w:t>” in the Results of Operations section in this Item 2, for further detail on regional hydro results.</w:t>
      </w:r>
    </w:p>
    <w:p>
      <w:pPr>
        <w:spacing w:after="0" w:line="184"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auto"/>
        </w:rPr>
        <w:t>Energy received from PGE-owned and under contract wind resources increased 3% during the nine months ended September 30, 2026 compared to 2025. Energy expected to be received from wind generating resources is projected annually in the AUT based on historical generation. Wind generation forecasts are developed using a 5-year rolling average of historical wind levels or forecast studies when historical data is not available.</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Under the PCAM, the Company may share with customers a portion of cost variances associated with NVPC. Customer prices can be adjusted annually to absorb a portion of the difference between the forecasted NVPC included in customer prices (baseline NVPC) and actual NVPC for the year, if such differences exceed a prescribed “deadband” limit, which ranges from $15 million below to $30 million above baseline NVPC. To the extent actual NVPC, subject to certain adjustments, is outside the deadband range, the PCAM provides for 90% of the excess variance to be collected from, or refunded to, customers. Pursuant to a regulated earnings test, a refund will occur only to the extent that it results in PGE’s actual ROE for the given year being no less than 1% above the Company’s latest authorized ROE, while a collection will occur only to the extent that it results in PGE’s actual regulated ROE for that year being no greater than 1% below the Company’s authorized ROE. The following is a summary of the results of the PCAM as calculated for regulatory purposes:</w:t>
      </w:r>
    </w:p>
    <w:p>
      <w:pPr>
        <w:spacing w:after="0" w:line="81" w:lineRule="exact"/>
        <w:rPr>
          <w:sz w:val="20"/>
          <w:szCs w:val="20"/>
          <w:color w:val="auto"/>
        </w:rPr>
      </w:pPr>
    </w:p>
    <w:p>
      <w:pPr>
        <w:ind w:left="760" w:right="180" w:hanging="378"/>
        <w:spacing w:after="0" w:line="254" w:lineRule="auto"/>
        <w:tabs>
          <w:tab w:leader="none" w:pos="760"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For the nine months ended September 30, 2026, actual NVPC was $17 million above baseline NVPC. Based on forecast data, NVPC for the year ending December 31, 2026 is currently estimated to be below the baseline and within the established deadband range. Accordingly, there is no estimated refund to customers expected under the PCAM for 2026.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0" w:hanging="378"/>
        <w:spacing w:after="0" w:line="249" w:lineRule="auto"/>
        <w:tabs>
          <w:tab w:leader="none" w:pos="760" w:val="left"/>
        </w:tabs>
        <w:numPr>
          <w:ilvl w:val="0"/>
          <w:numId w:val="2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For the nine months ended September 30, 2025, actual NVPC was $3 million below baseline NVPC. For the year ended December 31, 2025, actual NVPC was $6 million below baseline NVPC, which was within the established deadband range. Accordingly, there was no estimated refund to customers under the PCAM for 2025. A final determination regarding the 2025 PCAM results will be made by the OPUC through a public filing and review in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color w:val="auto"/>
        </w:rPr>
        <w:t>Business transformation and optimization expenses—</w:t>
      </w:r>
      <w:r>
        <w:rPr>
          <w:rFonts w:ascii="Times New Roman" w:cs="Times New Roman" w:eastAsia="Times New Roman" w:hAnsi="Times New Roman"/>
          <w:sz w:val="20"/>
          <w:szCs w:val="20"/>
          <w:color w:val="auto"/>
        </w:rPr>
        <w:t>During the three and nine months ended September 30, 2026, PGE incurred $9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and $34 million incremental business transformation and optimization expenses, compared to $9 million and $24 million for the same periods in 2025. These expenses include strategic advisory and workforce realignment expenses, focused on a multi-year cost management initiative to realize long-term benefits, as well as corporate structure update costs incurred for incremental accounting, legal, and consulting expenses related to the Company's submission of a regulatory application for approval of a holding company reorganization and the proposed Acquisition. For more information on the impact of these costs on annual results, see “Generation, transmission and distribution,” “Administrative and other,” “Depreciation and amortization,” and "Interest expense," in the Results of Operations section of this Overview. For more on the holding company application and pending Acquisition, see “</w:t>
      </w:r>
      <w:r>
        <w:rPr>
          <w:rFonts w:ascii="Times New Roman" w:cs="Times New Roman" w:eastAsia="Times New Roman" w:hAnsi="Times New Roman"/>
          <w:sz w:val="20"/>
          <w:szCs w:val="20"/>
          <w:i w:val="1"/>
          <w:iCs w:val="1"/>
          <w:color w:val="auto"/>
        </w:rPr>
        <w:t>Corporate Structure</w:t>
      </w:r>
      <w:r>
        <w:rPr>
          <w:rFonts w:ascii="Times New Roman" w:cs="Times New Roman" w:eastAsia="Times New Roman" w:hAnsi="Times New Roman"/>
          <w:sz w:val="20"/>
          <w:szCs w:val="20"/>
          <w:color w:val="auto"/>
        </w:rPr>
        <w:t xml:space="preserve">” in the Regulatory Matters section, and </w:t>
      </w:r>
      <w:r>
        <w:rPr>
          <w:rFonts w:ascii="Times New Roman" w:cs="Times New Roman" w:eastAsia="Times New Roman" w:hAnsi="Times New Roman"/>
          <w:sz w:val="20"/>
          <w:szCs w:val="20"/>
          <w:i w:val="1"/>
          <w:iCs w:val="1"/>
          <w:color w:val="auto"/>
        </w:rPr>
        <w:t xml:space="preserve">"Pending Acquisition" </w:t>
      </w:r>
      <w:r>
        <w:rPr>
          <w:rFonts w:ascii="Times New Roman" w:cs="Times New Roman" w:eastAsia="Times New Roman" w:hAnsi="Times New Roman"/>
          <w:sz w:val="20"/>
          <w:szCs w:val="20"/>
          <w:color w:val="auto"/>
        </w:rPr>
        <w:t>in the Company Strategy section of this Overview. The Company expects to incur business transformation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optimization expenses related to these initiatives throughout 2026.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Results of Operations</w:t>
      </w:r>
    </w:p>
    <w:p>
      <w:pPr>
        <w:spacing w:after="0" w:line="112"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The following tables provide financial and operational information to be considered in conjunction with management’s discussion and analysis of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results of operations are as follows for the periods presented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2440" w:type="dxa"/>
            <w:vAlign w:val="bottom"/>
            <w:gridSpan w:val="5"/>
          </w:tcPr>
          <w:p>
            <w:pPr>
              <w:jc w:val="right"/>
              <w:ind w:right="301"/>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4"/>
          </w:tcPr>
          <w:p>
            <w:pPr>
              <w:jc w:val="right"/>
              <w:ind w:right="381"/>
              <w:spacing w:after="0"/>
              <w:rPr>
                <w:sz w:val="20"/>
                <w:szCs w:val="20"/>
                <w:color w:val="auto"/>
              </w:rPr>
            </w:pPr>
            <w:r>
              <w:rPr>
                <w:rFonts w:ascii="Times New Roman" w:cs="Times New Roman" w:eastAsia="Times New Roman" w:hAnsi="Times New Roman"/>
                <w:sz w:val="20"/>
                <w:szCs w:val="20"/>
                <w:b w:val="1"/>
                <w:bCs w:val="1"/>
                <w:color w:val="155CAB"/>
              </w:rPr>
              <w:t>Nine Months Ended</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6"/>
        </w:trPr>
        <w:tc>
          <w:tcPr>
            <w:tcW w:w="3300" w:type="dxa"/>
            <w:vAlign w:val="bottom"/>
          </w:tcPr>
          <w:p>
            <w:pPr>
              <w:spacing w:after="0"/>
              <w:rPr>
                <w:sz w:val="22"/>
                <w:szCs w:val="22"/>
                <w:color w:val="auto"/>
              </w:rPr>
            </w:pPr>
          </w:p>
        </w:tc>
        <w:tc>
          <w:tcPr>
            <w:tcW w:w="2020" w:type="dxa"/>
            <w:vAlign w:val="bottom"/>
            <w:tcBorders>
              <w:bottom w:val="single" w:sz="8" w:color="155CAB"/>
            </w:tcBorders>
            <w:gridSpan w:val="4"/>
          </w:tcPr>
          <w:p>
            <w:pPr>
              <w:jc w:val="right"/>
              <w:ind w:right="16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420" w:type="dxa"/>
            <w:vAlign w:val="bottom"/>
            <w:tcBorders>
              <w:bottom w:val="single" w:sz="8" w:color="155CAB"/>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155CAB"/>
              </w:rPr>
              <w:t>% Increase</w:t>
            </w:r>
          </w:p>
        </w:tc>
        <w:tc>
          <w:tcPr>
            <w:tcW w:w="200" w:type="dxa"/>
            <w:vAlign w:val="bottom"/>
            <w:tcBorders>
              <w:bottom w:val="single" w:sz="8" w:color="155CAB"/>
            </w:tcBorders>
          </w:tcPr>
          <w:p>
            <w:pPr>
              <w:spacing w:after="0"/>
              <w:rPr>
                <w:sz w:val="22"/>
                <w:szCs w:val="22"/>
                <w:color w:val="auto"/>
              </w:rPr>
            </w:pPr>
          </w:p>
        </w:tc>
        <w:tc>
          <w:tcPr>
            <w:tcW w:w="2260" w:type="dxa"/>
            <w:vAlign w:val="bottom"/>
            <w:tcBorders>
              <w:bottom w:val="single" w:sz="8" w:color="155CAB"/>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155CAB"/>
              </w:rPr>
              <w:t>September 30,</w:t>
            </w:r>
          </w:p>
        </w:tc>
        <w:tc>
          <w:tcPr>
            <w:tcW w:w="100" w:type="dxa"/>
            <w:vAlign w:val="bottom"/>
          </w:tcPr>
          <w:p>
            <w:pPr>
              <w:spacing w:after="0"/>
              <w:rPr>
                <w:sz w:val="22"/>
                <w:szCs w:val="22"/>
                <w:color w:val="auto"/>
              </w:rPr>
            </w:pP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155CAB"/>
              </w:rPr>
              <w:t>% Increase</w:t>
            </w:r>
          </w:p>
        </w:tc>
      </w:tr>
      <w:tr>
        <w:trPr>
          <w:trHeight w:val="223"/>
        </w:trPr>
        <w:tc>
          <w:tcPr>
            <w:tcW w:w="3300" w:type="dxa"/>
            <w:vAlign w:val="bottom"/>
          </w:tcPr>
          <w:p>
            <w:pPr>
              <w:spacing w:after="0"/>
              <w:rPr>
                <w:sz w:val="19"/>
                <w:szCs w:val="19"/>
                <w:color w:val="auto"/>
              </w:rPr>
            </w:pPr>
          </w:p>
        </w:tc>
        <w:tc>
          <w:tcPr>
            <w:tcW w:w="740" w:type="dxa"/>
            <w:vAlign w:val="bottom"/>
            <w:tcBorders>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420" w:type="dxa"/>
            <w:vAlign w:val="bottom"/>
            <w:tcBorders>
              <w:bottom w:val="single" w:sz="8" w:color="155CAB"/>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42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155CAB"/>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b w:val="1"/>
                <w:bCs w:val="1"/>
                <w:color w:val="155CAB"/>
              </w:rPr>
              <w:t>(Decrease)</w:t>
            </w:r>
          </w:p>
        </w:tc>
        <w:tc>
          <w:tcPr>
            <w:tcW w:w="140" w:type="dxa"/>
            <w:vAlign w:val="bottom"/>
          </w:tcPr>
          <w:p>
            <w:pPr>
              <w:spacing w:after="0"/>
              <w:rPr>
                <w:sz w:val="19"/>
                <w:szCs w:val="19"/>
                <w:color w:val="auto"/>
              </w:rPr>
            </w:pPr>
          </w:p>
        </w:tc>
        <w:tc>
          <w:tcPr>
            <w:tcW w:w="200" w:type="dxa"/>
            <w:vAlign w:val="bottom"/>
            <w:tcBorders>
              <w:bottom w:val="single" w:sz="8" w:color="155CAB"/>
            </w:tcBorders>
          </w:tcPr>
          <w:p>
            <w:pPr>
              <w:spacing w:after="0"/>
              <w:rPr>
                <w:sz w:val="19"/>
                <w:szCs w:val="19"/>
                <w:color w:val="auto"/>
              </w:rPr>
            </w:pPr>
          </w:p>
        </w:tc>
        <w:tc>
          <w:tcPr>
            <w:tcW w:w="980" w:type="dxa"/>
            <w:vAlign w:val="bottom"/>
            <w:tcBorders>
              <w:bottom w:val="single" w:sz="8" w:color="155CAB"/>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Pr>
          <w:p>
            <w:pPr>
              <w:spacing w:after="0"/>
              <w:rPr>
                <w:sz w:val="19"/>
                <w:szCs w:val="19"/>
                <w:color w:val="auto"/>
              </w:rPr>
            </w:pPr>
          </w:p>
        </w:tc>
        <w:tc>
          <w:tcPr>
            <w:tcW w:w="220" w:type="dxa"/>
            <w:vAlign w:val="bottom"/>
            <w:tcBorders>
              <w:bottom w:val="single" w:sz="8" w:color="155CAB"/>
            </w:tcBorders>
          </w:tcPr>
          <w:p>
            <w:pPr>
              <w:spacing w:after="0"/>
              <w:rPr>
                <w:sz w:val="19"/>
                <w:szCs w:val="19"/>
                <w:color w:val="auto"/>
              </w:rPr>
            </w:pPr>
          </w:p>
        </w:tc>
        <w:tc>
          <w:tcPr>
            <w:tcW w:w="940" w:type="dxa"/>
            <w:vAlign w:val="bottom"/>
            <w:tcBorders>
              <w:bottom w:val="single" w:sz="8" w:color="155CAB"/>
            </w:tcBorders>
          </w:tcPr>
          <w:p>
            <w:pPr>
              <w:jc w:val="right"/>
              <w:ind w:right="34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00" w:type="dxa"/>
            <w:vAlign w:val="bottom"/>
          </w:tcPr>
          <w:p>
            <w:pPr>
              <w:spacing w:after="0"/>
              <w:rPr>
                <w:sz w:val="19"/>
                <w:szCs w:val="19"/>
                <w:color w:val="auto"/>
              </w:rPr>
            </w:pPr>
          </w:p>
        </w:tc>
        <w:tc>
          <w:tcPr>
            <w:tcW w:w="1380" w:type="dxa"/>
            <w:vAlign w:val="bottom"/>
            <w:tcBorders>
              <w:bottom w:val="single" w:sz="8" w:color="155CAB"/>
            </w:tcBorders>
          </w:tcPr>
          <w:p>
            <w:pPr>
              <w:jc w:val="right"/>
              <w:ind w:right="301"/>
              <w:spacing w:after="0" w:line="223" w:lineRule="exact"/>
              <w:rPr>
                <w:sz w:val="20"/>
                <w:szCs w:val="20"/>
                <w:color w:val="auto"/>
              </w:rPr>
            </w:pPr>
            <w:r>
              <w:rPr>
                <w:rFonts w:ascii="Times New Roman" w:cs="Times New Roman" w:eastAsia="Times New Roman" w:hAnsi="Times New Roman"/>
                <w:sz w:val="20"/>
                <w:szCs w:val="20"/>
                <w:b w:val="1"/>
                <w:bCs w:val="1"/>
                <w:color w:val="155CAB"/>
              </w:rPr>
              <w:t>(Decrease)</w:t>
            </w:r>
          </w:p>
        </w:tc>
      </w:tr>
      <w:tr>
        <w:trPr>
          <w:trHeight w:val="223"/>
        </w:trPr>
        <w:tc>
          <w:tcPr>
            <w:tcW w:w="33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revenues</w:t>
            </w:r>
          </w:p>
        </w:tc>
        <w:tc>
          <w:tcPr>
            <w:tcW w:w="740" w:type="dxa"/>
            <w:vAlign w:val="bottom"/>
            <w:shd w:val="clear" w:color="auto" w:fill="EFEFEF"/>
          </w:tcPr>
          <w:p>
            <w:pPr>
              <w:jc w:val="right"/>
              <w:ind w:right="5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3"/>
              </w:rPr>
              <w:t>971</w:t>
            </w:r>
          </w:p>
        </w:tc>
        <w:tc>
          <w:tcPr>
            <w:tcW w:w="860" w:type="dxa"/>
            <w:vAlign w:val="bottom"/>
            <w:gridSpan w:val="2"/>
            <w:shd w:val="clear" w:color="auto" w:fill="EFEFEF"/>
          </w:tcPr>
          <w:p>
            <w:pPr>
              <w:jc w:val="right"/>
              <w:ind w:right="5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3"/>
              </w:rPr>
              <w:t>952</w:t>
            </w:r>
          </w:p>
        </w:tc>
        <w:tc>
          <w:tcPr>
            <w:tcW w:w="142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40" w:type="dxa"/>
            <w:vAlign w:val="bottom"/>
            <w:shd w:val="clear" w:color="auto" w:fill="EFEFEF"/>
          </w:tcPr>
          <w:p>
            <w:pPr>
              <w:spacing w:after="0"/>
              <w:rPr>
                <w:sz w:val="19"/>
                <w:szCs w:val="19"/>
                <w:color w:val="auto"/>
              </w:rPr>
            </w:pPr>
          </w:p>
        </w:tc>
        <w:tc>
          <w:tcPr>
            <w:tcW w:w="20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2,664</w:t>
            </w:r>
          </w:p>
        </w:tc>
        <w:tc>
          <w:tcPr>
            <w:tcW w:w="340" w:type="dxa"/>
            <w:vAlign w:val="bottom"/>
            <w:gridSpan w:val="2"/>
            <w:shd w:val="clear" w:color="auto" w:fill="EFEFEF"/>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2,687</w:t>
            </w:r>
          </w:p>
        </w:tc>
        <w:tc>
          <w:tcPr>
            <w:tcW w:w="148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30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Purchased power and fuel</w:t>
            </w:r>
          </w:p>
        </w:tc>
        <w:tc>
          <w:tcPr>
            <w:tcW w:w="74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w w:val="93"/>
              </w:rPr>
              <w:t>383</w:t>
            </w:r>
          </w:p>
        </w:tc>
        <w:tc>
          <w:tcPr>
            <w:tcW w:w="1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w w:val="93"/>
              </w:rPr>
              <w:t>372</w:t>
            </w:r>
          </w:p>
        </w:tc>
        <w:tc>
          <w:tcPr>
            <w:tcW w:w="1420" w:type="dxa"/>
            <w:vAlign w:val="bottom"/>
            <w:gridSpan w:val="2"/>
            <w:shd w:val="clear" w:color="auto" w:fill="EFEFEF"/>
          </w:tcPr>
          <w:p>
            <w:pPr>
              <w:jc w:val="right"/>
              <w:ind w:right="121"/>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1,040</w:t>
            </w:r>
          </w:p>
        </w:tc>
        <w:tc>
          <w:tcPr>
            <w:tcW w:w="12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1,034</w:t>
            </w:r>
          </w:p>
        </w:tc>
        <w:tc>
          <w:tcPr>
            <w:tcW w:w="1480" w:type="dxa"/>
            <w:vAlign w:val="bottom"/>
            <w:gridSpan w:val="2"/>
            <w:shd w:val="clear" w:color="auto" w:fill="EFEFEF"/>
          </w:tcPr>
          <w:p>
            <w:pPr>
              <w:jc w:val="right"/>
              <w:ind w:right="201"/>
              <w:spacing w:after="0"/>
              <w:rPr>
                <w:sz w:val="20"/>
                <w:szCs w:val="20"/>
                <w:color w:val="auto"/>
              </w:rPr>
            </w:pPr>
            <w:r>
              <w:rPr>
                <w:rFonts w:ascii="Times New Roman" w:cs="Times New Roman" w:eastAsia="Times New Roman" w:hAnsi="Times New Roman"/>
                <w:sz w:val="20"/>
                <w:szCs w:val="20"/>
                <w:color w:val="auto"/>
              </w:rPr>
              <w:t>1</w:t>
            </w:r>
          </w:p>
        </w:tc>
      </w:tr>
      <w:tr>
        <w:trPr>
          <w:trHeight w:val="207"/>
        </w:trPr>
        <w:tc>
          <w:tcPr>
            <w:tcW w:w="3300" w:type="dxa"/>
            <w:vAlign w:val="bottom"/>
          </w:tcPr>
          <w:p>
            <w:pPr>
              <w:ind w:left="80"/>
              <w:spacing w:after="0" w:line="207" w:lineRule="exact"/>
              <w:rPr>
                <w:sz w:val="20"/>
                <w:szCs w:val="20"/>
                <w:color w:val="auto"/>
              </w:rPr>
            </w:pPr>
            <w:r>
              <w:rPr>
                <w:rFonts w:ascii="Times New Roman" w:cs="Times New Roman" w:eastAsia="Times New Roman" w:hAnsi="Times New Roman"/>
                <w:sz w:val="20"/>
                <w:szCs w:val="20"/>
                <w:color w:val="auto"/>
              </w:rPr>
              <w:t>Generation, transmission and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2"/>
        </w:trPr>
        <w:tc>
          <w:tcPr>
            <w:tcW w:w="3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distribution</w:t>
            </w:r>
          </w:p>
        </w:tc>
        <w:tc>
          <w:tcPr>
            <w:tcW w:w="740" w:type="dxa"/>
            <w:vAlign w:val="bottom"/>
          </w:tcPr>
          <w:p>
            <w:pPr>
              <w:spacing w:after="0"/>
              <w:rPr>
                <w:sz w:val="21"/>
                <w:szCs w:val="21"/>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3"/>
              </w:rPr>
              <w:t>115</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3"/>
              </w:rPr>
              <w:t>112</w:t>
            </w: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336</w:t>
            </w:r>
          </w:p>
        </w:tc>
        <w:tc>
          <w:tcPr>
            <w:tcW w:w="100" w:type="dxa"/>
            <w:vAlign w:val="bottom"/>
          </w:tcPr>
          <w:p>
            <w:pPr>
              <w:spacing w:after="0"/>
              <w:rPr>
                <w:sz w:val="21"/>
                <w:szCs w:val="21"/>
                <w:color w:val="auto"/>
              </w:rPr>
            </w:pPr>
          </w:p>
        </w:tc>
        <w:tc>
          <w:tcPr>
            <w:tcW w:w="13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30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Administrative and other</w:t>
            </w:r>
          </w:p>
        </w:tc>
        <w:tc>
          <w:tcPr>
            <w:tcW w:w="74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86</w:t>
            </w:r>
          </w:p>
        </w:tc>
        <w:tc>
          <w:tcPr>
            <w:tcW w:w="1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99</w:t>
            </w:r>
          </w:p>
        </w:tc>
        <w:tc>
          <w:tcPr>
            <w:tcW w:w="1420" w:type="dxa"/>
            <w:vAlign w:val="bottom"/>
            <w:gridSpan w:val="2"/>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282</w:t>
            </w:r>
          </w:p>
        </w:tc>
        <w:tc>
          <w:tcPr>
            <w:tcW w:w="12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291</w:t>
            </w:r>
          </w:p>
        </w:tc>
        <w:tc>
          <w:tcPr>
            <w:tcW w:w="1480" w:type="dxa"/>
            <w:vAlign w:val="bottom"/>
            <w:gridSpan w:val="2"/>
            <w:shd w:val="clear" w:color="auto" w:fill="EFEFEF"/>
          </w:tcPr>
          <w:p>
            <w:pPr>
              <w:jc w:val="right"/>
              <w:ind w:right="121"/>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3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74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3"/>
              </w:rPr>
              <w:t>146</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3"/>
              </w:rPr>
              <w:t>148</w:t>
            </w: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427</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3300" w:type="dxa"/>
            <w:vAlign w:val="bottom"/>
            <w:tcBorders>
              <w:bottom w:val="single" w:sz="8" w:color="EFEFEF"/>
            </w:tcBorders>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Taxes other than income taxes</w:t>
            </w:r>
          </w:p>
        </w:tc>
        <w:tc>
          <w:tcPr>
            <w:tcW w:w="74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tcBorders>
              <w:bottom w:val="single" w:sz="8" w:color="EFEFEF"/>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Borders>
              <w:bottom w:val="single" w:sz="8" w:color="EFEFEF"/>
            </w:tcBorders>
            <w:shd w:val="clear" w:color="auto" w:fill="EFEFEF"/>
          </w:tcPr>
          <w:p>
            <w:pPr>
              <w:spacing w:after="0"/>
              <w:rPr>
                <w:sz w:val="19"/>
                <w:szCs w:val="19"/>
                <w:color w:val="auto"/>
              </w:rPr>
            </w:pPr>
          </w:p>
        </w:tc>
        <w:tc>
          <w:tcPr>
            <w:tcW w:w="1300" w:type="dxa"/>
            <w:vAlign w:val="bottom"/>
            <w:tcBorders>
              <w:bottom w:val="single" w:sz="8" w:color="auto"/>
            </w:tcBorders>
            <w:shd w:val="clear" w:color="auto" w:fill="EFEFEF"/>
          </w:tcPr>
          <w:p>
            <w:pPr>
              <w:jc w:val="right"/>
              <w:ind w:right="121"/>
              <w:spacing w:after="0"/>
              <w:rPr>
                <w:sz w:val="20"/>
                <w:szCs w:val="20"/>
                <w:color w:val="auto"/>
              </w:rPr>
            </w:pPr>
            <w:r>
              <w:rPr>
                <w:rFonts w:ascii="Times New Roman" w:cs="Times New Roman" w:eastAsia="Times New Roman" w:hAnsi="Times New Roman"/>
                <w:sz w:val="20"/>
                <w:szCs w:val="20"/>
                <w:color w:val="auto"/>
              </w:rPr>
              <w:t>15</w:t>
            </w:r>
          </w:p>
        </w:tc>
        <w:tc>
          <w:tcPr>
            <w:tcW w:w="14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157</w:t>
            </w:r>
          </w:p>
        </w:tc>
        <w:tc>
          <w:tcPr>
            <w:tcW w:w="12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tcBorders>
              <w:bottom w:val="single" w:sz="8" w:color="EFEFEF"/>
            </w:tcBorders>
            <w:shd w:val="clear" w:color="auto" w:fill="EFEFEF"/>
          </w:tcPr>
          <w:p>
            <w:pPr>
              <w:spacing w:after="0"/>
              <w:rPr>
                <w:sz w:val="19"/>
                <w:szCs w:val="19"/>
                <w:color w:val="auto"/>
              </w:rPr>
            </w:pPr>
          </w:p>
        </w:tc>
        <w:tc>
          <w:tcPr>
            <w:tcW w:w="1380" w:type="dxa"/>
            <w:vAlign w:val="bottom"/>
            <w:tcBorders>
              <w:bottom w:val="single" w:sz="8" w:color="auto"/>
            </w:tcBorders>
            <w:shd w:val="clear" w:color="auto" w:fill="EFEFEF"/>
          </w:tcPr>
          <w:p>
            <w:pPr>
              <w:jc w:val="right"/>
              <w:ind w:right="201"/>
              <w:spacing w:after="0"/>
              <w:rPr>
                <w:sz w:val="20"/>
                <w:szCs w:val="20"/>
                <w:color w:val="auto"/>
              </w:rPr>
            </w:pPr>
            <w:r>
              <w:rPr>
                <w:rFonts w:ascii="Times New Roman" w:cs="Times New Roman" w:eastAsia="Times New Roman" w:hAnsi="Times New Roman"/>
                <w:sz w:val="20"/>
                <w:szCs w:val="20"/>
                <w:color w:val="auto"/>
              </w:rPr>
              <w:t>13</w:t>
            </w:r>
          </w:p>
        </w:tc>
      </w:tr>
      <w:tr>
        <w:trPr>
          <w:trHeight w:val="223"/>
        </w:trPr>
        <w:tc>
          <w:tcPr>
            <w:tcW w:w="330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3"/>
              </w:rPr>
              <w:t>784</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93"/>
              </w:rPr>
              <w:t>778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2,249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2,227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23"/>
        </w:trPr>
        <w:tc>
          <w:tcPr>
            <w:tcW w:w="3300" w:type="dxa"/>
            <w:vAlign w:val="bottom"/>
            <w:shd w:val="clear" w:color="auto" w:fill="EFEFEF"/>
          </w:tcPr>
          <w:p>
            <w:pPr>
              <w:ind w:left="180"/>
              <w:spacing w:after="0" w:line="223"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74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187</w:t>
            </w:r>
          </w:p>
        </w:tc>
        <w:tc>
          <w:tcPr>
            <w:tcW w:w="1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174</w:t>
            </w:r>
          </w:p>
        </w:tc>
        <w:tc>
          <w:tcPr>
            <w:tcW w:w="1420" w:type="dxa"/>
            <w:vAlign w:val="bottom"/>
            <w:gridSpan w:val="2"/>
            <w:shd w:val="clear" w:color="auto" w:fill="EFEFEF"/>
          </w:tcPr>
          <w:p>
            <w:pPr>
              <w:jc w:val="right"/>
              <w:ind w:right="121"/>
              <w:spacing w:after="0" w:line="223" w:lineRule="exact"/>
              <w:rPr>
                <w:sz w:val="20"/>
                <w:szCs w:val="20"/>
                <w:color w:val="auto"/>
              </w:rPr>
            </w:pPr>
            <w:r>
              <w:rPr>
                <w:rFonts w:ascii="Times New Roman" w:cs="Times New Roman" w:eastAsia="Times New Roman" w:hAnsi="Times New Roman"/>
                <w:sz w:val="20"/>
                <w:szCs w:val="20"/>
                <w:b w:val="1"/>
                <w:bCs w:val="1"/>
                <w:color w:val="auto"/>
              </w:rPr>
              <w:t>7</w:t>
            </w:r>
          </w:p>
        </w:tc>
        <w:tc>
          <w:tcPr>
            <w:tcW w:w="14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415</w:t>
            </w:r>
          </w:p>
        </w:tc>
        <w:tc>
          <w:tcPr>
            <w:tcW w:w="12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460</w:t>
            </w:r>
          </w:p>
        </w:tc>
        <w:tc>
          <w:tcPr>
            <w:tcW w:w="1480" w:type="dxa"/>
            <w:vAlign w:val="bottom"/>
            <w:gridSpan w:val="2"/>
            <w:shd w:val="clear" w:color="auto" w:fill="EFEFEF"/>
          </w:tcPr>
          <w:p>
            <w:pPr>
              <w:jc w:val="right"/>
              <w:ind w:right="121"/>
              <w:spacing w:after="0" w:line="223" w:lineRule="exact"/>
              <w:rPr>
                <w:sz w:val="20"/>
                <w:szCs w:val="20"/>
                <w:color w:val="auto"/>
              </w:rPr>
            </w:pPr>
            <w:r>
              <w:rPr>
                <w:rFonts w:ascii="Times New Roman" w:cs="Times New Roman" w:eastAsia="Times New Roman" w:hAnsi="Times New Roman"/>
                <w:sz w:val="20"/>
                <w:szCs w:val="20"/>
                <w:b w:val="1"/>
                <w:bCs w:val="1"/>
                <w:color w:val="auto"/>
              </w:rPr>
              <w:t>(10)</w:t>
            </w: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 expense, net*</w:t>
            </w:r>
          </w:p>
        </w:tc>
        <w:tc>
          <w:tcPr>
            <w:tcW w:w="74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w:t>
            </w: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173</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330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b w:val="1"/>
                <w:bCs w:val="1"/>
                <w:color w:val="auto"/>
              </w:rPr>
              <w:t>Other income:</w:t>
            </w:r>
          </w:p>
        </w:tc>
        <w:tc>
          <w:tcPr>
            <w:tcW w:w="74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30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9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4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1380" w:type="dxa"/>
            <w:vAlign w:val="bottom"/>
            <w:shd w:val="clear" w:color="auto" w:fill="EFEFEF"/>
          </w:tcPr>
          <w:p>
            <w:pPr>
              <w:spacing w:after="0"/>
              <w:rPr>
                <w:sz w:val="19"/>
                <w:szCs w:val="19"/>
                <w:color w:val="auto"/>
              </w:rPr>
            </w:pPr>
          </w:p>
        </w:tc>
      </w:tr>
      <w:tr>
        <w:trPr>
          <w:trHeight w:val="207"/>
        </w:trPr>
        <w:tc>
          <w:tcPr>
            <w:tcW w:w="3300" w:type="dxa"/>
            <w:vAlign w:val="bottom"/>
          </w:tcPr>
          <w:p>
            <w:pPr>
              <w:ind w:left="80"/>
              <w:spacing w:after="0" w:line="207" w:lineRule="exact"/>
              <w:rPr>
                <w:sz w:val="20"/>
                <w:szCs w:val="20"/>
                <w:color w:val="auto"/>
              </w:rPr>
            </w:pPr>
            <w:r>
              <w:rPr>
                <w:rFonts w:ascii="Times New Roman" w:cs="Times New Roman" w:eastAsia="Times New Roman" w:hAnsi="Times New Roman"/>
                <w:sz w:val="20"/>
                <w:szCs w:val="20"/>
                <w:color w:val="auto"/>
              </w:rPr>
              <w:t>Allowance for equity funds used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2"/>
        </w:trPr>
        <w:tc>
          <w:tcPr>
            <w:tcW w:w="3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during construction</w:t>
            </w:r>
          </w:p>
        </w:tc>
        <w:tc>
          <w:tcPr>
            <w:tcW w:w="740" w:type="dxa"/>
            <w:vAlign w:val="bottom"/>
          </w:tcPr>
          <w:p>
            <w:pPr>
              <w:spacing w:after="0"/>
              <w:rPr>
                <w:sz w:val="21"/>
                <w:szCs w:val="21"/>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3300" w:type="dxa"/>
            <w:vAlign w:val="bottom"/>
            <w:tcBorders>
              <w:bottom w:val="single" w:sz="8" w:color="EFEFEF"/>
            </w:tcBorders>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Miscellaneous income, net</w:t>
            </w:r>
          </w:p>
        </w:tc>
        <w:tc>
          <w:tcPr>
            <w:tcW w:w="74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Borders>
              <w:bottom w:val="single" w:sz="8" w:color="EFEFEF"/>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Borders>
              <w:bottom w:val="single" w:sz="8" w:color="EFEFEF"/>
            </w:tcBorders>
            <w:shd w:val="clear" w:color="auto" w:fill="EFEFEF"/>
          </w:tcPr>
          <w:p>
            <w:pPr>
              <w:spacing w:after="0"/>
              <w:rPr>
                <w:sz w:val="19"/>
                <w:szCs w:val="19"/>
                <w:color w:val="auto"/>
              </w:rPr>
            </w:pPr>
          </w:p>
        </w:tc>
        <w:tc>
          <w:tcPr>
            <w:tcW w:w="1300" w:type="dxa"/>
            <w:vAlign w:val="bottom"/>
            <w:tcBorders>
              <w:bottom w:val="single" w:sz="8" w:color="auto"/>
            </w:tcBorders>
            <w:shd w:val="clear" w:color="auto" w:fill="EFEFE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23</w:t>
            </w:r>
          </w:p>
        </w:tc>
        <w:tc>
          <w:tcPr>
            <w:tcW w:w="12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Borders>
              <w:bottom w:val="single" w:sz="8" w:color="EFEFEF"/>
            </w:tcBorders>
            <w:shd w:val="clear" w:color="auto" w:fill="EFEFEF"/>
          </w:tcPr>
          <w:p>
            <w:pPr>
              <w:spacing w:after="0"/>
              <w:rPr>
                <w:sz w:val="19"/>
                <w:szCs w:val="19"/>
                <w:color w:val="auto"/>
              </w:rPr>
            </w:pPr>
          </w:p>
        </w:tc>
        <w:tc>
          <w:tcPr>
            <w:tcW w:w="1380" w:type="dxa"/>
            <w:vAlign w:val="bottom"/>
            <w:tcBorders>
              <w:bottom w:val="single" w:sz="8" w:color="auto"/>
            </w:tcBorders>
            <w:shd w:val="clear" w:color="auto" w:fill="EFEFEF"/>
          </w:tcPr>
          <w:p>
            <w:pPr>
              <w:jc w:val="right"/>
              <w:ind w:right="201"/>
              <w:spacing w:after="0"/>
              <w:rPr>
                <w:sz w:val="20"/>
                <w:szCs w:val="20"/>
                <w:color w:val="auto"/>
              </w:rPr>
            </w:pPr>
            <w:r>
              <w:rPr>
                <w:rFonts w:ascii="Times New Roman" w:cs="Times New Roman" w:eastAsia="Times New Roman" w:hAnsi="Times New Roman"/>
                <w:sz w:val="20"/>
                <w:szCs w:val="20"/>
                <w:color w:val="auto"/>
              </w:rPr>
              <w:t>35</w:t>
            </w:r>
          </w:p>
        </w:tc>
      </w:tr>
      <w:tr>
        <w:trPr>
          <w:trHeight w:val="223"/>
        </w:trPr>
        <w:tc>
          <w:tcPr>
            <w:tcW w:w="3300" w:type="dxa"/>
            <w:vAlign w:val="bottom"/>
          </w:tcPr>
          <w:p>
            <w:pPr>
              <w:ind w:left="180"/>
              <w:spacing w:after="0" w:line="223" w:lineRule="exact"/>
              <w:rPr>
                <w:sz w:val="20"/>
                <w:szCs w:val="20"/>
                <w:color w:val="auto"/>
              </w:rPr>
            </w:pPr>
            <w:r>
              <w:rPr>
                <w:rFonts w:ascii="Times New Roman" w:cs="Times New Roman" w:eastAsia="Times New Roman" w:hAnsi="Times New Roman"/>
                <w:sz w:val="20"/>
                <w:szCs w:val="20"/>
                <w:color w:val="auto"/>
              </w:rPr>
              <w:t>Other income, net</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25</w:t>
            </w:r>
          </w:p>
        </w:tc>
      </w:tr>
      <w:tr>
        <w:trPr>
          <w:trHeight w:val="223"/>
        </w:trPr>
        <w:tc>
          <w:tcPr>
            <w:tcW w:w="3300" w:type="dxa"/>
            <w:vAlign w:val="bottom"/>
            <w:shd w:val="clear" w:color="auto" w:fill="EFEFEF"/>
          </w:tcPr>
          <w:p>
            <w:pPr>
              <w:ind w:left="180"/>
              <w:spacing w:after="0" w:line="223" w:lineRule="exact"/>
              <w:rPr>
                <w:sz w:val="20"/>
                <w:szCs w:val="20"/>
                <w:color w:val="auto"/>
              </w:rPr>
            </w:pPr>
            <w:r>
              <w:rPr>
                <w:rFonts w:ascii="Times New Roman" w:cs="Times New Roman" w:eastAsia="Times New Roman" w:hAnsi="Times New Roman"/>
                <w:sz w:val="20"/>
                <w:szCs w:val="20"/>
                <w:b w:val="1"/>
                <w:bCs w:val="1"/>
                <w:color w:val="auto"/>
              </w:rPr>
              <w:t>Income before income tax expense</w:t>
            </w:r>
          </w:p>
        </w:tc>
        <w:tc>
          <w:tcPr>
            <w:tcW w:w="74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138</w:t>
            </w:r>
          </w:p>
        </w:tc>
        <w:tc>
          <w:tcPr>
            <w:tcW w:w="1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123</w:t>
            </w:r>
          </w:p>
        </w:tc>
        <w:tc>
          <w:tcPr>
            <w:tcW w:w="1420" w:type="dxa"/>
            <w:vAlign w:val="bottom"/>
            <w:gridSpan w:val="2"/>
            <w:shd w:val="clear" w:color="auto" w:fill="EFEFEF"/>
          </w:tcPr>
          <w:p>
            <w:pPr>
              <w:jc w:val="right"/>
              <w:ind w:right="121"/>
              <w:spacing w:after="0" w:line="223" w:lineRule="exact"/>
              <w:rPr>
                <w:sz w:val="20"/>
                <w:szCs w:val="20"/>
                <w:color w:val="auto"/>
              </w:rPr>
            </w:pPr>
            <w:r>
              <w:rPr>
                <w:rFonts w:ascii="Times New Roman" w:cs="Times New Roman" w:eastAsia="Times New Roman" w:hAnsi="Times New Roman"/>
                <w:sz w:val="20"/>
                <w:szCs w:val="20"/>
                <w:b w:val="1"/>
                <w:bCs w:val="1"/>
                <w:color w:val="auto"/>
              </w:rPr>
              <w:t>12</w:t>
            </w:r>
          </w:p>
        </w:tc>
        <w:tc>
          <w:tcPr>
            <w:tcW w:w="140" w:type="dxa"/>
            <w:vAlign w:val="bottom"/>
            <w:shd w:val="clear" w:color="auto" w:fill="EFEFEF"/>
          </w:tcPr>
          <w:p>
            <w:pPr>
              <w:spacing w:after="0"/>
              <w:rPr>
                <w:sz w:val="19"/>
                <w:szCs w:val="19"/>
                <w:color w:val="auto"/>
              </w:rPr>
            </w:pPr>
          </w:p>
        </w:tc>
        <w:tc>
          <w:tcPr>
            <w:tcW w:w="200" w:type="dxa"/>
            <w:vAlign w:val="bottom"/>
            <w:shd w:val="clear" w:color="auto" w:fill="EFEFEF"/>
          </w:tcPr>
          <w:p>
            <w:pPr>
              <w:spacing w:after="0"/>
              <w:rPr>
                <w:sz w:val="19"/>
                <w:szCs w:val="19"/>
                <w:color w:val="auto"/>
              </w:rPr>
            </w:pPr>
          </w:p>
        </w:tc>
        <w:tc>
          <w:tcPr>
            <w:tcW w:w="9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272</w:t>
            </w:r>
          </w:p>
        </w:tc>
        <w:tc>
          <w:tcPr>
            <w:tcW w:w="12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319</w:t>
            </w:r>
          </w:p>
        </w:tc>
        <w:tc>
          <w:tcPr>
            <w:tcW w:w="1480" w:type="dxa"/>
            <w:vAlign w:val="bottom"/>
            <w:gridSpan w:val="2"/>
            <w:shd w:val="clear" w:color="auto" w:fill="EFEFEF"/>
          </w:tcPr>
          <w:p>
            <w:pPr>
              <w:jc w:val="right"/>
              <w:ind w:right="121"/>
              <w:spacing w:after="0" w:line="223" w:lineRule="exact"/>
              <w:rPr>
                <w:sz w:val="20"/>
                <w:szCs w:val="20"/>
                <w:color w:val="auto"/>
              </w:rPr>
            </w:pPr>
            <w:r>
              <w:rPr>
                <w:rFonts w:ascii="Times New Roman" w:cs="Times New Roman" w:eastAsia="Times New Roman" w:hAnsi="Times New Roman"/>
                <w:sz w:val="20"/>
                <w:szCs w:val="20"/>
                <w:b w:val="1"/>
                <w:bCs w:val="1"/>
                <w:color w:val="auto"/>
              </w:rPr>
              <w:t>(15)</w:t>
            </w: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(26)</w:t>
            </w:r>
          </w:p>
        </w:tc>
      </w:tr>
      <w:tr>
        <w:trPr>
          <w:trHeight w:val="223"/>
        </w:trPr>
        <w:tc>
          <w:tcPr>
            <w:tcW w:w="3300" w:type="dxa"/>
            <w:vAlign w:val="bottom"/>
            <w:tcBorders>
              <w:bottom w:val="single" w:sz="8" w:color="EFEFEF"/>
            </w:tcBorders>
            <w:shd w:val="clear" w:color="auto" w:fill="EFEFEF"/>
          </w:tcPr>
          <w:p>
            <w:pPr>
              <w:ind w:left="180"/>
              <w:spacing w:after="0" w:line="223"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74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119</w:t>
            </w:r>
          </w:p>
        </w:tc>
        <w:tc>
          <w:tcPr>
            <w:tcW w:w="140" w:type="dxa"/>
            <w:vAlign w:val="bottom"/>
            <w:tcBorders>
              <w:bottom w:val="single" w:sz="8" w:color="EFEFEF"/>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103</w:t>
            </w:r>
          </w:p>
        </w:tc>
        <w:tc>
          <w:tcPr>
            <w:tcW w:w="120" w:type="dxa"/>
            <w:vAlign w:val="bottom"/>
            <w:tcBorders>
              <w:bottom w:val="single" w:sz="8" w:color="EFEFEF"/>
            </w:tcBorders>
            <w:shd w:val="clear" w:color="auto" w:fill="EFEFEF"/>
          </w:tcPr>
          <w:p>
            <w:pPr>
              <w:spacing w:after="0"/>
              <w:rPr>
                <w:sz w:val="19"/>
                <w:szCs w:val="19"/>
                <w:color w:val="auto"/>
              </w:rPr>
            </w:pPr>
          </w:p>
        </w:tc>
        <w:tc>
          <w:tcPr>
            <w:tcW w:w="1300" w:type="dxa"/>
            <w:vAlign w:val="bottom"/>
            <w:tcBorders>
              <w:bottom w:val="single" w:sz="8" w:color="auto"/>
            </w:tcBorders>
            <w:shd w:val="clear" w:color="auto" w:fill="EFEFEF"/>
          </w:tcPr>
          <w:p>
            <w:pPr>
              <w:jc w:val="right"/>
              <w:ind w:right="121"/>
              <w:spacing w:after="0" w:line="223" w:lineRule="exact"/>
              <w:rPr>
                <w:sz w:val="20"/>
                <w:szCs w:val="20"/>
                <w:color w:val="auto"/>
              </w:rPr>
            </w:pPr>
            <w:r>
              <w:rPr>
                <w:rFonts w:ascii="Times New Roman" w:cs="Times New Roman" w:eastAsia="Times New Roman" w:hAnsi="Times New Roman"/>
                <w:sz w:val="20"/>
                <w:szCs w:val="20"/>
                <w:b w:val="1"/>
                <w:bCs w:val="1"/>
                <w:color w:val="auto"/>
              </w:rPr>
              <w:t>16</w:t>
            </w:r>
          </w:p>
        </w:tc>
        <w:tc>
          <w:tcPr>
            <w:tcW w:w="14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232</w:t>
            </w:r>
          </w:p>
        </w:tc>
        <w:tc>
          <w:tcPr>
            <w:tcW w:w="12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265</w:t>
            </w:r>
          </w:p>
        </w:tc>
        <w:tc>
          <w:tcPr>
            <w:tcW w:w="100" w:type="dxa"/>
            <w:vAlign w:val="bottom"/>
            <w:tcBorders>
              <w:bottom w:val="single" w:sz="8" w:color="EFEFEF"/>
            </w:tcBorders>
            <w:shd w:val="clear" w:color="auto" w:fill="EFEFEF"/>
          </w:tcPr>
          <w:p>
            <w:pPr>
              <w:spacing w:after="0"/>
              <w:rPr>
                <w:sz w:val="19"/>
                <w:szCs w:val="19"/>
                <w:color w:val="auto"/>
              </w:rPr>
            </w:pPr>
          </w:p>
        </w:tc>
        <w:tc>
          <w:tcPr>
            <w:tcW w:w="1380" w:type="dxa"/>
            <w:vAlign w:val="bottom"/>
            <w:tcBorders>
              <w:bottom w:val="single" w:sz="8" w:color="auto"/>
            </w:tcBorders>
            <w:shd w:val="clear" w:color="auto" w:fill="EFEFEF"/>
          </w:tcPr>
          <w:p>
            <w:pPr>
              <w:jc w:val="right"/>
              <w:ind w:right="121"/>
              <w:spacing w:after="0" w:line="223" w:lineRule="exact"/>
              <w:rPr>
                <w:sz w:val="20"/>
                <w:szCs w:val="20"/>
                <w:color w:val="auto"/>
              </w:rPr>
            </w:pPr>
            <w:r>
              <w:rPr>
                <w:rFonts w:ascii="Times New Roman" w:cs="Times New Roman" w:eastAsia="Times New Roman" w:hAnsi="Times New Roman"/>
                <w:sz w:val="20"/>
                <w:szCs w:val="20"/>
                <w:b w:val="1"/>
                <w:bCs w:val="1"/>
                <w:color w:val="auto"/>
              </w:rPr>
              <w:t>(12)</w:t>
            </w:r>
          </w:p>
        </w:tc>
      </w:tr>
      <w:tr>
        <w:trPr>
          <w:trHeight w:val="223"/>
        </w:trPr>
        <w:tc>
          <w:tcPr>
            <w:tcW w:w="33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Other comprehensive income</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43"/>
        </w:trPr>
        <w:tc>
          <w:tcPr>
            <w:tcW w:w="3300" w:type="dxa"/>
            <w:vAlign w:val="bottom"/>
            <w:shd w:val="clear" w:color="auto" w:fill="EFEFEF"/>
          </w:tcPr>
          <w:p>
            <w:pPr>
              <w:ind w:left="180"/>
              <w:spacing w:after="0" w:line="223" w:lineRule="exact"/>
              <w:rPr>
                <w:sz w:val="20"/>
                <w:szCs w:val="20"/>
                <w:color w:val="auto"/>
              </w:rPr>
            </w:pPr>
            <w:r>
              <w:rPr>
                <w:rFonts w:ascii="Times New Roman" w:cs="Times New Roman" w:eastAsia="Times New Roman" w:hAnsi="Times New Roman"/>
                <w:sz w:val="20"/>
                <w:szCs w:val="20"/>
                <w:b w:val="1"/>
                <w:bCs w:val="1"/>
                <w:color w:val="auto"/>
              </w:rPr>
              <w:t>Comprehensive income</w:t>
            </w:r>
          </w:p>
        </w:tc>
        <w:tc>
          <w:tcPr>
            <w:tcW w:w="740" w:type="dxa"/>
            <w:vAlign w:val="bottom"/>
            <w:shd w:val="clear" w:color="auto" w:fill="EFEFEF"/>
          </w:tcPr>
          <w:p>
            <w:pPr>
              <w:jc w:val="right"/>
              <w:ind w:right="541"/>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120</w:t>
            </w:r>
          </w:p>
        </w:tc>
        <w:tc>
          <w:tcPr>
            <w:tcW w:w="860" w:type="dxa"/>
            <w:vAlign w:val="bottom"/>
            <w:gridSpan w:val="2"/>
            <w:shd w:val="clear" w:color="auto" w:fill="EFEFEF"/>
          </w:tcPr>
          <w:p>
            <w:pPr>
              <w:jc w:val="right"/>
              <w:ind w:right="521"/>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4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w w:val="93"/>
              </w:rPr>
              <w:t>104</w:t>
            </w:r>
          </w:p>
        </w:tc>
        <w:tc>
          <w:tcPr>
            <w:tcW w:w="142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15%</w:t>
            </w:r>
          </w:p>
        </w:tc>
        <w:tc>
          <w:tcPr>
            <w:tcW w:w="140" w:type="dxa"/>
            <w:vAlign w:val="bottom"/>
            <w:shd w:val="clear" w:color="auto" w:fill="EFEFEF"/>
          </w:tcPr>
          <w:p>
            <w:pPr>
              <w:spacing w:after="0"/>
              <w:rPr>
                <w:sz w:val="21"/>
                <w:szCs w:val="21"/>
                <w:color w:val="auto"/>
              </w:rPr>
            </w:pPr>
          </w:p>
        </w:tc>
        <w:tc>
          <w:tcPr>
            <w:tcW w:w="200" w:type="dxa"/>
            <w:vAlign w:val="bottom"/>
            <w:shd w:val="clear" w:color="auto" w:fill="EFEFEF"/>
          </w:tcPr>
          <w:p>
            <w:pPr>
              <w:jc w:val="right"/>
              <w:ind w:right="1"/>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233</w:t>
            </w:r>
          </w:p>
        </w:tc>
        <w:tc>
          <w:tcPr>
            <w:tcW w:w="340" w:type="dxa"/>
            <w:vAlign w:val="bottom"/>
            <w:gridSpan w:val="2"/>
            <w:shd w:val="clear" w:color="auto" w:fill="EFEFEF"/>
          </w:tcPr>
          <w:p>
            <w:pPr>
              <w:jc w:val="right"/>
              <w:ind w:right="12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b w:val="1"/>
                <w:bCs w:val="1"/>
                <w:color w:val="auto"/>
              </w:rPr>
              <w:t>266</w:t>
            </w:r>
          </w:p>
        </w:tc>
        <w:tc>
          <w:tcPr>
            <w:tcW w:w="148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(12)%</w:t>
            </w:r>
          </w:p>
        </w:tc>
      </w:tr>
      <w:tr>
        <w:trPr>
          <w:trHeight w:val="20"/>
        </w:trPr>
        <w:tc>
          <w:tcPr>
            <w:tcW w:w="3300" w:type="dxa"/>
            <w:vAlign w:val="bottom"/>
            <w:tcBorders>
              <w:top w:val="single" w:sz="8" w:color="EFEFEF"/>
            </w:tcBorders>
            <w:shd w:val="clear" w:color="auto" w:fill="EFEFE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FEFEF"/>
            </w:tcBorders>
            <w:shd w:val="clear" w:color="auto" w:fill="EFEFE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-1979295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-1979295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-1979295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-1979295</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-1979295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-942340</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-942340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-942340</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-942340</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-942340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-334010</wp:posOffset>
            </wp:positionV>
            <wp:extent cx="857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-334010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-334010</wp:posOffset>
            </wp:positionV>
            <wp:extent cx="857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-334010</wp:posOffset>
            </wp:positionV>
            <wp:extent cx="857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-334010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-25400</wp:posOffset>
            </wp:positionV>
            <wp:extent cx="857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857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85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857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857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857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400" w:firstLine="8"/>
        <w:spacing w:after="0" w:line="282" w:lineRule="auto"/>
        <w:tabs>
          <w:tab w:leader="none" w:pos="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allowance for borrowed funds used during construction of $5 million and $2 million for the three months ended September 30, 2026 and 2025, respectively, and $10 million and $9 million for the nine months ended September 30, 2026 and 2025, respectively.</w:t>
      </w:r>
    </w:p>
    <w:p>
      <w:pPr>
        <w:spacing w:after="0" w:line="15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color w:val="155CAB"/>
        </w:rPr>
        <w:t xml:space="preserve">Net income </w:t>
      </w:r>
      <w:r>
        <w:rPr>
          <w:rFonts w:ascii="Times New Roman" w:cs="Times New Roman" w:eastAsia="Times New Roman" w:hAnsi="Times New Roman"/>
          <w:sz w:val="20"/>
          <w:szCs w:val="20"/>
          <w:color w:val="000000"/>
        </w:rPr>
        <w:t>for the three months ended September 30, 2026 increased $16 million, or 15%, compared to the same period of 2025. The</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current quarter results included $9 million of business transformation and optimization expense. Retail revenues increased due to the OPUC approved recovery of several regulatory deferrals in customer prices during 2026. Purchased power and fuel expense increased, reflecting an increase in average cost per MWh while total system load declined. Administrative and General expense reflects a reduction of $3 million in business transformation and optimization expenses in 2026. Decreases in Depreciation and amortization expense were primarily driven by Colstrip being fully depreciated as of December 31, 2025. Interest expense was up due to higher debt balances.</w:t>
      </w:r>
    </w:p>
    <w:p>
      <w:pPr>
        <w:spacing w:after="0" w:line="18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Net income for the nine months ended September 30, 2026 was down $33 million, or 12%, from the same period of 2025. Total revenues declined as a decrease in Wholesale revenues more than offset the increase in Retail revenues that resulted from the OPUC approved recovery of several regulatory deferrals in customer prices during 2026. The increase in Purchased power and fuel reflects largely offsetting impacts of the RCE deferrals in 2025 that were not repeated in 2026 along with changes in average variable power costs and system loads. The increase in Depreciation and amortization expense was driven primarily by higher depreciable asset balances. The increase in Taxes other than income taxes reflects higher property and payroll taxes. Interest expense, net, was higher due to increased debt balances. Income tax expense was down due to lower pretax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 xml:space="preserve">Total revenues </w:t>
      </w:r>
      <w:r>
        <w:rPr>
          <w:rFonts w:ascii="Times New Roman" w:cs="Times New Roman" w:eastAsia="Times New Roman" w:hAnsi="Times New Roman"/>
          <w:sz w:val="20"/>
          <w:szCs w:val="20"/>
          <w:color w:val="000000"/>
        </w:rPr>
        <w:t>consist of the following for the periods presented (dollars in millions):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80" w:type="dxa"/>
            <w:vAlign w:val="bottom"/>
          </w:tcPr>
          <w:p>
            <w:pPr>
              <w:spacing w:after="0"/>
              <w:rPr>
                <w:sz w:val="22"/>
                <w:szCs w:val="22"/>
                <w:color w:val="auto"/>
              </w:rPr>
            </w:pPr>
          </w:p>
        </w:tc>
        <w:tc>
          <w:tcPr>
            <w:tcW w:w="280" w:type="dxa"/>
            <w:vAlign w:val="bottom"/>
            <w:tcBorders>
              <w:bottom w:val="single" w:sz="8" w:color="155CAB"/>
            </w:tcBorders>
          </w:tcPr>
          <w:p>
            <w:pPr>
              <w:spacing w:after="0"/>
              <w:rPr>
                <w:sz w:val="22"/>
                <w:szCs w:val="22"/>
                <w:color w:val="auto"/>
              </w:rPr>
            </w:pPr>
          </w:p>
        </w:tc>
        <w:tc>
          <w:tcPr>
            <w:tcW w:w="3340" w:type="dxa"/>
            <w:vAlign w:val="bottom"/>
            <w:tcBorders>
              <w:bottom w:val="single" w:sz="8" w:color="155CAB"/>
            </w:tcBorders>
            <w:gridSpan w:val="9"/>
          </w:tcPr>
          <w:p>
            <w:pPr>
              <w:jc w:val="right"/>
              <w:ind w:right="80"/>
              <w:spacing w:after="0"/>
              <w:rPr>
                <w:sz w:val="20"/>
                <w:szCs w:val="20"/>
                <w:color w:val="auto"/>
              </w:rPr>
            </w:pPr>
            <w:r>
              <w:rPr>
                <w:rFonts w:ascii="Times New Roman" w:cs="Times New Roman" w:eastAsia="Times New Roman" w:hAnsi="Times New Roman"/>
                <w:sz w:val="20"/>
                <w:szCs w:val="20"/>
                <w:b w:val="1"/>
                <w:bCs w:val="1"/>
                <w:color w:val="155CAB"/>
              </w:rPr>
              <w:t>Three Months Ended September 30,</w:t>
            </w:r>
          </w:p>
        </w:tc>
        <w:tc>
          <w:tcPr>
            <w:tcW w:w="600" w:type="dxa"/>
            <w:vAlign w:val="bottom"/>
            <w:tcBorders>
              <w:bottom w:val="single" w:sz="8" w:color="155CAB"/>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155CAB"/>
            </w:tcBorders>
          </w:tcPr>
          <w:p>
            <w:pPr>
              <w:spacing w:after="0"/>
              <w:rPr>
                <w:sz w:val="22"/>
                <w:szCs w:val="22"/>
                <w:color w:val="auto"/>
              </w:rPr>
            </w:pPr>
          </w:p>
        </w:tc>
        <w:tc>
          <w:tcPr>
            <w:tcW w:w="3400" w:type="dxa"/>
            <w:vAlign w:val="bottom"/>
            <w:tcBorders>
              <w:bottom w:val="single" w:sz="8" w:color="155CAB"/>
            </w:tcBorders>
            <w:gridSpan w:val="9"/>
          </w:tcPr>
          <w:p>
            <w:pPr>
              <w:jc w:val="right"/>
              <w:ind w:right="120"/>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c>
          <w:tcPr>
            <w:tcW w:w="620" w:type="dxa"/>
            <w:vAlign w:val="bottom"/>
            <w:tcBorders>
              <w:bottom w:val="single" w:sz="8" w:color="155CAB"/>
            </w:tcBorders>
          </w:tcPr>
          <w:p>
            <w:pPr>
              <w:spacing w:after="0"/>
              <w:rPr>
                <w:sz w:val="22"/>
                <w:szCs w:val="22"/>
                <w:color w:val="auto"/>
              </w:rPr>
            </w:pPr>
          </w:p>
        </w:tc>
      </w:tr>
      <w:tr>
        <w:trPr>
          <w:trHeight w:val="223"/>
        </w:trPr>
        <w:tc>
          <w:tcPr>
            <w:tcW w:w="2680" w:type="dxa"/>
            <w:vAlign w:val="bottom"/>
          </w:tcPr>
          <w:p>
            <w:pPr>
              <w:spacing w:after="0"/>
              <w:rPr>
                <w:sz w:val="19"/>
                <w:szCs w:val="19"/>
                <w:color w:val="auto"/>
              </w:rPr>
            </w:pPr>
          </w:p>
        </w:tc>
        <w:tc>
          <w:tcPr>
            <w:tcW w:w="280" w:type="dxa"/>
            <w:vAlign w:val="bottom"/>
            <w:tcBorders>
              <w:bottom w:val="single" w:sz="8" w:color="155CAB"/>
            </w:tcBorders>
          </w:tcPr>
          <w:p>
            <w:pPr>
              <w:spacing w:after="0"/>
              <w:rPr>
                <w:sz w:val="19"/>
                <w:szCs w:val="19"/>
                <w:color w:val="auto"/>
              </w:rPr>
            </w:pPr>
          </w:p>
        </w:tc>
        <w:tc>
          <w:tcPr>
            <w:tcW w:w="1060" w:type="dxa"/>
            <w:vAlign w:val="bottom"/>
            <w:tcBorders>
              <w:bottom w:val="single" w:sz="8" w:color="155CAB"/>
            </w:tcBorders>
            <w:gridSpan w:val="3"/>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720" w:type="dxa"/>
            <w:vAlign w:val="bottom"/>
            <w:tcBorders>
              <w:bottom w:val="single" w:sz="8" w:color="155CAB"/>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155CAB"/>
            </w:tcBorders>
          </w:tcPr>
          <w:p>
            <w:pPr>
              <w:spacing w:after="0"/>
              <w:rPr>
                <w:sz w:val="19"/>
                <w:szCs w:val="19"/>
                <w:color w:val="auto"/>
              </w:rPr>
            </w:pPr>
          </w:p>
        </w:tc>
        <w:tc>
          <w:tcPr>
            <w:tcW w:w="1180" w:type="dxa"/>
            <w:vAlign w:val="bottom"/>
            <w:tcBorders>
              <w:bottom w:val="single" w:sz="8" w:color="155CAB"/>
            </w:tcBorders>
            <w:gridSpan w:val="3"/>
          </w:tcPr>
          <w:p>
            <w:pPr>
              <w:jc w:val="right"/>
              <w:ind w:right="340"/>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600" w:type="dxa"/>
            <w:vAlign w:val="bottom"/>
            <w:tcBorders>
              <w:bottom w:val="single" w:sz="8" w:color="155CAB"/>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155CAB"/>
            </w:tcBorders>
          </w:tcPr>
          <w:p>
            <w:pPr>
              <w:spacing w:after="0"/>
              <w:rPr>
                <w:sz w:val="19"/>
                <w:szCs w:val="19"/>
                <w:color w:val="auto"/>
              </w:rPr>
            </w:pPr>
          </w:p>
        </w:tc>
        <w:tc>
          <w:tcPr>
            <w:tcW w:w="1120" w:type="dxa"/>
            <w:vAlign w:val="bottom"/>
            <w:tcBorders>
              <w:bottom w:val="single" w:sz="8" w:color="155CAB"/>
            </w:tcBorders>
            <w:gridSpan w:val="3"/>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720" w:type="dxa"/>
            <w:vAlign w:val="bottom"/>
            <w:tcBorders>
              <w:bottom w:val="single" w:sz="8" w:color="155CAB"/>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155CAB"/>
            </w:tcBorders>
          </w:tcPr>
          <w:p>
            <w:pPr>
              <w:spacing w:after="0"/>
              <w:rPr>
                <w:sz w:val="19"/>
                <w:szCs w:val="19"/>
                <w:color w:val="auto"/>
              </w:rPr>
            </w:pPr>
          </w:p>
        </w:tc>
        <w:tc>
          <w:tcPr>
            <w:tcW w:w="1240" w:type="dxa"/>
            <w:vAlign w:val="bottom"/>
            <w:tcBorders>
              <w:bottom w:val="single" w:sz="8" w:color="155CAB"/>
            </w:tcBorders>
            <w:gridSpan w:val="3"/>
          </w:tcPr>
          <w:p>
            <w:pPr>
              <w:jc w:val="right"/>
              <w:ind w:right="320"/>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620" w:type="dxa"/>
            <w:vAlign w:val="bottom"/>
            <w:tcBorders>
              <w:bottom w:val="single" w:sz="8" w:color="155CAB"/>
            </w:tcBorders>
          </w:tcPr>
          <w:p>
            <w:pPr>
              <w:spacing w:after="0"/>
              <w:rPr>
                <w:sz w:val="19"/>
                <w:szCs w:val="19"/>
                <w:color w:val="auto"/>
              </w:rPr>
            </w:pPr>
          </w:p>
        </w:tc>
      </w:tr>
      <w:tr>
        <w:trPr>
          <w:trHeight w:val="223"/>
        </w:trPr>
        <w:tc>
          <w:tcPr>
            <w:tcW w:w="268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Retail:</w:t>
            </w: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0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440" w:type="dxa"/>
            <w:vAlign w:val="bottom"/>
            <w:shd w:val="clear" w:color="auto" w:fill="EFEFEF"/>
          </w:tcPr>
          <w:p>
            <w:pPr>
              <w:spacing w:after="0"/>
              <w:rPr>
                <w:sz w:val="19"/>
                <w:szCs w:val="19"/>
                <w:color w:val="auto"/>
              </w:rPr>
            </w:pPr>
          </w:p>
        </w:tc>
        <w:tc>
          <w:tcPr>
            <w:tcW w:w="620" w:type="dxa"/>
            <w:vAlign w:val="bottom"/>
            <w:shd w:val="clear" w:color="auto" w:fill="EFEFEF"/>
          </w:tcPr>
          <w:p>
            <w:pPr>
              <w:spacing w:after="0"/>
              <w:rPr>
                <w:sz w:val="19"/>
                <w:szCs w:val="19"/>
                <w:color w:val="auto"/>
              </w:rPr>
            </w:pPr>
          </w:p>
        </w:tc>
      </w:tr>
      <w:tr>
        <w:trPr>
          <w:trHeight w:val="229"/>
        </w:trPr>
        <w:tc>
          <w:tcPr>
            <w:tcW w:w="2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Residential</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268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Commercial</w:t>
            </w: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261</w:t>
            </w: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262</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0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744</w:t>
            </w: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738</w:t>
            </w:r>
          </w:p>
        </w:tc>
        <w:tc>
          <w:tcPr>
            <w:tcW w:w="120" w:type="dxa"/>
            <w:vAlign w:val="bottom"/>
            <w:shd w:val="clear" w:color="auto" w:fill="EFEFEF"/>
          </w:tcPr>
          <w:p>
            <w:pPr>
              <w:spacing w:after="0"/>
              <w:rPr>
                <w:sz w:val="19"/>
                <w:szCs w:val="19"/>
                <w:color w:val="auto"/>
              </w:rPr>
            </w:pPr>
          </w:p>
        </w:tc>
        <w:tc>
          <w:tcPr>
            <w:tcW w:w="44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2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Industrial</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472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396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15</w:t>
            </w:r>
          </w:p>
        </w:tc>
      </w:tr>
      <w:tr>
        <w:trPr>
          <w:trHeight w:val="223"/>
        </w:trPr>
        <w:tc>
          <w:tcPr>
            <w:tcW w:w="2680" w:type="dxa"/>
            <w:vAlign w:val="bottom"/>
            <w:tcBorders>
              <w:bottom w:val="single" w:sz="8" w:color="EFEFEF"/>
            </w:tcBorders>
            <w:shd w:val="clear" w:color="auto" w:fill="EFEFEF"/>
          </w:tcPr>
          <w:p>
            <w:pPr>
              <w:ind w:left="140"/>
              <w:spacing w:after="0" w:line="223" w:lineRule="exact"/>
              <w:rPr>
                <w:sz w:val="20"/>
                <w:szCs w:val="20"/>
                <w:color w:val="auto"/>
              </w:rPr>
            </w:pPr>
            <w:r>
              <w:rPr>
                <w:rFonts w:ascii="Times New Roman" w:cs="Times New Roman" w:eastAsia="Times New Roman" w:hAnsi="Times New Roman"/>
                <w:sz w:val="20"/>
                <w:szCs w:val="20"/>
                <w:color w:val="auto"/>
              </w:rPr>
              <w:t>Subtotal</w:t>
            </w:r>
          </w:p>
        </w:tc>
        <w:tc>
          <w:tcPr>
            <w:tcW w:w="28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800</w:t>
            </w:r>
          </w:p>
        </w:tc>
        <w:tc>
          <w:tcPr>
            <w:tcW w:w="10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82</w:t>
            </w:r>
          </w:p>
        </w:tc>
        <w:tc>
          <w:tcPr>
            <w:tcW w:w="100" w:type="dxa"/>
            <w:vAlign w:val="bottom"/>
            <w:tcBorders>
              <w:bottom w:val="single" w:sz="8" w:color="EFEFEF"/>
            </w:tcBorders>
            <w:shd w:val="clear" w:color="auto" w:fill="EFEFEF"/>
          </w:tcPr>
          <w:p>
            <w:pPr>
              <w:spacing w:after="0"/>
              <w:rPr>
                <w:sz w:val="19"/>
                <w:szCs w:val="19"/>
                <w:color w:val="auto"/>
              </w:rPr>
            </w:pPr>
          </w:p>
        </w:tc>
        <w:tc>
          <w:tcPr>
            <w:tcW w:w="28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778</w:t>
            </w:r>
          </w:p>
        </w:tc>
        <w:tc>
          <w:tcPr>
            <w:tcW w:w="100" w:type="dxa"/>
            <w:vAlign w:val="bottom"/>
            <w:tcBorders>
              <w:bottom w:val="single" w:sz="8" w:color="EFEFEF"/>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spacing w:after="0"/>
              <w:rPr>
                <w:sz w:val="19"/>
                <w:szCs w:val="19"/>
                <w:color w:val="auto"/>
              </w:rPr>
            </w:pPr>
          </w:p>
        </w:tc>
        <w:tc>
          <w:tcPr>
            <w:tcW w:w="60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82</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2,306</w:t>
            </w:r>
          </w:p>
        </w:tc>
        <w:tc>
          <w:tcPr>
            <w:tcW w:w="10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86</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2,249</w:t>
            </w:r>
          </w:p>
        </w:tc>
        <w:tc>
          <w:tcPr>
            <w:tcW w:w="120" w:type="dxa"/>
            <w:vAlign w:val="bottom"/>
            <w:tcBorders>
              <w:bottom w:val="single" w:sz="8" w:color="EFEFEF"/>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84</w:t>
            </w:r>
          </w:p>
        </w:tc>
      </w:tr>
      <w:tr>
        <w:trPr>
          <w:trHeight w:val="223"/>
        </w:trPr>
        <w:tc>
          <w:tcPr>
            <w:tcW w:w="268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Direct access:</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268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Commercial</w:t>
            </w: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0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EFEFEF"/>
          </w:tcPr>
          <w:p>
            <w:pPr>
              <w:spacing w:after="0"/>
              <w:rPr>
                <w:sz w:val="19"/>
                <w:szCs w:val="19"/>
                <w:color w:val="auto"/>
              </w:rPr>
            </w:pPr>
          </w:p>
        </w:tc>
        <w:tc>
          <w:tcPr>
            <w:tcW w:w="44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Industrial</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r>
      <w:tr>
        <w:trPr>
          <w:trHeight w:val="223"/>
        </w:trPr>
        <w:tc>
          <w:tcPr>
            <w:tcW w:w="2680" w:type="dxa"/>
            <w:vAlign w:val="bottom"/>
            <w:tcBorders>
              <w:bottom w:val="single" w:sz="8" w:color="EFEFEF"/>
            </w:tcBorders>
            <w:shd w:val="clear" w:color="auto" w:fill="EFEFEF"/>
          </w:tcPr>
          <w:p>
            <w:pPr>
              <w:ind w:left="280"/>
              <w:spacing w:after="0" w:line="223" w:lineRule="exact"/>
              <w:rPr>
                <w:sz w:val="20"/>
                <w:szCs w:val="20"/>
                <w:color w:val="auto"/>
              </w:rPr>
            </w:pPr>
            <w:r>
              <w:rPr>
                <w:rFonts w:ascii="Times New Roman" w:cs="Times New Roman" w:eastAsia="Times New Roman" w:hAnsi="Times New Roman"/>
                <w:sz w:val="20"/>
                <w:szCs w:val="20"/>
                <w:color w:val="auto"/>
              </w:rPr>
              <w:t>Subtotal</w:t>
            </w:r>
          </w:p>
        </w:tc>
        <w:tc>
          <w:tcPr>
            <w:tcW w:w="28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EFEFEF"/>
            </w:tcBorders>
            <w:shd w:val="clear" w:color="auto" w:fill="EFEFEF"/>
          </w:tcPr>
          <w:p>
            <w:pPr>
              <w:spacing w:after="0"/>
              <w:rPr>
                <w:sz w:val="19"/>
                <w:szCs w:val="19"/>
                <w:color w:val="auto"/>
              </w:rPr>
            </w:pPr>
          </w:p>
        </w:tc>
        <w:tc>
          <w:tcPr>
            <w:tcW w:w="28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EFEFEF"/>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spacing w:after="0"/>
              <w:rPr>
                <w:sz w:val="19"/>
                <w:szCs w:val="19"/>
                <w:color w:val="auto"/>
              </w:rPr>
            </w:pPr>
          </w:p>
        </w:tc>
        <w:tc>
          <w:tcPr>
            <w:tcW w:w="60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34</w:t>
            </w:r>
          </w:p>
        </w:tc>
        <w:tc>
          <w:tcPr>
            <w:tcW w:w="10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120" w:type="dxa"/>
            <w:vAlign w:val="bottom"/>
            <w:tcBorders>
              <w:bottom w:val="single" w:sz="8" w:color="EFEFEF"/>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23"/>
        </w:trPr>
        <w:tc>
          <w:tcPr>
            <w:tcW w:w="268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Subtotal Retail</w:t>
            </w:r>
          </w:p>
        </w:tc>
        <w:tc>
          <w:tcPr>
            <w:tcW w:w="280" w:type="dxa"/>
            <w:vAlign w:val="bottom"/>
          </w:tcPr>
          <w:p>
            <w:pPr>
              <w:spacing w:after="0"/>
              <w:rPr>
                <w:sz w:val="19"/>
                <w:szCs w:val="19"/>
                <w:color w:val="auto"/>
              </w:rPr>
            </w:pPr>
          </w:p>
        </w:tc>
        <w:tc>
          <w:tcPr>
            <w:tcW w:w="6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85</w:t>
            </w:r>
          </w:p>
        </w:tc>
      </w:tr>
      <w:tr>
        <w:trPr>
          <w:trHeight w:val="207"/>
        </w:trPr>
        <w:tc>
          <w:tcPr>
            <w:tcW w:w="2680" w:type="dxa"/>
            <w:vAlign w:val="bottom"/>
            <w:shd w:val="clear" w:color="auto" w:fill="EFEFEF"/>
          </w:tcPr>
          <w:p>
            <w:pPr>
              <w:ind w:left="80"/>
              <w:spacing w:after="0" w:line="207" w:lineRule="exact"/>
              <w:rPr>
                <w:sz w:val="20"/>
                <w:szCs w:val="20"/>
                <w:color w:val="auto"/>
              </w:rPr>
            </w:pPr>
            <w:r>
              <w:rPr>
                <w:rFonts w:ascii="Times New Roman" w:cs="Times New Roman" w:eastAsia="Times New Roman" w:hAnsi="Times New Roman"/>
                <w:sz w:val="20"/>
                <w:szCs w:val="20"/>
                <w:color w:val="auto"/>
              </w:rPr>
              <w:t>Alternative revenue programs,</w:t>
            </w:r>
          </w:p>
        </w:tc>
        <w:tc>
          <w:tcPr>
            <w:tcW w:w="280" w:type="dxa"/>
            <w:vAlign w:val="bottom"/>
            <w:shd w:val="clear" w:color="auto" w:fill="EFEFEF"/>
          </w:tcPr>
          <w:p>
            <w:pPr>
              <w:spacing w:after="0"/>
              <w:rPr>
                <w:sz w:val="17"/>
                <w:szCs w:val="17"/>
                <w:color w:val="auto"/>
              </w:rPr>
            </w:pPr>
          </w:p>
        </w:tc>
        <w:tc>
          <w:tcPr>
            <w:tcW w:w="62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340" w:type="dxa"/>
            <w:vAlign w:val="bottom"/>
            <w:shd w:val="clear" w:color="auto" w:fill="EFEFEF"/>
          </w:tcPr>
          <w:p>
            <w:pPr>
              <w:spacing w:after="0"/>
              <w:rPr>
                <w:sz w:val="17"/>
                <w:szCs w:val="17"/>
                <w:color w:val="auto"/>
              </w:rPr>
            </w:pPr>
          </w:p>
        </w:tc>
        <w:tc>
          <w:tcPr>
            <w:tcW w:w="72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280" w:type="dxa"/>
            <w:vAlign w:val="bottom"/>
            <w:shd w:val="clear" w:color="auto" w:fill="EFEFEF"/>
          </w:tcPr>
          <w:p>
            <w:pPr>
              <w:spacing w:after="0"/>
              <w:rPr>
                <w:sz w:val="17"/>
                <w:szCs w:val="17"/>
                <w:color w:val="auto"/>
              </w:rPr>
            </w:pPr>
          </w:p>
        </w:tc>
        <w:tc>
          <w:tcPr>
            <w:tcW w:w="62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460" w:type="dxa"/>
            <w:vAlign w:val="bottom"/>
            <w:shd w:val="clear" w:color="auto" w:fill="EFEFEF"/>
          </w:tcPr>
          <w:p>
            <w:pPr>
              <w:spacing w:after="0"/>
              <w:rPr>
                <w:sz w:val="17"/>
                <w:szCs w:val="17"/>
                <w:color w:val="auto"/>
              </w:rPr>
            </w:pPr>
          </w:p>
        </w:tc>
        <w:tc>
          <w:tcPr>
            <w:tcW w:w="60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220" w:type="dxa"/>
            <w:vAlign w:val="bottom"/>
            <w:shd w:val="clear" w:color="auto" w:fill="EFEFEF"/>
          </w:tcPr>
          <w:p>
            <w:pPr>
              <w:spacing w:after="0"/>
              <w:rPr>
                <w:sz w:val="17"/>
                <w:szCs w:val="17"/>
                <w:color w:val="auto"/>
              </w:rPr>
            </w:pPr>
          </w:p>
        </w:tc>
        <w:tc>
          <w:tcPr>
            <w:tcW w:w="6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340" w:type="dxa"/>
            <w:vAlign w:val="bottom"/>
            <w:shd w:val="clear" w:color="auto" w:fill="EFEFEF"/>
          </w:tcPr>
          <w:p>
            <w:pPr>
              <w:spacing w:after="0"/>
              <w:rPr>
                <w:sz w:val="17"/>
                <w:szCs w:val="17"/>
                <w:color w:val="auto"/>
              </w:rPr>
            </w:pPr>
          </w:p>
        </w:tc>
        <w:tc>
          <w:tcPr>
            <w:tcW w:w="72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220" w:type="dxa"/>
            <w:vAlign w:val="bottom"/>
            <w:shd w:val="clear" w:color="auto" w:fill="EFEFEF"/>
          </w:tcPr>
          <w:p>
            <w:pPr>
              <w:spacing w:after="0"/>
              <w:rPr>
                <w:sz w:val="17"/>
                <w:szCs w:val="17"/>
                <w:color w:val="auto"/>
              </w:rPr>
            </w:pPr>
          </w:p>
        </w:tc>
        <w:tc>
          <w:tcPr>
            <w:tcW w:w="68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440" w:type="dxa"/>
            <w:vAlign w:val="bottom"/>
            <w:shd w:val="clear" w:color="auto" w:fill="EFEFEF"/>
          </w:tcPr>
          <w:p>
            <w:pPr>
              <w:spacing w:after="0"/>
              <w:rPr>
                <w:sz w:val="17"/>
                <w:szCs w:val="17"/>
                <w:color w:val="auto"/>
              </w:rPr>
            </w:pPr>
          </w:p>
        </w:tc>
        <w:tc>
          <w:tcPr>
            <w:tcW w:w="620" w:type="dxa"/>
            <w:vAlign w:val="bottom"/>
            <w:shd w:val="clear" w:color="auto" w:fill="EFEFEF"/>
          </w:tcPr>
          <w:p>
            <w:pPr>
              <w:spacing w:after="0"/>
              <w:rPr>
                <w:sz w:val="17"/>
                <w:szCs w:val="17"/>
                <w:color w:val="auto"/>
              </w:rPr>
            </w:pPr>
          </w:p>
        </w:tc>
      </w:tr>
      <w:tr>
        <w:trPr>
          <w:trHeight w:val="252"/>
        </w:trPr>
        <w:tc>
          <w:tcPr>
            <w:tcW w:w="2680" w:type="dxa"/>
            <w:vAlign w:val="bottom"/>
            <w:shd w:val="clear" w:color="auto" w:fill="EFEFEF"/>
          </w:tcPr>
          <w:p>
            <w:pPr>
              <w:ind w:left="80"/>
              <w:spacing w:after="0"/>
              <w:rPr>
                <w:sz w:val="20"/>
                <w:szCs w:val="20"/>
                <w:color w:val="auto"/>
              </w:rPr>
            </w:pPr>
            <w:r>
              <w:rPr>
                <w:rFonts w:ascii="Times New Roman" w:cs="Times New Roman" w:eastAsia="Times New Roman" w:hAnsi="Times New Roman"/>
                <w:sz w:val="20"/>
                <w:szCs w:val="20"/>
                <w:color w:val="auto"/>
              </w:rPr>
              <w:t>net of amortization</w:t>
            </w:r>
          </w:p>
        </w:tc>
        <w:tc>
          <w:tcPr>
            <w:tcW w:w="280" w:type="dxa"/>
            <w:vAlign w:val="bottom"/>
            <w:shd w:val="clear" w:color="auto" w:fill="EFEFEF"/>
          </w:tcPr>
          <w:p>
            <w:pPr>
              <w:spacing w:after="0"/>
              <w:rPr>
                <w:sz w:val="21"/>
                <w:szCs w:val="21"/>
                <w:color w:val="auto"/>
              </w:rPr>
            </w:pPr>
          </w:p>
        </w:tc>
        <w:tc>
          <w:tcPr>
            <w:tcW w:w="6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EFEFEF"/>
          </w:tcPr>
          <w:p>
            <w:pPr>
              <w:spacing w:after="0"/>
              <w:rPr>
                <w:sz w:val="21"/>
                <w:szCs w:val="21"/>
                <w:color w:val="auto"/>
              </w:rPr>
            </w:pPr>
          </w:p>
        </w:tc>
        <w:tc>
          <w:tcPr>
            <w:tcW w:w="340" w:type="dxa"/>
            <w:vAlign w:val="bottom"/>
            <w:shd w:val="clear" w:color="auto" w:fill="EFEFEF"/>
          </w:tcPr>
          <w:p>
            <w:pPr>
              <w:spacing w:after="0"/>
              <w:rPr>
                <w:sz w:val="21"/>
                <w:szCs w:val="21"/>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FEFEF"/>
          </w:tcPr>
          <w:p>
            <w:pPr>
              <w:spacing w:after="0"/>
              <w:rPr>
                <w:sz w:val="21"/>
                <w:szCs w:val="21"/>
                <w:color w:val="auto"/>
              </w:rPr>
            </w:pPr>
          </w:p>
        </w:tc>
        <w:tc>
          <w:tcPr>
            <w:tcW w:w="280" w:type="dxa"/>
            <w:vAlign w:val="bottom"/>
            <w:shd w:val="clear" w:color="auto" w:fill="EFEFEF"/>
          </w:tcPr>
          <w:p>
            <w:pPr>
              <w:spacing w:after="0"/>
              <w:rPr>
                <w:sz w:val="21"/>
                <w:szCs w:val="21"/>
                <w:color w:val="auto"/>
              </w:rPr>
            </w:pPr>
          </w:p>
        </w:tc>
        <w:tc>
          <w:tcPr>
            <w:tcW w:w="6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shd w:val="clear" w:color="auto" w:fill="EFEFEF"/>
          </w:tcPr>
          <w:p>
            <w:pPr>
              <w:spacing w:after="0"/>
              <w:rPr>
                <w:sz w:val="21"/>
                <w:szCs w:val="21"/>
                <w:color w:val="auto"/>
              </w:rPr>
            </w:pPr>
          </w:p>
        </w:tc>
        <w:tc>
          <w:tcPr>
            <w:tcW w:w="460" w:type="dxa"/>
            <w:vAlign w:val="bottom"/>
            <w:shd w:val="clear" w:color="auto" w:fill="EFEFEF"/>
          </w:tcPr>
          <w:p>
            <w:pPr>
              <w:spacing w:after="0"/>
              <w:rPr>
                <w:sz w:val="21"/>
                <w:szCs w:val="21"/>
                <w:color w:val="auto"/>
              </w:rPr>
            </w:pPr>
          </w:p>
        </w:tc>
        <w:tc>
          <w:tcPr>
            <w:tcW w:w="60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FEFEF"/>
          </w:tcPr>
          <w:p>
            <w:pPr>
              <w:spacing w:after="0"/>
              <w:rPr>
                <w:sz w:val="21"/>
                <w:szCs w:val="21"/>
                <w:color w:val="auto"/>
              </w:rPr>
            </w:pPr>
          </w:p>
        </w:tc>
        <w:tc>
          <w:tcPr>
            <w:tcW w:w="220" w:type="dxa"/>
            <w:vAlign w:val="bottom"/>
            <w:shd w:val="clear" w:color="auto" w:fill="EFEFEF"/>
          </w:tcPr>
          <w:p>
            <w:pPr>
              <w:spacing w:after="0"/>
              <w:rPr>
                <w:sz w:val="21"/>
                <w:szCs w:val="21"/>
                <w:color w:val="auto"/>
              </w:rPr>
            </w:pPr>
          </w:p>
        </w:tc>
        <w:tc>
          <w:tcPr>
            <w:tcW w:w="6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shd w:val="clear" w:color="auto" w:fill="EFEFEF"/>
          </w:tcPr>
          <w:p>
            <w:pPr>
              <w:spacing w:after="0"/>
              <w:rPr>
                <w:sz w:val="21"/>
                <w:szCs w:val="21"/>
                <w:color w:val="auto"/>
              </w:rPr>
            </w:pPr>
          </w:p>
        </w:tc>
        <w:tc>
          <w:tcPr>
            <w:tcW w:w="340" w:type="dxa"/>
            <w:vAlign w:val="bottom"/>
            <w:shd w:val="clear" w:color="auto" w:fill="EFEFEF"/>
          </w:tcPr>
          <w:p>
            <w:pPr>
              <w:spacing w:after="0"/>
              <w:rPr>
                <w:sz w:val="21"/>
                <w:szCs w:val="21"/>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FEFEF"/>
          </w:tcPr>
          <w:p>
            <w:pPr>
              <w:spacing w:after="0"/>
              <w:rPr>
                <w:sz w:val="21"/>
                <w:szCs w:val="21"/>
                <w:color w:val="auto"/>
              </w:rPr>
            </w:pPr>
          </w:p>
        </w:tc>
        <w:tc>
          <w:tcPr>
            <w:tcW w:w="220" w:type="dxa"/>
            <w:vAlign w:val="bottom"/>
            <w:shd w:val="clear" w:color="auto" w:fill="EFEFEF"/>
          </w:tcPr>
          <w:p>
            <w:pPr>
              <w:spacing w:after="0"/>
              <w:rPr>
                <w:sz w:val="21"/>
                <w:szCs w:val="21"/>
                <w:color w:val="auto"/>
              </w:rPr>
            </w:pPr>
          </w:p>
        </w:tc>
        <w:tc>
          <w:tcPr>
            <w:tcW w:w="6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shd w:val="clear" w:color="auto" w:fill="EFEFEF"/>
          </w:tcPr>
          <w:p>
            <w:pPr>
              <w:spacing w:after="0"/>
              <w:rPr>
                <w:sz w:val="21"/>
                <w:szCs w:val="21"/>
                <w:color w:val="auto"/>
              </w:rPr>
            </w:pPr>
          </w:p>
        </w:tc>
        <w:tc>
          <w:tcPr>
            <w:tcW w:w="440" w:type="dxa"/>
            <w:vAlign w:val="bottom"/>
            <w:shd w:val="clear" w:color="auto" w:fill="EFEFEF"/>
          </w:tcPr>
          <w:p>
            <w:pPr>
              <w:spacing w:after="0"/>
              <w:rPr>
                <w:sz w:val="21"/>
                <w:szCs w:val="21"/>
                <w:color w:val="auto"/>
              </w:rPr>
            </w:pPr>
          </w:p>
        </w:tc>
        <w:tc>
          <w:tcPr>
            <w:tcW w:w="6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2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accrued revenues, net</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2680" w:type="dxa"/>
            <w:vAlign w:val="bottom"/>
            <w:shd w:val="clear" w:color="auto" w:fill="EFEFEF"/>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retail revenues</w:t>
            </w: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809</w:t>
            </w: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83</w:t>
            </w:r>
          </w:p>
        </w:tc>
        <w:tc>
          <w:tcPr>
            <w:tcW w:w="100" w:type="dxa"/>
            <w:vAlign w:val="bottom"/>
            <w:shd w:val="clear" w:color="auto" w:fill="EFEFEF"/>
          </w:tcPr>
          <w:p>
            <w:pPr>
              <w:spacing w:after="0"/>
              <w:rPr>
                <w:sz w:val="19"/>
                <w:szCs w:val="19"/>
                <w:color w:val="auto"/>
              </w:rPr>
            </w:pPr>
          </w:p>
        </w:tc>
        <w:tc>
          <w:tcPr>
            <w:tcW w:w="28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794</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0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84</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2,350</w:t>
            </w:r>
          </w:p>
        </w:tc>
        <w:tc>
          <w:tcPr>
            <w:tcW w:w="10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88</w:t>
            </w:r>
          </w:p>
        </w:tc>
        <w:tc>
          <w:tcPr>
            <w:tcW w:w="100" w:type="dxa"/>
            <w:vAlign w:val="bottom"/>
            <w:shd w:val="clear" w:color="auto" w:fill="EFEFEF"/>
          </w:tcPr>
          <w:p>
            <w:pPr>
              <w:spacing w:after="0"/>
              <w:rPr>
                <w:sz w:val="19"/>
                <w:szCs w:val="19"/>
                <w:color w:val="auto"/>
              </w:rPr>
            </w:pPr>
          </w:p>
        </w:tc>
        <w:tc>
          <w:tcPr>
            <w:tcW w:w="22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2,299</w:t>
            </w:r>
          </w:p>
        </w:tc>
        <w:tc>
          <w:tcPr>
            <w:tcW w:w="120" w:type="dxa"/>
            <w:vAlign w:val="bottom"/>
            <w:shd w:val="clear" w:color="auto" w:fill="EFEFEF"/>
          </w:tcPr>
          <w:p>
            <w:pPr>
              <w:spacing w:after="0"/>
              <w:rPr>
                <w:sz w:val="19"/>
                <w:szCs w:val="19"/>
                <w:color w:val="auto"/>
              </w:rPr>
            </w:pPr>
          </w:p>
        </w:tc>
        <w:tc>
          <w:tcPr>
            <w:tcW w:w="440" w:type="dxa"/>
            <w:vAlign w:val="bottom"/>
            <w:shd w:val="clear" w:color="auto" w:fill="EFEFEF"/>
          </w:tcPr>
          <w:p>
            <w:pPr>
              <w:spacing w:after="0"/>
              <w:rPr>
                <w:sz w:val="19"/>
                <w:szCs w:val="19"/>
                <w:color w:val="auto"/>
              </w:rPr>
            </w:pPr>
          </w:p>
        </w:tc>
        <w:tc>
          <w:tcPr>
            <w:tcW w:w="62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86</w:t>
            </w: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Wholesale revenues</w:t>
            </w:r>
          </w:p>
        </w:tc>
        <w:tc>
          <w:tcPr>
            <w:tcW w:w="28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268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Other operating revenues</w:t>
            </w:r>
          </w:p>
        </w:tc>
        <w:tc>
          <w:tcPr>
            <w:tcW w:w="28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EFEFEF"/>
            </w:tcBorders>
            <w:shd w:val="clear" w:color="auto" w:fill="EFEFEF"/>
          </w:tcPr>
          <w:p>
            <w:pPr>
              <w:spacing w:after="0"/>
              <w:rPr>
                <w:sz w:val="19"/>
                <w:szCs w:val="19"/>
                <w:color w:val="auto"/>
              </w:rPr>
            </w:pPr>
          </w:p>
        </w:tc>
        <w:tc>
          <w:tcPr>
            <w:tcW w:w="28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Borders>
              <w:bottom w:val="single" w:sz="8" w:color="EFEFEF"/>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spacing w:after="0"/>
              <w:rPr>
                <w:sz w:val="19"/>
                <w:szCs w:val="19"/>
                <w:color w:val="auto"/>
              </w:rPr>
            </w:pPr>
          </w:p>
        </w:tc>
        <w:tc>
          <w:tcPr>
            <w:tcW w:w="60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EFEFEF"/>
            </w:tcBorders>
            <w:shd w:val="clear" w:color="auto" w:fill="EFEFEF"/>
          </w:tcPr>
          <w:p>
            <w:pPr>
              <w:spacing w:after="0"/>
              <w:rPr>
                <w:sz w:val="19"/>
                <w:szCs w:val="19"/>
                <w:color w:val="auto"/>
              </w:rPr>
            </w:pPr>
          </w:p>
        </w:tc>
        <w:tc>
          <w:tcPr>
            <w:tcW w:w="22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64</w:t>
            </w:r>
          </w:p>
        </w:tc>
        <w:tc>
          <w:tcPr>
            <w:tcW w:w="120" w:type="dxa"/>
            <w:vAlign w:val="bottom"/>
            <w:tcBorders>
              <w:bottom w:val="single" w:sz="8" w:color="EFEFEF"/>
            </w:tcBorders>
            <w:shd w:val="clear" w:color="auto" w:fill="EFEFEF"/>
          </w:tcPr>
          <w:p>
            <w:pPr>
              <w:spacing w:after="0"/>
              <w:rPr>
                <w:sz w:val="19"/>
                <w:szCs w:val="19"/>
                <w:color w:val="auto"/>
              </w:rPr>
            </w:pPr>
          </w:p>
        </w:tc>
        <w:tc>
          <w:tcPr>
            <w:tcW w:w="440" w:type="dxa"/>
            <w:vAlign w:val="bottom"/>
            <w:tcBorders>
              <w:bottom w:val="single" w:sz="8" w:color="auto"/>
            </w:tcBorders>
            <w:shd w:val="clear" w:color="auto" w:fill="EFEFEF"/>
          </w:tcPr>
          <w:p>
            <w:pPr>
              <w:spacing w:after="0"/>
              <w:rPr>
                <w:sz w:val="19"/>
                <w:szCs w:val="19"/>
                <w:color w:val="auto"/>
              </w:rPr>
            </w:pPr>
          </w:p>
        </w:tc>
        <w:tc>
          <w:tcPr>
            <w:tcW w:w="6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r>
      <w:tr>
        <w:trPr>
          <w:trHeight w:val="223"/>
        </w:trPr>
        <w:tc>
          <w:tcPr>
            <w:tcW w:w="26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2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38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3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3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r>
      <w:tr>
        <w:trPr>
          <w:trHeight w:val="20"/>
        </w:trPr>
        <w:tc>
          <w:tcPr>
            <w:tcW w:w="2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-1816735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-1816735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-1816735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-1816735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-1816735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-1816735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-1816735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-1216660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-1216660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-1216660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-1216660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-1216660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-1216660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-1216660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-179070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-179070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-179070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-179070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-179070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-179070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retail revenues—</w:t>
      </w:r>
      <w:r>
        <w:rPr>
          <w:rFonts w:ascii="Times New Roman" w:cs="Times New Roman" w:eastAsia="Times New Roman" w:hAnsi="Times New Roman"/>
          <w:sz w:val="20"/>
          <w:szCs w:val="20"/>
          <w:color w:val="auto"/>
        </w:rPr>
        <w:t>The following items contributed to the increase in Total retail revenues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2026 compared to the same periods in 2025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00" w:type="dxa"/>
            <w:vAlign w:val="bottom"/>
          </w:tcPr>
          <w:p>
            <w:pPr>
              <w:spacing w:after="0"/>
              <w:rPr>
                <w:sz w:val="22"/>
                <w:szCs w:val="22"/>
                <w:color w:val="auto"/>
              </w:rPr>
            </w:pPr>
          </w:p>
        </w:tc>
        <w:tc>
          <w:tcPr>
            <w:tcW w:w="140" w:type="dxa"/>
            <w:vAlign w:val="bottom"/>
            <w:tcBorders>
              <w:bottom w:val="single" w:sz="8" w:color="155CAB"/>
            </w:tcBorders>
          </w:tcPr>
          <w:p>
            <w:pPr>
              <w:spacing w:after="0"/>
              <w:rPr>
                <w:sz w:val="22"/>
                <w:szCs w:val="22"/>
                <w:color w:val="auto"/>
              </w:rPr>
            </w:pPr>
          </w:p>
        </w:tc>
        <w:tc>
          <w:tcPr>
            <w:tcW w:w="2100" w:type="dxa"/>
            <w:vAlign w:val="bottom"/>
            <w:tcBorders>
              <w:bottom w:val="single" w:sz="8" w:color="155CAB"/>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155CAB"/>
                <w:w w:val="98"/>
              </w:rPr>
              <w:t>Three Months Ended</w:t>
            </w:r>
          </w:p>
        </w:tc>
        <w:tc>
          <w:tcPr>
            <w:tcW w:w="26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2080" w:type="dxa"/>
            <w:vAlign w:val="bottom"/>
            <w:tcBorders>
              <w:bottom w:val="single" w:sz="8" w:color="155CAB"/>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Nine Months Ended</w:t>
            </w:r>
          </w:p>
        </w:tc>
      </w:tr>
      <w:tr>
        <w:trPr>
          <w:trHeight w:val="223"/>
        </w:trPr>
        <w:tc>
          <w:tcPr>
            <w:tcW w:w="65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2025</w:t>
            </w:r>
          </w:p>
        </w:tc>
        <w:tc>
          <w:tcPr>
            <w:tcW w:w="14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1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794</w:t>
            </w:r>
          </w:p>
        </w:tc>
        <w:tc>
          <w:tcPr>
            <w:tcW w:w="42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2,299</w:t>
            </w: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Seaside BESS</w:t>
            </w:r>
          </w:p>
        </w:tc>
        <w:tc>
          <w:tcPr>
            <w:tcW w:w="140" w:type="dxa"/>
            <w:vAlign w:val="bottom"/>
          </w:tcPr>
          <w:p>
            <w:pPr>
              <w:spacing w:after="0"/>
              <w:rPr>
                <w:sz w:val="19"/>
                <w:szCs w:val="19"/>
                <w:color w:val="auto"/>
              </w:rPr>
            </w:pPr>
          </w:p>
        </w:tc>
        <w:tc>
          <w:tcPr>
            <w:tcW w:w="2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w:t>
            </w:r>
          </w:p>
        </w:tc>
      </w:tr>
      <w:tr>
        <w:trPr>
          <w:trHeight w:val="229"/>
        </w:trPr>
        <w:tc>
          <w:tcPr>
            <w:tcW w:w="65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DSP cost recovery</w:t>
            </w:r>
          </w:p>
        </w:tc>
        <w:tc>
          <w:tcPr>
            <w:tcW w:w="140" w:type="dxa"/>
            <w:vAlign w:val="bottom"/>
            <w:shd w:val="clear" w:color="auto" w:fill="EFEFEF"/>
          </w:tcPr>
          <w:p>
            <w:pPr>
              <w:spacing w:after="0"/>
              <w:rPr>
                <w:sz w:val="19"/>
                <w:szCs w:val="19"/>
                <w:color w:val="auto"/>
              </w:rPr>
            </w:pPr>
          </w:p>
        </w:tc>
        <w:tc>
          <w:tcPr>
            <w:tcW w:w="2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13</w:t>
            </w:r>
          </w:p>
        </w:tc>
        <w:tc>
          <w:tcPr>
            <w:tcW w:w="2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20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Clearwater RAC deferral</w:t>
            </w:r>
          </w:p>
        </w:tc>
        <w:tc>
          <w:tcPr>
            <w:tcW w:w="140" w:type="dxa"/>
            <w:vAlign w:val="bottom"/>
          </w:tcPr>
          <w:p>
            <w:pPr>
              <w:spacing w:after="0"/>
              <w:rPr>
                <w:sz w:val="19"/>
                <w:szCs w:val="19"/>
                <w:color w:val="auto"/>
              </w:rPr>
            </w:pPr>
          </w:p>
        </w:tc>
        <w:tc>
          <w:tcPr>
            <w:tcW w:w="2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65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Retail energy deliveries</w:t>
            </w:r>
          </w:p>
        </w:tc>
        <w:tc>
          <w:tcPr>
            <w:tcW w:w="140" w:type="dxa"/>
            <w:vAlign w:val="bottom"/>
            <w:shd w:val="clear" w:color="auto" w:fill="EFEFEF"/>
          </w:tcPr>
          <w:p>
            <w:pPr>
              <w:spacing w:after="0"/>
              <w:rPr>
                <w:sz w:val="19"/>
                <w:szCs w:val="19"/>
                <w:color w:val="auto"/>
              </w:rPr>
            </w:pPr>
          </w:p>
        </w:tc>
        <w:tc>
          <w:tcPr>
            <w:tcW w:w="21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20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PCAM collection for 2024 deferral</w:t>
            </w:r>
          </w:p>
        </w:tc>
        <w:tc>
          <w:tcPr>
            <w:tcW w:w="140" w:type="dxa"/>
            <w:vAlign w:val="bottom"/>
          </w:tcPr>
          <w:p>
            <w:pPr>
              <w:spacing w:after="0"/>
              <w:rPr>
                <w:sz w:val="19"/>
                <w:szCs w:val="19"/>
                <w:color w:val="auto"/>
              </w:rPr>
            </w:pPr>
          </w:p>
        </w:tc>
        <w:tc>
          <w:tcPr>
            <w:tcW w:w="2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w:t>
            </w:r>
          </w:p>
        </w:tc>
      </w:tr>
      <w:tr>
        <w:trPr>
          <w:trHeight w:val="207"/>
        </w:trPr>
        <w:tc>
          <w:tcPr>
            <w:tcW w:w="6500" w:type="dxa"/>
            <w:vAlign w:val="bottom"/>
            <w:shd w:val="clear" w:color="auto" w:fill="EFEFEF"/>
          </w:tcPr>
          <w:p>
            <w:pPr>
              <w:ind w:left="160"/>
              <w:spacing w:after="0" w:line="207" w:lineRule="exact"/>
              <w:rPr>
                <w:sz w:val="20"/>
                <w:szCs w:val="20"/>
                <w:color w:val="auto"/>
              </w:rPr>
            </w:pPr>
            <w:r>
              <w:rPr>
                <w:rFonts w:ascii="Times New Roman" w:cs="Times New Roman" w:eastAsia="Times New Roman" w:hAnsi="Times New Roman"/>
                <w:sz w:val="20"/>
                <w:szCs w:val="20"/>
                <w:color w:val="auto"/>
              </w:rPr>
              <w:t>Average price of energy deliveries due primarily to changes in customer</w:t>
            </w:r>
          </w:p>
        </w:tc>
        <w:tc>
          <w:tcPr>
            <w:tcW w:w="140" w:type="dxa"/>
            <w:vAlign w:val="bottom"/>
            <w:shd w:val="clear" w:color="auto" w:fill="EFEFEF"/>
          </w:tcPr>
          <w:p>
            <w:pPr>
              <w:spacing w:after="0"/>
              <w:rPr>
                <w:sz w:val="17"/>
                <w:szCs w:val="17"/>
                <w:color w:val="auto"/>
              </w:rPr>
            </w:pPr>
          </w:p>
        </w:tc>
        <w:tc>
          <w:tcPr>
            <w:tcW w:w="2100" w:type="dxa"/>
            <w:vAlign w:val="bottom"/>
            <w:shd w:val="clear" w:color="auto" w:fill="EFEFEF"/>
          </w:tcPr>
          <w:p>
            <w:pPr>
              <w:spacing w:after="0"/>
              <w:rPr>
                <w:sz w:val="17"/>
                <w:szCs w:val="17"/>
                <w:color w:val="auto"/>
              </w:rPr>
            </w:pPr>
          </w:p>
        </w:tc>
        <w:tc>
          <w:tcPr>
            <w:tcW w:w="26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2080" w:type="dxa"/>
            <w:vAlign w:val="bottom"/>
            <w:shd w:val="clear" w:color="auto" w:fill="EFEFEF"/>
          </w:tcPr>
          <w:p>
            <w:pPr>
              <w:spacing w:after="0"/>
              <w:rPr>
                <w:sz w:val="17"/>
                <w:szCs w:val="17"/>
                <w:color w:val="auto"/>
              </w:rPr>
            </w:pPr>
          </w:p>
        </w:tc>
      </w:tr>
      <w:tr>
        <w:trPr>
          <w:trHeight w:val="252"/>
        </w:trPr>
        <w:tc>
          <w:tcPr>
            <w:tcW w:w="65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prices, partially offset by changes in delivery mix to customers</w:t>
            </w:r>
          </w:p>
        </w:tc>
        <w:tc>
          <w:tcPr>
            <w:tcW w:w="140" w:type="dxa"/>
            <w:vAlign w:val="bottom"/>
            <w:shd w:val="clear" w:color="auto" w:fill="EFEFEF"/>
          </w:tcPr>
          <w:p>
            <w:pPr>
              <w:spacing w:after="0"/>
              <w:rPr>
                <w:sz w:val="21"/>
                <w:szCs w:val="21"/>
                <w:color w:val="auto"/>
              </w:rPr>
            </w:pPr>
          </w:p>
        </w:tc>
        <w:tc>
          <w:tcPr>
            <w:tcW w:w="210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260" w:type="dxa"/>
            <w:vAlign w:val="bottom"/>
            <w:shd w:val="clear" w:color="auto" w:fill="EFEFEF"/>
          </w:tcPr>
          <w:p>
            <w:pPr>
              <w:spacing w:after="0"/>
              <w:rPr>
                <w:sz w:val="21"/>
                <w:szCs w:val="21"/>
                <w:color w:val="auto"/>
              </w:rPr>
            </w:pPr>
          </w:p>
        </w:tc>
        <w:tc>
          <w:tcPr>
            <w:tcW w:w="160" w:type="dxa"/>
            <w:vAlign w:val="bottom"/>
            <w:shd w:val="clear" w:color="auto" w:fill="EFEFEF"/>
          </w:tcPr>
          <w:p>
            <w:pPr>
              <w:spacing w:after="0"/>
              <w:rPr>
                <w:sz w:val="21"/>
                <w:szCs w:val="21"/>
                <w:color w:val="auto"/>
              </w:rPr>
            </w:pPr>
          </w:p>
        </w:tc>
        <w:tc>
          <w:tcPr>
            <w:tcW w:w="20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r>
      <w:tr>
        <w:trPr>
          <w:trHeight w:val="207"/>
        </w:trPr>
        <w:tc>
          <w:tcPr>
            <w:tcW w:w="6500" w:type="dxa"/>
            <w:vAlign w:val="bottom"/>
          </w:tcPr>
          <w:p>
            <w:pPr>
              <w:ind w:left="160"/>
              <w:spacing w:after="0" w:line="207" w:lineRule="exact"/>
              <w:rPr>
                <w:sz w:val="20"/>
                <w:szCs w:val="20"/>
                <w:color w:val="auto"/>
              </w:rPr>
            </w:pPr>
            <w:r>
              <w:rPr>
                <w:rFonts w:ascii="Times New Roman" w:cs="Times New Roman" w:eastAsia="Times New Roman" w:hAnsi="Times New Roman"/>
                <w:sz w:val="20"/>
                <w:szCs w:val="20"/>
                <w:color w:val="auto"/>
              </w:rPr>
              <w:t>Change in prices as a result of the AUT, approved by the OPUC (partially</w:t>
            </w: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2"/>
        </w:trPr>
        <w:tc>
          <w:tcPr>
            <w:tcW w:w="6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offset in Purchased power and fuel)</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650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Annual Colstrip tariff update</w:t>
            </w:r>
          </w:p>
        </w:tc>
        <w:tc>
          <w:tcPr>
            <w:tcW w:w="140" w:type="dxa"/>
            <w:vAlign w:val="bottom"/>
            <w:shd w:val="clear" w:color="auto" w:fill="EFEFEF"/>
          </w:tcPr>
          <w:p>
            <w:pPr>
              <w:spacing w:after="0"/>
              <w:rPr>
                <w:sz w:val="19"/>
                <w:szCs w:val="19"/>
                <w:color w:val="auto"/>
              </w:rPr>
            </w:pPr>
          </w:p>
        </w:tc>
        <w:tc>
          <w:tcPr>
            <w:tcW w:w="21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20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Combination of various supplemental schedules and adjustments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3"/>
        </w:trPr>
        <w:tc>
          <w:tcPr>
            <w:tcW w:w="65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2026</w:t>
            </w:r>
          </w:p>
        </w:tc>
        <w:tc>
          <w:tcPr>
            <w:tcW w:w="14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10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809</w:t>
            </w:r>
          </w:p>
        </w:tc>
        <w:tc>
          <w:tcPr>
            <w:tcW w:w="42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2,350</w:t>
            </w:r>
          </w:p>
        </w:tc>
      </w:tr>
      <w:tr>
        <w:trPr>
          <w:trHeight w:val="20"/>
        </w:trPr>
        <w:tc>
          <w:tcPr>
            <w:tcW w:w="6500" w:type="dxa"/>
            <w:vAlign w:val="bottom"/>
            <w:shd w:val="clear" w:color="auto" w:fill="EFEFE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60" w:type="dxa"/>
            <w:vAlign w:val="bottom"/>
            <w:shd w:val="clear" w:color="auto" w:fill="EFEFE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223"/>
        </w:trPr>
        <w:tc>
          <w:tcPr>
            <w:tcW w:w="65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Change in Total retail revenues</w:t>
            </w:r>
          </w:p>
        </w:tc>
        <w:tc>
          <w:tcPr>
            <w:tcW w:w="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10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w:t>
            </w:r>
          </w:p>
        </w:tc>
        <w:tc>
          <w:tcPr>
            <w:tcW w:w="4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51</w:t>
            </w: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-179705</wp:posOffset>
            </wp:positionV>
            <wp:extent cx="1631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6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Wholesale revenues </w:t>
      </w:r>
      <w:r>
        <w:rPr>
          <w:rFonts w:ascii="Times New Roman" w:cs="Times New Roman" w:eastAsia="Times New Roman" w:hAnsi="Times New Roman"/>
          <w:sz w:val="20"/>
          <w:szCs w:val="20"/>
          <w:color w:val="auto"/>
        </w:rPr>
        <w:t>result from sales of electricity and environmental credits to utilities and power marketers made in the Company’s efforts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meet the needs of, and obtain reasonably priced power for, its retail customers, manage risk, and administer its long-term wholesale contracts. Such sales can vary significantly from year to year as a result of economic conditions, power and fuel prices, hydro and wind availability, and customer demand.</w:t>
      </w:r>
    </w:p>
    <w:p>
      <w:pPr>
        <w:spacing w:after="0" w:line="18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Wholesale revenues for the three months ended September 30, 2026 increased $7 million, or 5%, from the three months ended September 30, 2025, resulting from a combination of higher average wholesale sales price, offset by a 13% decrease in sales volume.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For the nine months ended September 30, 2026, Wholesale revenues decreased $79 million, or 24%, from the nine months ended September 30, 2025 as the Company experienced an $84 million reduction from a decline in the quantity of MWhs sold, which was down 26% from the prior year, offset by a $21 million increase due to higher prices. In addition, the sale of environmental credits produced $16 million less revenue in 2026 than during the same period of 2025.</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Other operating revenues </w:t>
      </w:r>
      <w:r>
        <w:rPr>
          <w:rFonts w:ascii="Times New Roman" w:cs="Times New Roman" w:eastAsia="Times New Roman" w:hAnsi="Times New Roman"/>
          <w:sz w:val="20"/>
          <w:szCs w:val="20"/>
          <w:color w:val="auto"/>
        </w:rPr>
        <w:t>for the three months ended September 30, 2026 were down $3 million from the comparable period in 2025.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nine months ended September 30, 2026, Other operating revenues were up $5 million compared to the same period of 2025, due to a combination of factors, the largest of which being joint pole revenue.</w:t>
      </w:r>
    </w:p>
    <w:p>
      <w:pPr>
        <w:spacing w:after="0" w:line="16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b w:val="1"/>
          <w:bCs w:val="1"/>
          <w:color w:val="155CAB"/>
        </w:rPr>
        <w:t xml:space="preserve">Purchased power and fuel </w:t>
      </w:r>
      <w:r>
        <w:rPr>
          <w:rFonts w:ascii="Times New Roman" w:cs="Times New Roman" w:eastAsia="Times New Roman" w:hAnsi="Times New Roman"/>
          <w:sz w:val="20"/>
          <w:szCs w:val="20"/>
          <w:color w:val="000000"/>
        </w:rPr>
        <w:t>expense includes the cost of power purchased and fuel used to generate electricity to meet PGE’s retail load</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requirements, as well as the cost of settled electric and natural gas financial contracts.</w:t>
      </w:r>
    </w:p>
    <w:p>
      <w:pPr>
        <w:spacing w:after="0" w:line="156"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The following items contributed to the change in Purchased power and fuel for the three and nine months ended September 30, 2026 compared to the same periods in 2025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32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2180" w:type="dxa"/>
            <w:vAlign w:val="bottom"/>
            <w:tcBorders>
              <w:bottom w:val="single" w:sz="8" w:color="155CAB"/>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Three Months Ended</w:t>
            </w:r>
          </w:p>
        </w:tc>
        <w:tc>
          <w:tcPr>
            <w:tcW w:w="240" w:type="dxa"/>
            <w:vAlign w:val="bottom"/>
          </w:tcPr>
          <w:p>
            <w:pPr>
              <w:spacing w:after="0"/>
              <w:rPr>
                <w:sz w:val="22"/>
                <w:szCs w:val="22"/>
                <w:color w:val="auto"/>
              </w:rPr>
            </w:pPr>
          </w:p>
        </w:tc>
        <w:tc>
          <w:tcPr>
            <w:tcW w:w="180" w:type="dxa"/>
            <w:vAlign w:val="bottom"/>
            <w:tcBorders>
              <w:bottom w:val="single" w:sz="8" w:color="155CAB"/>
            </w:tcBorders>
          </w:tcPr>
          <w:p>
            <w:pPr>
              <w:spacing w:after="0"/>
              <w:rPr>
                <w:sz w:val="22"/>
                <w:szCs w:val="22"/>
                <w:color w:val="auto"/>
              </w:rPr>
            </w:pPr>
          </w:p>
        </w:tc>
        <w:tc>
          <w:tcPr>
            <w:tcW w:w="2160" w:type="dxa"/>
            <w:vAlign w:val="bottom"/>
            <w:tcBorders>
              <w:bottom w:val="single" w:sz="8" w:color="155CAB"/>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155CAB"/>
              </w:rPr>
              <w:t>Nine Months Ended</w:t>
            </w:r>
          </w:p>
        </w:tc>
      </w:tr>
      <w:tr>
        <w:trPr>
          <w:trHeight w:val="223"/>
        </w:trPr>
        <w:tc>
          <w:tcPr>
            <w:tcW w:w="63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2025</w:t>
            </w:r>
          </w:p>
        </w:tc>
        <w:tc>
          <w:tcPr>
            <w:tcW w:w="16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18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372</w:t>
            </w:r>
          </w:p>
        </w:tc>
        <w:tc>
          <w:tcPr>
            <w:tcW w:w="420" w:type="dxa"/>
            <w:vAlign w:val="bottom"/>
            <w:gridSpan w:val="2"/>
            <w:shd w:val="clear" w:color="auto" w:fill="EFEFEF"/>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16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1,034</w:t>
            </w:r>
          </w:p>
        </w:tc>
      </w:tr>
      <w:tr>
        <w:trPr>
          <w:trHeight w:val="229"/>
        </w:trPr>
        <w:tc>
          <w:tcPr>
            <w:tcW w:w="6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Average variable power cost per MWh</w:t>
            </w:r>
          </w:p>
        </w:tc>
        <w:tc>
          <w:tcPr>
            <w:tcW w:w="160" w:type="dxa"/>
            <w:vAlign w:val="bottom"/>
          </w:tcPr>
          <w:p>
            <w:pPr>
              <w:spacing w:after="0"/>
              <w:rPr>
                <w:sz w:val="19"/>
                <w:szCs w:val="19"/>
                <w:color w:val="auto"/>
              </w:rPr>
            </w:pPr>
          </w:p>
        </w:tc>
        <w:tc>
          <w:tcPr>
            <w:tcW w:w="2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632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Total system load</w:t>
            </w:r>
          </w:p>
        </w:tc>
        <w:tc>
          <w:tcPr>
            <w:tcW w:w="160" w:type="dxa"/>
            <w:vAlign w:val="bottom"/>
            <w:shd w:val="clear" w:color="auto" w:fill="EFEFEF"/>
          </w:tcPr>
          <w:p>
            <w:pPr>
              <w:spacing w:after="0"/>
              <w:rPr>
                <w:sz w:val="19"/>
                <w:szCs w:val="19"/>
                <w:color w:val="auto"/>
              </w:rPr>
            </w:pPr>
          </w:p>
        </w:tc>
        <w:tc>
          <w:tcPr>
            <w:tcW w:w="21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4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2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6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RCE deferral activity, net</w:t>
            </w:r>
          </w:p>
        </w:tc>
        <w:tc>
          <w:tcPr>
            <w:tcW w:w="1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w:t>
            </w:r>
          </w:p>
        </w:tc>
      </w:tr>
      <w:tr>
        <w:trPr>
          <w:trHeight w:val="223"/>
        </w:trPr>
        <w:tc>
          <w:tcPr>
            <w:tcW w:w="632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2026</w:t>
            </w:r>
          </w:p>
        </w:tc>
        <w:tc>
          <w:tcPr>
            <w:tcW w:w="160" w:type="dxa"/>
            <w:vAlign w:val="bottom"/>
            <w:tcBorders>
              <w:bottom w:val="single" w:sz="8" w:color="auto"/>
            </w:tcBorders>
            <w:shd w:val="clear" w:color="auto" w:fill="EFEFEF"/>
          </w:tcPr>
          <w:p>
            <w:pPr>
              <w:spacing w:after="0"/>
              <w:rPr>
                <w:sz w:val="19"/>
                <w:szCs w:val="19"/>
                <w:color w:val="auto"/>
              </w:rPr>
            </w:pPr>
          </w:p>
        </w:tc>
        <w:tc>
          <w:tcPr>
            <w:tcW w:w="218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383</w:t>
            </w:r>
          </w:p>
        </w:tc>
        <w:tc>
          <w:tcPr>
            <w:tcW w:w="240" w:type="dxa"/>
            <w:vAlign w:val="bottom"/>
            <w:tcBorders>
              <w:bottom w:val="single" w:sz="8" w:color="EFEFEF"/>
            </w:tcBorders>
            <w:shd w:val="clear" w:color="auto" w:fill="EFEFEF"/>
          </w:tcPr>
          <w:p>
            <w:pPr>
              <w:spacing w:after="0"/>
              <w:rPr>
                <w:sz w:val="19"/>
                <w:szCs w:val="19"/>
                <w:color w:val="auto"/>
              </w:rPr>
            </w:pPr>
          </w:p>
        </w:tc>
        <w:tc>
          <w:tcPr>
            <w:tcW w:w="180" w:type="dxa"/>
            <w:vAlign w:val="bottom"/>
            <w:tcBorders>
              <w:bottom w:val="single" w:sz="8" w:color="auto"/>
            </w:tcBorders>
            <w:shd w:val="clear" w:color="auto" w:fill="EFEFEF"/>
          </w:tcPr>
          <w:p>
            <w:pPr>
              <w:spacing w:after="0"/>
              <w:rPr>
                <w:sz w:val="19"/>
                <w:szCs w:val="19"/>
                <w:color w:val="auto"/>
              </w:rPr>
            </w:pPr>
          </w:p>
        </w:tc>
        <w:tc>
          <w:tcPr>
            <w:tcW w:w="21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1,040</w:t>
            </w:r>
          </w:p>
        </w:tc>
      </w:tr>
      <w:tr>
        <w:trPr>
          <w:trHeight w:val="223"/>
        </w:trPr>
        <w:tc>
          <w:tcPr>
            <w:tcW w:w="6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Change in Purchased power and fuel</w:t>
            </w: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1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11</w:t>
            </w:r>
          </w:p>
        </w:tc>
        <w:tc>
          <w:tcPr>
            <w:tcW w:w="42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16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w:t>
            </w: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632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Average variable power cost per MWh (in dollars):</w:t>
            </w:r>
          </w:p>
        </w:tc>
        <w:tc>
          <w:tcPr>
            <w:tcW w:w="160" w:type="dxa"/>
            <w:vAlign w:val="bottom"/>
            <w:shd w:val="clear" w:color="auto" w:fill="EFEFEF"/>
          </w:tcPr>
          <w:p>
            <w:pPr>
              <w:spacing w:after="0"/>
              <w:rPr>
                <w:sz w:val="19"/>
                <w:szCs w:val="19"/>
                <w:color w:val="auto"/>
              </w:rPr>
            </w:pPr>
          </w:p>
        </w:tc>
        <w:tc>
          <w:tcPr>
            <w:tcW w:w="218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2160" w:type="dxa"/>
            <w:vAlign w:val="bottom"/>
            <w:shd w:val="clear" w:color="auto" w:fill="EFEFEF"/>
          </w:tcPr>
          <w:p>
            <w:pPr>
              <w:spacing w:after="0"/>
              <w:rPr>
                <w:sz w:val="19"/>
                <w:szCs w:val="19"/>
                <w:color w:val="auto"/>
              </w:rPr>
            </w:pPr>
          </w:p>
        </w:tc>
      </w:tr>
      <w:tr>
        <w:trPr>
          <w:trHeight w:val="230"/>
        </w:trPr>
        <w:tc>
          <w:tcPr>
            <w:tcW w:w="6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44.92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45.23</w:t>
            </w:r>
          </w:p>
        </w:tc>
      </w:tr>
      <w:tr>
        <w:trPr>
          <w:trHeight w:val="230"/>
        </w:trPr>
        <w:tc>
          <w:tcPr>
            <w:tcW w:w="632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September 30, 2026</w:t>
            </w:r>
          </w:p>
        </w:tc>
        <w:tc>
          <w:tcPr>
            <w:tcW w:w="1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1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47.44</w:t>
            </w:r>
          </w:p>
        </w:tc>
        <w:tc>
          <w:tcPr>
            <w:tcW w:w="420" w:type="dxa"/>
            <w:vAlign w:val="bottom"/>
            <w:gridSpan w:val="2"/>
            <w:shd w:val="clear" w:color="auto" w:fill="EFEFE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47.49</w:t>
            </w:r>
          </w:p>
        </w:tc>
      </w:tr>
      <w:tr>
        <w:trPr>
          <w:trHeight w:val="459"/>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Total system load (MWhs in thousands):</w:t>
            </w: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6320" w:type="dxa"/>
            <w:vAlign w:val="bottom"/>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September 30, 2025</w:t>
            </w:r>
          </w:p>
        </w:tc>
        <w:tc>
          <w:tcPr>
            <w:tcW w:w="160" w:type="dxa"/>
            <w:vAlign w:val="bottom"/>
            <w:shd w:val="clear" w:color="auto" w:fill="EFEFEF"/>
          </w:tcPr>
          <w:p>
            <w:pPr>
              <w:spacing w:after="0"/>
              <w:rPr>
                <w:sz w:val="19"/>
                <w:szCs w:val="19"/>
                <w:color w:val="auto"/>
              </w:rPr>
            </w:pPr>
          </w:p>
        </w:tc>
        <w:tc>
          <w:tcPr>
            <w:tcW w:w="218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8,131</w:t>
            </w:r>
          </w:p>
        </w:tc>
        <w:tc>
          <w:tcPr>
            <w:tcW w:w="240" w:type="dxa"/>
            <w:vAlign w:val="bottom"/>
            <w:shd w:val="clear" w:color="auto" w:fill="EFEFEF"/>
          </w:tcPr>
          <w:p>
            <w:pPr>
              <w:spacing w:after="0"/>
              <w:rPr>
                <w:sz w:val="19"/>
                <w:szCs w:val="19"/>
                <w:color w:val="auto"/>
              </w:rPr>
            </w:pPr>
          </w:p>
        </w:tc>
        <w:tc>
          <w:tcPr>
            <w:tcW w:w="180" w:type="dxa"/>
            <w:vAlign w:val="bottom"/>
            <w:shd w:val="clear" w:color="auto" w:fill="EFEFEF"/>
          </w:tcPr>
          <w:p>
            <w:pPr>
              <w:spacing w:after="0"/>
              <w:rPr>
                <w:sz w:val="19"/>
                <w:szCs w:val="19"/>
                <w:color w:val="auto"/>
              </w:rPr>
            </w:pPr>
          </w:p>
        </w:tc>
        <w:tc>
          <w:tcPr>
            <w:tcW w:w="216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22,769</w:t>
            </w:r>
          </w:p>
        </w:tc>
      </w:tr>
      <w:tr>
        <w:trPr>
          <w:trHeight w:val="258"/>
        </w:trPr>
        <w:tc>
          <w:tcPr>
            <w:tcW w:w="6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September 30, 2026</w:t>
            </w:r>
          </w:p>
        </w:tc>
        <w:tc>
          <w:tcPr>
            <w:tcW w:w="16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7,853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-1363345</wp:posOffset>
            </wp:positionV>
            <wp:extent cx="1543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74"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For the three months ended September 30, 2026, the $32 million increase related to the change in average variable power cost per MWh was driven by an 14% increase in the average cost of purchased power, and a 1% increase in the average cost for the Company’s own generation. The $25 million decrease related to total system load was comprised of a 11% decrease of energy obtained from purchased power, and a 2% increase in the Company’s own generation.</w:t>
      </w:r>
    </w:p>
    <w:p>
      <w:pPr>
        <w:spacing w:after="0" w:line="18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For the nine months ended September 30, 2026, the $13 million decrease related to the change in average variable power cost per MWh was driven by a 9% decrease in the average cost of purchased power and a 20% increase in the average cost for the Company’s own generation. The $8 million decrease related to total system load was comprised of a 7% increase of energy obtained from purchased power, offset by a 17% decrease in the Company’s own generation.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PGE’s sources of energy, total system load, and retail load requirement are as follows for the periods presented (MWhs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20" w:type="dxa"/>
            <w:vAlign w:val="bottom"/>
          </w:tcPr>
          <w:p>
            <w:pPr>
              <w:spacing w:after="0"/>
              <w:rPr>
                <w:sz w:val="22"/>
                <w:szCs w:val="22"/>
                <w:color w:val="auto"/>
              </w:rPr>
            </w:pPr>
          </w:p>
        </w:tc>
        <w:tc>
          <w:tcPr>
            <w:tcW w:w="3660" w:type="dxa"/>
            <w:vAlign w:val="bottom"/>
            <w:tcBorders>
              <w:bottom w:val="single" w:sz="8" w:color="155CAB"/>
            </w:tcBorders>
            <w:gridSpan w:val="8"/>
          </w:tcPr>
          <w:p>
            <w:pPr>
              <w:jc w:val="right"/>
              <w:ind w:right="100"/>
              <w:spacing w:after="0"/>
              <w:rPr>
                <w:sz w:val="20"/>
                <w:szCs w:val="20"/>
                <w:color w:val="auto"/>
              </w:rPr>
            </w:pPr>
            <w:r>
              <w:rPr>
                <w:rFonts w:ascii="Times New Roman" w:cs="Times New Roman" w:eastAsia="Times New Roman" w:hAnsi="Times New Roman"/>
                <w:sz w:val="20"/>
                <w:szCs w:val="20"/>
                <w:b w:val="1"/>
                <w:bCs w:val="1"/>
                <w:color w:val="155CAB"/>
              </w:rPr>
              <w:t>Three Months Ended September 30,</w:t>
            </w:r>
          </w:p>
        </w:tc>
        <w:tc>
          <w:tcPr>
            <w:tcW w:w="600" w:type="dxa"/>
            <w:vAlign w:val="bottom"/>
            <w:tcBorders>
              <w:bottom w:val="single" w:sz="8" w:color="155CAB"/>
            </w:tcBorders>
          </w:tcPr>
          <w:p>
            <w:pPr>
              <w:spacing w:after="0"/>
              <w:rPr>
                <w:sz w:val="22"/>
                <w:szCs w:val="22"/>
                <w:color w:val="auto"/>
              </w:rPr>
            </w:pPr>
          </w:p>
        </w:tc>
        <w:tc>
          <w:tcPr>
            <w:tcW w:w="120" w:type="dxa"/>
            <w:vAlign w:val="bottom"/>
          </w:tcPr>
          <w:p>
            <w:pPr>
              <w:spacing w:after="0"/>
              <w:rPr>
                <w:sz w:val="22"/>
                <w:szCs w:val="22"/>
                <w:color w:val="auto"/>
              </w:rPr>
            </w:pPr>
          </w:p>
        </w:tc>
        <w:tc>
          <w:tcPr>
            <w:tcW w:w="3700" w:type="dxa"/>
            <w:vAlign w:val="bottom"/>
            <w:tcBorders>
              <w:bottom w:val="single" w:sz="8" w:color="155CAB"/>
            </w:tcBorders>
            <w:gridSpan w:val="8"/>
          </w:tcPr>
          <w:p>
            <w:pPr>
              <w:jc w:val="right"/>
              <w:ind w:right="160"/>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c>
          <w:tcPr>
            <w:tcW w:w="640" w:type="dxa"/>
            <w:vAlign w:val="bottom"/>
            <w:tcBorders>
              <w:bottom w:val="single" w:sz="8" w:color="155CAB"/>
            </w:tcBorders>
          </w:tcPr>
          <w:p>
            <w:pPr>
              <w:spacing w:after="0"/>
              <w:rPr>
                <w:sz w:val="22"/>
                <w:szCs w:val="22"/>
                <w:color w:val="auto"/>
              </w:rPr>
            </w:pPr>
          </w:p>
        </w:tc>
      </w:tr>
      <w:tr>
        <w:trPr>
          <w:trHeight w:val="223"/>
        </w:trPr>
        <w:tc>
          <w:tcPr>
            <w:tcW w:w="2520" w:type="dxa"/>
            <w:vAlign w:val="bottom"/>
          </w:tcPr>
          <w:p>
            <w:pPr>
              <w:spacing w:after="0"/>
              <w:rPr>
                <w:sz w:val="19"/>
                <w:szCs w:val="19"/>
                <w:color w:val="auto"/>
              </w:rPr>
            </w:pPr>
          </w:p>
        </w:tc>
        <w:tc>
          <w:tcPr>
            <w:tcW w:w="1360" w:type="dxa"/>
            <w:vAlign w:val="bottom"/>
            <w:gridSpan w:val="3"/>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720" w:type="dxa"/>
            <w:vAlign w:val="bottom"/>
          </w:tcPr>
          <w:p>
            <w:pPr>
              <w:spacing w:after="0"/>
              <w:rPr>
                <w:sz w:val="19"/>
                <w:szCs w:val="19"/>
                <w:color w:val="auto"/>
              </w:rPr>
            </w:pPr>
          </w:p>
        </w:tc>
        <w:tc>
          <w:tcPr>
            <w:tcW w:w="1580" w:type="dxa"/>
            <w:vAlign w:val="bottom"/>
            <w:gridSpan w:val="4"/>
          </w:tcPr>
          <w:p>
            <w:pPr>
              <w:jc w:val="right"/>
              <w:ind w:right="340"/>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720" w:type="dxa"/>
            <w:vAlign w:val="bottom"/>
          </w:tcPr>
          <w:p>
            <w:pPr>
              <w:spacing w:after="0"/>
              <w:rPr>
                <w:sz w:val="19"/>
                <w:szCs w:val="19"/>
                <w:color w:val="auto"/>
              </w:rPr>
            </w:pPr>
          </w:p>
        </w:tc>
        <w:tc>
          <w:tcPr>
            <w:tcW w:w="1620" w:type="dxa"/>
            <w:vAlign w:val="bottom"/>
            <w:gridSpan w:val="4"/>
          </w:tcPr>
          <w:p>
            <w:pPr>
              <w:jc w:val="right"/>
              <w:ind w:right="340"/>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640" w:type="dxa"/>
            <w:vAlign w:val="bottom"/>
          </w:tcPr>
          <w:p>
            <w:pPr>
              <w:spacing w:after="0"/>
              <w:rPr>
                <w:sz w:val="19"/>
                <w:szCs w:val="19"/>
                <w:color w:val="auto"/>
              </w:rPr>
            </w:pPr>
          </w:p>
        </w:tc>
      </w:tr>
      <w:tr>
        <w:trPr>
          <w:trHeight w:val="223"/>
        </w:trPr>
        <w:tc>
          <w:tcPr>
            <w:tcW w:w="25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Generation:</w:t>
            </w:r>
          </w:p>
        </w:tc>
        <w:tc>
          <w:tcPr>
            <w:tcW w:w="940" w:type="dxa"/>
            <w:vAlign w:val="bottom"/>
            <w:tcBorders>
              <w:top w:val="single" w:sz="8" w:color="155CAB"/>
            </w:tcBorders>
            <w:shd w:val="clear" w:color="auto" w:fill="EFEFEF"/>
          </w:tcPr>
          <w:p>
            <w:pPr>
              <w:spacing w:after="0"/>
              <w:rPr>
                <w:sz w:val="19"/>
                <w:szCs w:val="19"/>
                <w:color w:val="auto"/>
              </w:rPr>
            </w:pPr>
          </w:p>
        </w:tc>
        <w:tc>
          <w:tcPr>
            <w:tcW w:w="120" w:type="dxa"/>
            <w:vAlign w:val="bottom"/>
            <w:tcBorders>
              <w:top w:val="single" w:sz="8" w:color="155CAB"/>
            </w:tcBorders>
            <w:shd w:val="clear" w:color="auto" w:fill="EFEFEF"/>
          </w:tcPr>
          <w:p>
            <w:pPr>
              <w:spacing w:after="0"/>
              <w:rPr>
                <w:sz w:val="19"/>
                <w:szCs w:val="19"/>
                <w:color w:val="auto"/>
              </w:rPr>
            </w:pPr>
          </w:p>
        </w:tc>
        <w:tc>
          <w:tcPr>
            <w:tcW w:w="300" w:type="dxa"/>
            <w:vAlign w:val="bottom"/>
            <w:tcBorders>
              <w:top w:val="single" w:sz="8" w:color="155CAB"/>
            </w:tcBorders>
            <w:shd w:val="clear" w:color="auto" w:fill="EFEFEF"/>
          </w:tcPr>
          <w:p>
            <w:pPr>
              <w:spacing w:after="0"/>
              <w:rPr>
                <w:sz w:val="19"/>
                <w:szCs w:val="19"/>
                <w:color w:val="auto"/>
              </w:rPr>
            </w:pPr>
          </w:p>
        </w:tc>
        <w:tc>
          <w:tcPr>
            <w:tcW w:w="720" w:type="dxa"/>
            <w:vAlign w:val="bottom"/>
            <w:tcBorders>
              <w:top w:val="single" w:sz="8" w:color="155CAB"/>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60" w:type="dxa"/>
            <w:vAlign w:val="bottom"/>
            <w:tcBorders>
              <w:top w:val="single" w:sz="8" w:color="155CAB"/>
            </w:tcBorders>
            <w:shd w:val="clear" w:color="auto" w:fill="EFEFEF"/>
          </w:tcPr>
          <w:p>
            <w:pPr>
              <w:spacing w:after="0"/>
              <w:rPr>
                <w:sz w:val="19"/>
                <w:szCs w:val="19"/>
                <w:color w:val="auto"/>
              </w:rPr>
            </w:pPr>
          </w:p>
        </w:tc>
        <w:tc>
          <w:tcPr>
            <w:tcW w:w="100" w:type="dxa"/>
            <w:vAlign w:val="bottom"/>
            <w:tcBorders>
              <w:top w:val="single" w:sz="8" w:color="155CAB"/>
            </w:tcBorders>
            <w:shd w:val="clear" w:color="auto" w:fill="EFEFEF"/>
          </w:tcPr>
          <w:p>
            <w:pPr>
              <w:spacing w:after="0"/>
              <w:rPr>
                <w:sz w:val="19"/>
                <w:szCs w:val="19"/>
                <w:color w:val="auto"/>
              </w:rPr>
            </w:pPr>
          </w:p>
        </w:tc>
        <w:tc>
          <w:tcPr>
            <w:tcW w:w="420" w:type="dxa"/>
            <w:vAlign w:val="bottom"/>
            <w:tcBorders>
              <w:top w:val="single" w:sz="8" w:color="155CAB"/>
            </w:tcBorders>
            <w:shd w:val="clear" w:color="auto" w:fill="EFEFEF"/>
          </w:tcPr>
          <w:p>
            <w:pPr>
              <w:spacing w:after="0"/>
              <w:rPr>
                <w:sz w:val="19"/>
                <w:szCs w:val="19"/>
                <w:color w:val="auto"/>
              </w:rPr>
            </w:pPr>
          </w:p>
        </w:tc>
        <w:tc>
          <w:tcPr>
            <w:tcW w:w="60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940" w:type="dxa"/>
            <w:vAlign w:val="bottom"/>
            <w:tcBorders>
              <w:top w:val="single" w:sz="8" w:color="155CAB"/>
            </w:tcBorders>
            <w:shd w:val="clear" w:color="auto" w:fill="EFEFEF"/>
          </w:tcPr>
          <w:p>
            <w:pPr>
              <w:spacing w:after="0"/>
              <w:rPr>
                <w:sz w:val="19"/>
                <w:szCs w:val="19"/>
                <w:color w:val="auto"/>
              </w:rPr>
            </w:pPr>
          </w:p>
        </w:tc>
        <w:tc>
          <w:tcPr>
            <w:tcW w:w="100" w:type="dxa"/>
            <w:vAlign w:val="bottom"/>
            <w:tcBorders>
              <w:top w:val="single" w:sz="8" w:color="155CAB"/>
            </w:tcBorders>
            <w:shd w:val="clear" w:color="auto" w:fill="EFEFEF"/>
          </w:tcPr>
          <w:p>
            <w:pPr>
              <w:spacing w:after="0"/>
              <w:rPr>
                <w:sz w:val="19"/>
                <w:szCs w:val="19"/>
                <w:color w:val="auto"/>
              </w:rPr>
            </w:pPr>
          </w:p>
        </w:tc>
        <w:tc>
          <w:tcPr>
            <w:tcW w:w="320" w:type="dxa"/>
            <w:vAlign w:val="bottom"/>
            <w:tcBorders>
              <w:top w:val="single" w:sz="8" w:color="155CAB"/>
            </w:tcBorders>
            <w:shd w:val="clear" w:color="auto" w:fill="EFEFEF"/>
          </w:tcPr>
          <w:p>
            <w:pPr>
              <w:spacing w:after="0"/>
              <w:rPr>
                <w:sz w:val="19"/>
                <w:szCs w:val="19"/>
                <w:color w:val="auto"/>
              </w:rPr>
            </w:pPr>
          </w:p>
        </w:tc>
        <w:tc>
          <w:tcPr>
            <w:tcW w:w="720" w:type="dxa"/>
            <w:vAlign w:val="bottom"/>
            <w:tcBorders>
              <w:top w:val="single" w:sz="8" w:color="155CAB"/>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940" w:type="dxa"/>
            <w:vAlign w:val="bottom"/>
            <w:tcBorders>
              <w:top w:val="single" w:sz="8" w:color="155CAB"/>
            </w:tcBorders>
            <w:shd w:val="clear" w:color="auto" w:fill="EFEFEF"/>
          </w:tcPr>
          <w:p>
            <w:pPr>
              <w:spacing w:after="0"/>
              <w:rPr>
                <w:sz w:val="19"/>
                <w:szCs w:val="19"/>
                <w:color w:val="auto"/>
              </w:rPr>
            </w:pPr>
          </w:p>
        </w:tc>
        <w:tc>
          <w:tcPr>
            <w:tcW w:w="100" w:type="dxa"/>
            <w:vAlign w:val="bottom"/>
            <w:tcBorders>
              <w:top w:val="single" w:sz="8" w:color="155CAB"/>
            </w:tcBorders>
            <w:shd w:val="clear" w:color="auto" w:fill="EFEFEF"/>
          </w:tcPr>
          <w:p>
            <w:pPr>
              <w:spacing w:after="0"/>
              <w:rPr>
                <w:sz w:val="19"/>
                <w:szCs w:val="19"/>
                <w:color w:val="auto"/>
              </w:rPr>
            </w:pPr>
          </w:p>
        </w:tc>
        <w:tc>
          <w:tcPr>
            <w:tcW w:w="460" w:type="dxa"/>
            <w:vAlign w:val="bottom"/>
            <w:tcBorders>
              <w:top w:val="single" w:sz="8" w:color="155CAB"/>
            </w:tcBorders>
            <w:shd w:val="clear" w:color="auto" w:fill="EFEFEF"/>
          </w:tcPr>
          <w:p>
            <w:pPr>
              <w:spacing w:after="0"/>
              <w:rPr>
                <w:sz w:val="19"/>
                <w:szCs w:val="19"/>
                <w:color w:val="auto"/>
              </w:rPr>
            </w:pPr>
          </w:p>
        </w:tc>
        <w:tc>
          <w:tcPr>
            <w:tcW w:w="640" w:type="dxa"/>
            <w:vAlign w:val="bottom"/>
            <w:tcBorders>
              <w:top w:val="single" w:sz="8" w:color="155CAB"/>
            </w:tcBorders>
            <w:shd w:val="clear" w:color="auto" w:fill="EFEFEF"/>
          </w:tcPr>
          <w:p>
            <w:pPr>
              <w:spacing w:after="0"/>
              <w:rPr>
                <w:sz w:val="19"/>
                <w:szCs w:val="19"/>
                <w:color w:val="auto"/>
              </w:rPr>
            </w:pPr>
          </w:p>
        </w:tc>
      </w:tr>
      <w:tr>
        <w:trPr>
          <w:trHeight w:val="230"/>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Thermal: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2520" w:type="dxa"/>
            <w:vAlign w:val="bottom"/>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Natural gas</w:t>
            </w: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3,265</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3,138</w:t>
            </w:r>
          </w:p>
        </w:tc>
        <w:tc>
          <w:tcPr>
            <w:tcW w:w="10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6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7,000</w:t>
            </w:r>
          </w:p>
        </w:tc>
        <w:tc>
          <w:tcPr>
            <w:tcW w:w="100" w:type="dxa"/>
            <w:vAlign w:val="bottom"/>
            <w:shd w:val="clear" w:color="auto" w:fill="EFEFEF"/>
          </w:tcPr>
          <w:p>
            <w:pPr>
              <w:spacing w:after="0"/>
              <w:rPr>
                <w:sz w:val="19"/>
                <w:szCs w:val="19"/>
                <w:color w:val="auto"/>
              </w:rPr>
            </w:pPr>
          </w:p>
        </w:tc>
        <w:tc>
          <w:tcPr>
            <w:tcW w:w="320" w:type="dxa"/>
            <w:vAlign w:val="bottom"/>
            <w:shd w:val="clear" w:color="auto" w:fill="EFEFEF"/>
          </w:tcPr>
          <w:p>
            <w:pPr>
              <w:spacing w:after="0"/>
              <w:rPr>
                <w:sz w:val="19"/>
                <w:szCs w:val="19"/>
                <w:color w:val="auto"/>
              </w:rPr>
            </w:pPr>
          </w:p>
        </w:tc>
        <w:tc>
          <w:tcPr>
            <w:tcW w:w="7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8,534</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29"/>
        </w:trPr>
        <w:tc>
          <w:tcPr>
            <w:tcW w:w="2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Coal</w:t>
            </w: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544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581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1,059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1,408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6</w:t>
            </w:r>
          </w:p>
        </w:tc>
      </w:tr>
      <w:tr>
        <w:trPr>
          <w:trHeight w:val="223"/>
        </w:trPr>
        <w:tc>
          <w:tcPr>
            <w:tcW w:w="2520" w:type="dxa"/>
            <w:vAlign w:val="bottom"/>
            <w:shd w:val="clear" w:color="auto" w:fill="EFEFEF"/>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thermal</w:t>
            </w:r>
          </w:p>
        </w:tc>
        <w:tc>
          <w:tcPr>
            <w:tcW w:w="9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3,809</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49</w:t>
            </w:r>
          </w:p>
        </w:tc>
        <w:tc>
          <w:tcPr>
            <w:tcW w:w="106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3,719</w:t>
            </w:r>
          </w:p>
        </w:tc>
        <w:tc>
          <w:tcPr>
            <w:tcW w:w="10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60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106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8,059</w:t>
            </w:r>
          </w:p>
        </w:tc>
        <w:tc>
          <w:tcPr>
            <w:tcW w:w="100" w:type="dxa"/>
            <w:vAlign w:val="bottom"/>
            <w:shd w:val="clear" w:color="auto" w:fill="EFEFEF"/>
          </w:tcPr>
          <w:p>
            <w:pPr>
              <w:spacing w:after="0"/>
              <w:rPr>
                <w:sz w:val="19"/>
                <w:szCs w:val="19"/>
                <w:color w:val="auto"/>
              </w:rPr>
            </w:pPr>
          </w:p>
        </w:tc>
        <w:tc>
          <w:tcPr>
            <w:tcW w:w="32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38</w:t>
            </w:r>
          </w:p>
        </w:tc>
        <w:tc>
          <w:tcPr>
            <w:tcW w:w="1060" w:type="dxa"/>
            <w:vAlign w:val="bottom"/>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9,942</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40" w:type="dxa"/>
            <w:vAlign w:val="bottom"/>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44</w:t>
            </w:r>
          </w:p>
        </w:tc>
      </w:tr>
      <w:tr>
        <w:trPr>
          <w:trHeight w:val="229"/>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Hydro</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969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252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Wind</w:t>
            </w: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710</w:t>
            </w:r>
          </w:p>
        </w:tc>
        <w:tc>
          <w:tcPr>
            <w:tcW w:w="12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Borders>
              <w:bottom w:val="single" w:sz="8" w:color="EFEFEF"/>
            </w:tcBorders>
            <w:shd w:val="clear" w:color="auto" w:fill="EFEFEF"/>
          </w:tcPr>
          <w:p>
            <w:pPr>
              <w:spacing w:after="0"/>
              <w:rPr>
                <w:sz w:val="19"/>
                <w:szCs w:val="19"/>
                <w:color w:val="auto"/>
              </w:rPr>
            </w:pPr>
          </w:p>
        </w:tc>
        <w:tc>
          <w:tcPr>
            <w:tcW w:w="9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669</w:t>
            </w:r>
          </w:p>
        </w:tc>
        <w:tc>
          <w:tcPr>
            <w:tcW w:w="100" w:type="dxa"/>
            <w:vAlign w:val="bottom"/>
            <w:tcBorders>
              <w:bottom w:val="single" w:sz="8" w:color="EFEFEF"/>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spacing w:after="0"/>
              <w:rPr>
                <w:sz w:val="19"/>
                <w:szCs w:val="19"/>
                <w:color w:val="auto"/>
              </w:rPr>
            </w:pPr>
          </w:p>
        </w:tc>
        <w:tc>
          <w:tcPr>
            <w:tcW w:w="60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Borders>
              <w:bottom w:val="single" w:sz="8" w:color="EFEFEF"/>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EFEFEF"/>
            </w:tcBorders>
            <w:shd w:val="clear" w:color="auto" w:fill="EFEFEF"/>
          </w:tcPr>
          <w:p>
            <w:pPr>
              <w:spacing w:after="0"/>
              <w:rPr>
                <w:sz w:val="19"/>
                <w:szCs w:val="19"/>
                <w:color w:val="auto"/>
              </w:rPr>
            </w:pPr>
          </w:p>
        </w:tc>
        <w:tc>
          <w:tcPr>
            <w:tcW w:w="32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tcBorders>
              <w:bottom w:val="single" w:sz="8" w:color="EFEFEF"/>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2,134</w:t>
            </w:r>
          </w:p>
        </w:tc>
        <w:tc>
          <w:tcPr>
            <w:tcW w:w="100" w:type="dxa"/>
            <w:vAlign w:val="bottom"/>
            <w:tcBorders>
              <w:bottom w:val="single" w:sz="8" w:color="EFEFEF"/>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spacing w:after="0"/>
              <w:rPr>
                <w:sz w:val="19"/>
                <w:szCs w:val="19"/>
                <w:color w:val="auto"/>
              </w:rPr>
            </w:pPr>
          </w:p>
        </w:tc>
        <w:tc>
          <w:tcPr>
            <w:tcW w:w="64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r>
      <w:tr>
        <w:trPr>
          <w:trHeight w:val="223"/>
        </w:trPr>
        <w:tc>
          <w:tcPr>
            <w:tcW w:w="25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generation</w:t>
            </w:r>
          </w:p>
        </w:tc>
        <w:tc>
          <w:tcPr>
            <w:tcW w:w="9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4,693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60</w:t>
            </w:r>
          </w:p>
        </w:tc>
        <w:tc>
          <w:tcPr>
            <w:tcW w:w="106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56</w:t>
            </w:r>
          </w:p>
        </w:tc>
        <w:tc>
          <w:tcPr>
            <w:tcW w:w="106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51</w:t>
            </w:r>
          </w:p>
        </w:tc>
        <w:tc>
          <w:tcPr>
            <w:tcW w:w="106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13,045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57</w:t>
            </w:r>
          </w:p>
        </w:tc>
      </w:tr>
      <w:tr>
        <w:trPr>
          <w:trHeight w:val="223"/>
        </w:trPr>
        <w:tc>
          <w:tcPr>
            <w:tcW w:w="25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Purchased power:</w:t>
            </w:r>
          </w:p>
        </w:tc>
        <w:tc>
          <w:tcPr>
            <w:tcW w:w="94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300" w:type="dxa"/>
            <w:vAlign w:val="bottom"/>
            <w:tcBorders>
              <w:top w:val="single" w:sz="8" w:color="auto"/>
            </w:tcBorders>
            <w:shd w:val="clear" w:color="auto" w:fill="EFEFEF"/>
          </w:tcPr>
          <w:p>
            <w:pPr>
              <w:spacing w:after="0"/>
              <w:rPr>
                <w:sz w:val="19"/>
                <w:szCs w:val="19"/>
                <w:color w:val="auto"/>
              </w:rPr>
            </w:pPr>
          </w:p>
        </w:tc>
        <w:tc>
          <w:tcPr>
            <w:tcW w:w="72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96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420" w:type="dxa"/>
            <w:vAlign w:val="bottom"/>
            <w:tcBorders>
              <w:top w:val="single" w:sz="8" w:color="auto"/>
            </w:tcBorders>
            <w:shd w:val="clear" w:color="auto" w:fill="EFEFEF"/>
          </w:tcPr>
          <w:p>
            <w:pPr>
              <w:spacing w:after="0"/>
              <w:rPr>
                <w:sz w:val="19"/>
                <w:szCs w:val="19"/>
                <w:color w:val="auto"/>
              </w:rPr>
            </w:pPr>
          </w:p>
        </w:tc>
        <w:tc>
          <w:tcPr>
            <w:tcW w:w="60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94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320" w:type="dxa"/>
            <w:vAlign w:val="bottom"/>
            <w:tcBorders>
              <w:top w:val="single" w:sz="8" w:color="auto"/>
            </w:tcBorders>
            <w:shd w:val="clear" w:color="auto" w:fill="EFEFEF"/>
          </w:tcPr>
          <w:p>
            <w:pPr>
              <w:spacing w:after="0"/>
              <w:rPr>
                <w:sz w:val="19"/>
                <w:szCs w:val="19"/>
                <w:color w:val="auto"/>
              </w:rPr>
            </w:pPr>
          </w:p>
        </w:tc>
        <w:tc>
          <w:tcPr>
            <w:tcW w:w="720" w:type="dxa"/>
            <w:vAlign w:val="bottom"/>
            <w:tcBorders>
              <w:top w:val="single" w:sz="8" w:color="auto"/>
            </w:tcBorders>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940" w:type="dxa"/>
            <w:vAlign w:val="bottom"/>
            <w:tcBorders>
              <w:top w:val="single" w:sz="8" w:color="auto"/>
            </w:tcBorders>
            <w:shd w:val="clear" w:color="auto" w:fill="EFEFEF"/>
          </w:tcPr>
          <w:p>
            <w:pPr>
              <w:spacing w:after="0"/>
              <w:rPr>
                <w:sz w:val="19"/>
                <w:szCs w:val="19"/>
                <w:color w:val="auto"/>
              </w:rPr>
            </w:pPr>
          </w:p>
        </w:tc>
        <w:tc>
          <w:tcPr>
            <w:tcW w:w="100" w:type="dxa"/>
            <w:vAlign w:val="bottom"/>
            <w:shd w:val="clear" w:color="auto" w:fill="EFEFEF"/>
          </w:tcPr>
          <w:p>
            <w:pPr>
              <w:spacing w:after="0"/>
              <w:rPr>
                <w:sz w:val="19"/>
                <w:szCs w:val="19"/>
                <w:color w:val="auto"/>
              </w:rPr>
            </w:pPr>
          </w:p>
        </w:tc>
        <w:tc>
          <w:tcPr>
            <w:tcW w:w="460" w:type="dxa"/>
            <w:vAlign w:val="bottom"/>
            <w:tcBorders>
              <w:top w:val="single" w:sz="8" w:color="auto"/>
            </w:tcBorders>
            <w:shd w:val="clear" w:color="auto" w:fill="EFEFEF"/>
          </w:tcPr>
          <w:p>
            <w:pPr>
              <w:spacing w:after="0"/>
              <w:rPr>
                <w:sz w:val="19"/>
                <w:szCs w:val="19"/>
                <w:color w:val="auto"/>
              </w:rPr>
            </w:pPr>
          </w:p>
        </w:tc>
        <w:tc>
          <w:tcPr>
            <w:tcW w:w="640" w:type="dxa"/>
            <w:vAlign w:val="bottom"/>
            <w:tcBorders>
              <w:top w:val="single" w:sz="8" w:color="auto"/>
            </w:tcBorders>
            <w:shd w:val="clear" w:color="auto" w:fill="EFEFEF"/>
          </w:tcPr>
          <w:p>
            <w:pPr>
              <w:spacing w:after="0"/>
              <w:rPr>
                <w:sz w:val="19"/>
                <w:szCs w:val="19"/>
                <w:color w:val="auto"/>
              </w:rPr>
            </w:pPr>
          </w:p>
        </w:tc>
      </w:tr>
      <w:tr>
        <w:trPr>
          <w:trHeight w:val="229"/>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Hydro</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1,549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19</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3,552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5,321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2520" w:type="dxa"/>
            <w:vAlign w:val="bottom"/>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Wind</w:t>
            </w: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350</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280</w:t>
            </w:r>
          </w:p>
        </w:tc>
        <w:tc>
          <w:tcPr>
            <w:tcW w:w="10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60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1,085</w:t>
            </w:r>
          </w:p>
        </w:tc>
        <w:tc>
          <w:tcPr>
            <w:tcW w:w="100" w:type="dxa"/>
            <w:vAlign w:val="bottom"/>
            <w:shd w:val="clear" w:color="auto" w:fill="EFEFEF"/>
          </w:tcPr>
          <w:p>
            <w:pPr>
              <w:spacing w:after="0"/>
              <w:rPr>
                <w:sz w:val="19"/>
                <w:szCs w:val="19"/>
                <w:color w:val="auto"/>
              </w:rPr>
            </w:pPr>
          </w:p>
        </w:tc>
        <w:tc>
          <w:tcPr>
            <w:tcW w:w="32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871</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4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Solar</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399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992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2520" w:type="dxa"/>
            <w:vAlign w:val="bottom"/>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Natural Gas</w:t>
            </w: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518</w:t>
            </w:r>
          </w:p>
        </w:tc>
        <w:tc>
          <w:tcPr>
            <w:tcW w:w="12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522</w:t>
            </w:r>
          </w:p>
        </w:tc>
        <w:tc>
          <w:tcPr>
            <w:tcW w:w="100" w:type="dxa"/>
            <w:vAlign w:val="bottom"/>
            <w:shd w:val="clear" w:color="auto" w:fill="EFEFEF"/>
          </w:tcPr>
          <w:p>
            <w:pPr>
              <w:spacing w:after="0"/>
              <w:rPr>
                <w:sz w:val="19"/>
                <w:szCs w:val="19"/>
                <w:color w:val="auto"/>
              </w:rPr>
            </w:pPr>
          </w:p>
        </w:tc>
        <w:tc>
          <w:tcPr>
            <w:tcW w:w="420" w:type="dxa"/>
            <w:vAlign w:val="bottom"/>
            <w:shd w:val="clear" w:color="auto" w:fill="EFEFEF"/>
          </w:tcPr>
          <w:p>
            <w:pPr>
              <w:spacing w:after="0"/>
              <w:rPr>
                <w:sz w:val="19"/>
                <w:szCs w:val="19"/>
                <w:color w:val="auto"/>
              </w:rPr>
            </w:pPr>
          </w:p>
        </w:tc>
        <w:tc>
          <w:tcPr>
            <w:tcW w:w="60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1,142</w:t>
            </w:r>
          </w:p>
        </w:tc>
        <w:tc>
          <w:tcPr>
            <w:tcW w:w="100" w:type="dxa"/>
            <w:vAlign w:val="bottom"/>
            <w:shd w:val="clear" w:color="auto" w:fill="EFEFEF"/>
          </w:tcPr>
          <w:p>
            <w:pPr>
              <w:spacing w:after="0"/>
              <w:rPr>
                <w:sz w:val="19"/>
                <w:szCs w:val="19"/>
                <w:color w:val="auto"/>
              </w:rPr>
            </w:pPr>
          </w:p>
        </w:tc>
        <w:tc>
          <w:tcPr>
            <w:tcW w:w="320" w:type="dxa"/>
            <w:vAlign w:val="bottom"/>
            <w:shd w:val="clear" w:color="auto" w:fill="EFEFEF"/>
          </w:tcPr>
          <w:p>
            <w:pPr>
              <w:spacing w:after="0"/>
              <w:rPr>
                <w:sz w:val="19"/>
                <w:szCs w:val="19"/>
                <w:color w:val="auto"/>
              </w:rPr>
            </w:pPr>
          </w:p>
        </w:tc>
        <w:tc>
          <w:tcPr>
            <w:tcW w:w="72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10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522</w:t>
            </w:r>
          </w:p>
        </w:tc>
        <w:tc>
          <w:tcPr>
            <w:tcW w:w="100" w:type="dxa"/>
            <w:vAlign w:val="bottom"/>
            <w:shd w:val="clear" w:color="auto" w:fill="EFEFEF"/>
          </w:tcPr>
          <w:p>
            <w:pPr>
              <w:spacing w:after="0"/>
              <w:rPr>
                <w:sz w:val="19"/>
                <w:szCs w:val="19"/>
                <w:color w:val="auto"/>
              </w:rPr>
            </w:pPr>
          </w:p>
        </w:tc>
        <w:tc>
          <w:tcPr>
            <w:tcW w:w="460" w:type="dxa"/>
            <w:vAlign w:val="bottom"/>
            <w:shd w:val="clear" w:color="auto" w:fill="EFEFEF"/>
          </w:tcPr>
          <w:p>
            <w:pPr>
              <w:spacing w:after="0"/>
              <w:rPr>
                <w:sz w:val="19"/>
                <w:szCs w:val="19"/>
                <w:color w:val="auto"/>
              </w:rPr>
            </w:pPr>
          </w:p>
        </w:tc>
        <w:tc>
          <w:tcPr>
            <w:tcW w:w="640" w:type="dxa"/>
            <w:vAlign w:val="bottom"/>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r>
      <w:tr>
        <w:trPr>
          <w:trHeight w:val="207"/>
        </w:trPr>
        <w:tc>
          <w:tcPr>
            <w:tcW w:w="25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Waste, Wood, and Landfill</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52"/>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Gas</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20" w:type="dxa"/>
            <w:vAlign w:val="bottom"/>
            <w:tcBorders>
              <w:bottom w:val="single" w:sz="8" w:color="EFEFEF"/>
            </w:tcBorders>
            <w:shd w:val="clear" w:color="auto" w:fill="EFEFEF"/>
          </w:tcPr>
          <w:p>
            <w:pPr>
              <w:ind w:left="60"/>
              <w:spacing w:after="0"/>
              <w:rPr>
                <w:sz w:val="20"/>
                <w:szCs w:val="20"/>
                <w:color w:val="auto"/>
              </w:rPr>
            </w:pPr>
            <w:r>
              <w:rPr>
                <w:rFonts w:ascii="Times New Roman" w:cs="Times New Roman" w:eastAsia="Times New Roman" w:hAnsi="Times New Roman"/>
                <w:sz w:val="20"/>
                <w:szCs w:val="20"/>
                <w:color w:val="auto"/>
              </w:rPr>
              <w:t>Source not specified</w:t>
            </w: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736</w:t>
            </w:r>
          </w:p>
        </w:tc>
        <w:tc>
          <w:tcPr>
            <w:tcW w:w="120" w:type="dxa"/>
            <w:vAlign w:val="bottom"/>
            <w:tcBorders>
              <w:bottom w:val="single" w:sz="8" w:color="EFEFEF"/>
            </w:tcBorders>
            <w:shd w:val="clear" w:color="auto" w:fill="EFEFEF"/>
          </w:tcPr>
          <w:p>
            <w:pPr>
              <w:spacing w:after="0"/>
              <w:rPr>
                <w:sz w:val="19"/>
                <w:szCs w:val="19"/>
                <w:color w:val="auto"/>
              </w:rPr>
            </w:pPr>
          </w:p>
        </w:tc>
        <w:tc>
          <w:tcPr>
            <w:tcW w:w="30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Borders>
              <w:bottom w:val="single" w:sz="8" w:color="EFEFEF"/>
            </w:tcBorders>
            <w:shd w:val="clear" w:color="auto" w:fill="EFEFEF"/>
          </w:tcPr>
          <w:p>
            <w:pPr>
              <w:spacing w:after="0"/>
              <w:rPr>
                <w:sz w:val="19"/>
                <w:szCs w:val="19"/>
                <w:color w:val="auto"/>
              </w:rPr>
            </w:pPr>
          </w:p>
        </w:tc>
        <w:tc>
          <w:tcPr>
            <w:tcW w:w="96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765</w:t>
            </w:r>
          </w:p>
        </w:tc>
        <w:tc>
          <w:tcPr>
            <w:tcW w:w="100" w:type="dxa"/>
            <w:vAlign w:val="bottom"/>
            <w:tcBorders>
              <w:bottom w:val="single" w:sz="8" w:color="EFEFEF"/>
            </w:tcBorders>
            <w:shd w:val="clear" w:color="auto" w:fill="EFEFEF"/>
          </w:tcPr>
          <w:p>
            <w:pPr>
              <w:spacing w:after="0"/>
              <w:rPr>
                <w:sz w:val="19"/>
                <w:szCs w:val="19"/>
                <w:color w:val="auto"/>
              </w:rPr>
            </w:pPr>
          </w:p>
        </w:tc>
        <w:tc>
          <w:tcPr>
            <w:tcW w:w="420" w:type="dxa"/>
            <w:vAlign w:val="bottom"/>
            <w:tcBorders>
              <w:bottom w:val="single" w:sz="8" w:color="auto"/>
            </w:tcBorders>
            <w:shd w:val="clear" w:color="auto" w:fill="EFEFEF"/>
          </w:tcPr>
          <w:p>
            <w:pPr>
              <w:spacing w:after="0"/>
              <w:rPr>
                <w:sz w:val="19"/>
                <w:szCs w:val="19"/>
                <w:color w:val="auto"/>
              </w:rPr>
            </w:pPr>
          </w:p>
        </w:tc>
        <w:tc>
          <w:tcPr>
            <w:tcW w:w="60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tcBorders>
              <w:bottom w:val="single" w:sz="8" w:color="EFEFEF"/>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2,949</w:t>
            </w:r>
          </w:p>
        </w:tc>
        <w:tc>
          <w:tcPr>
            <w:tcW w:w="100" w:type="dxa"/>
            <w:vAlign w:val="bottom"/>
            <w:tcBorders>
              <w:bottom w:val="single" w:sz="8" w:color="EFEFEF"/>
            </w:tcBorders>
            <w:shd w:val="clear" w:color="auto" w:fill="EFEFEF"/>
          </w:tcPr>
          <w:p>
            <w:pPr>
              <w:spacing w:after="0"/>
              <w:rPr>
                <w:sz w:val="19"/>
                <w:szCs w:val="19"/>
                <w:color w:val="auto"/>
              </w:rPr>
            </w:pPr>
          </w:p>
        </w:tc>
        <w:tc>
          <w:tcPr>
            <w:tcW w:w="320" w:type="dxa"/>
            <w:vAlign w:val="bottom"/>
            <w:tcBorders>
              <w:bottom w:val="single" w:sz="8" w:color="auto"/>
            </w:tcBorders>
            <w:shd w:val="clear" w:color="auto" w:fill="EFEFEF"/>
          </w:tcPr>
          <w:p>
            <w:pPr>
              <w:spacing w:after="0"/>
              <w:rPr>
                <w:sz w:val="19"/>
                <w:szCs w:val="19"/>
                <w:color w:val="auto"/>
              </w:rPr>
            </w:pPr>
          </w:p>
        </w:tc>
        <w:tc>
          <w:tcPr>
            <w:tcW w:w="72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Borders>
              <w:bottom w:val="single" w:sz="8" w:color="EFEFEF"/>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1,935</w:t>
            </w:r>
          </w:p>
        </w:tc>
        <w:tc>
          <w:tcPr>
            <w:tcW w:w="100" w:type="dxa"/>
            <w:vAlign w:val="bottom"/>
            <w:tcBorders>
              <w:bottom w:val="single" w:sz="8" w:color="EFEFEF"/>
            </w:tcBorders>
            <w:shd w:val="clear" w:color="auto" w:fill="EFEFEF"/>
          </w:tcPr>
          <w:p>
            <w:pPr>
              <w:spacing w:after="0"/>
              <w:rPr>
                <w:sz w:val="19"/>
                <w:szCs w:val="19"/>
                <w:color w:val="auto"/>
              </w:rPr>
            </w:pPr>
          </w:p>
        </w:tc>
        <w:tc>
          <w:tcPr>
            <w:tcW w:w="460" w:type="dxa"/>
            <w:vAlign w:val="bottom"/>
            <w:tcBorders>
              <w:bottom w:val="single" w:sz="8" w:color="auto"/>
            </w:tcBorders>
            <w:shd w:val="clear" w:color="auto" w:fill="EFEFEF"/>
          </w:tcPr>
          <w:p>
            <w:pPr>
              <w:spacing w:after="0"/>
              <w:rPr>
                <w:sz w:val="19"/>
                <w:szCs w:val="19"/>
                <w:color w:val="auto"/>
              </w:rPr>
            </w:pPr>
          </w:p>
        </w:tc>
        <w:tc>
          <w:tcPr>
            <w:tcW w:w="640" w:type="dxa"/>
            <w:vAlign w:val="bottom"/>
            <w:tcBorders>
              <w:bottom w:val="single" w:sz="8" w:color="auto"/>
            </w:tcBorders>
            <w:shd w:val="clear" w:color="auto" w:fill="EFEFEF"/>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r>
      <w:tr>
        <w:trPr>
          <w:trHeight w:val="223"/>
        </w:trPr>
        <w:tc>
          <w:tcPr>
            <w:tcW w:w="25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purchased power</w:t>
            </w: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3,160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3,544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10,406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49</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9,724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43</w:t>
            </w:r>
          </w:p>
        </w:tc>
      </w:tr>
      <w:tr>
        <w:trPr>
          <w:trHeight w:val="268"/>
        </w:trPr>
        <w:tc>
          <w:tcPr>
            <w:tcW w:w="2520" w:type="dxa"/>
            <w:vAlign w:val="bottom"/>
            <w:tcBorders>
              <w:bottom w:val="single" w:sz="8" w:color="EFEFEF"/>
            </w:tcBorders>
            <w:shd w:val="clear" w:color="auto" w:fill="EFEFEF"/>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system load</w:t>
            </w:r>
          </w:p>
        </w:tc>
        <w:tc>
          <w:tcPr>
            <w:tcW w:w="940" w:type="dxa"/>
            <w:vAlign w:val="bottom"/>
            <w:tcBorders>
              <w:bottom w:val="single" w:sz="8" w:color="EFEFEF"/>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7,853</w:t>
            </w:r>
          </w:p>
        </w:tc>
        <w:tc>
          <w:tcPr>
            <w:tcW w:w="120" w:type="dxa"/>
            <w:vAlign w:val="bottom"/>
            <w:tcBorders>
              <w:bottom w:val="single" w:sz="8" w:color="EFEFEF"/>
            </w:tcBorders>
            <w:shd w:val="clear" w:color="auto" w:fill="EFEFEF"/>
          </w:tcPr>
          <w:p>
            <w:pPr>
              <w:spacing w:after="0"/>
              <w:rPr>
                <w:sz w:val="22"/>
                <w:szCs w:val="22"/>
                <w:color w:val="auto"/>
              </w:rPr>
            </w:pPr>
          </w:p>
        </w:tc>
        <w:tc>
          <w:tcPr>
            <w:tcW w:w="300" w:type="dxa"/>
            <w:vAlign w:val="bottom"/>
            <w:tcBorders>
              <w:bottom w:val="single" w:sz="8" w:color="auto"/>
            </w:tcBorders>
            <w:shd w:val="clear" w:color="auto" w:fill="EFEFEF"/>
          </w:tcPr>
          <w:p>
            <w:pPr>
              <w:spacing w:after="0"/>
              <w:rPr>
                <w:sz w:val="22"/>
                <w:szCs w:val="22"/>
                <w:color w:val="auto"/>
              </w:rPr>
            </w:pPr>
          </w:p>
        </w:tc>
        <w:tc>
          <w:tcPr>
            <w:tcW w:w="7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1060" w:type="dxa"/>
            <w:vAlign w:val="bottom"/>
            <w:tcBorders>
              <w:bottom w:val="single" w:sz="8" w:color="EFEFEF"/>
            </w:tcBorders>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8,131</w:t>
            </w:r>
          </w:p>
        </w:tc>
        <w:tc>
          <w:tcPr>
            <w:tcW w:w="100" w:type="dxa"/>
            <w:vAlign w:val="bottom"/>
            <w:tcBorders>
              <w:bottom w:val="single" w:sz="8" w:color="EFEFEF"/>
            </w:tcBorders>
            <w:shd w:val="clear" w:color="auto" w:fill="EFEFEF"/>
          </w:tcPr>
          <w:p>
            <w:pPr>
              <w:spacing w:after="0"/>
              <w:rPr>
                <w:sz w:val="22"/>
                <w:szCs w:val="22"/>
                <w:color w:val="auto"/>
              </w:rPr>
            </w:pPr>
          </w:p>
        </w:tc>
        <w:tc>
          <w:tcPr>
            <w:tcW w:w="420" w:type="dxa"/>
            <w:vAlign w:val="bottom"/>
            <w:tcBorders>
              <w:bottom w:val="single" w:sz="8" w:color="auto"/>
            </w:tcBorders>
            <w:shd w:val="clear" w:color="auto" w:fill="EFEFEF"/>
          </w:tcPr>
          <w:p>
            <w:pPr>
              <w:spacing w:after="0"/>
              <w:rPr>
                <w:sz w:val="22"/>
                <w:szCs w:val="22"/>
                <w:color w:val="auto"/>
              </w:rPr>
            </w:pPr>
          </w:p>
        </w:tc>
        <w:tc>
          <w:tcPr>
            <w:tcW w:w="60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1060" w:type="dxa"/>
            <w:vAlign w:val="bottom"/>
            <w:tcBorders>
              <w:bottom w:val="single" w:sz="8" w:color="EFEFEF"/>
            </w:tcBorders>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21,255</w:t>
            </w:r>
          </w:p>
        </w:tc>
        <w:tc>
          <w:tcPr>
            <w:tcW w:w="100" w:type="dxa"/>
            <w:vAlign w:val="bottom"/>
            <w:tcBorders>
              <w:bottom w:val="single" w:sz="8" w:color="EFEFEF"/>
            </w:tcBorders>
            <w:shd w:val="clear" w:color="auto" w:fill="EFEFEF"/>
          </w:tcPr>
          <w:p>
            <w:pPr>
              <w:spacing w:after="0"/>
              <w:rPr>
                <w:sz w:val="22"/>
                <w:szCs w:val="22"/>
                <w:color w:val="auto"/>
              </w:rPr>
            </w:pPr>
          </w:p>
        </w:tc>
        <w:tc>
          <w:tcPr>
            <w:tcW w:w="320" w:type="dxa"/>
            <w:vAlign w:val="bottom"/>
            <w:tcBorders>
              <w:bottom w:val="single" w:sz="8" w:color="auto"/>
            </w:tcBorders>
            <w:shd w:val="clear" w:color="auto" w:fill="EFEFEF"/>
          </w:tcPr>
          <w:p>
            <w:pPr>
              <w:spacing w:after="0"/>
              <w:rPr>
                <w:sz w:val="22"/>
                <w:szCs w:val="22"/>
                <w:color w:val="auto"/>
              </w:rPr>
            </w:pPr>
          </w:p>
        </w:tc>
        <w:tc>
          <w:tcPr>
            <w:tcW w:w="7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1060" w:type="dxa"/>
            <w:vAlign w:val="bottom"/>
            <w:tcBorders>
              <w:bottom w:val="single" w:sz="8" w:color="EFEFEF"/>
            </w:tcBorders>
            <w:gridSpan w:val="2"/>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22,769</w:t>
            </w:r>
          </w:p>
        </w:tc>
        <w:tc>
          <w:tcPr>
            <w:tcW w:w="100" w:type="dxa"/>
            <w:vAlign w:val="bottom"/>
            <w:tcBorders>
              <w:bottom w:val="single" w:sz="8" w:color="EFEFEF"/>
            </w:tcBorders>
            <w:shd w:val="clear" w:color="auto" w:fill="EFEFEF"/>
          </w:tcPr>
          <w:p>
            <w:pPr>
              <w:spacing w:after="0"/>
              <w:rPr>
                <w:sz w:val="22"/>
                <w:szCs w:val="22"/>
                <w:color w:val="auto"/>
              </w:rPr>
            </w:pPr>
          </w:p>
        </w:tc>
        <w:tc>
          <w:tcPr>
            <w:tcW w:w="460" w:type="dxa"/>
            <w:vAlign w:val="bottom"/>
            <w:tcBorders>
              <w:bottom w:val="single" w:sz="8" w:color="auto"/>
            </w:tcBorders>
            <w:shd w:val="clear" w:color="auto" w:fill="EFEFEF"/>
          </w:tcPr>
          <w:p>
            <w:pPr>
              <w:spacing w:after="0"/>
              <w:rPr>
                <w:sz w:val="22"/>
                <w:szCs w:val="22"/>
                <w:color w:val="auto"/>
              </w:rPr>
            </w:pPr>
          </w:p>
        </w:tc>
        <w:tc>
          <w:tcPr>
            <w:tcW w:w="64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100%</w:t>
            </w:r>
          </w:p>
        </w:tc>
      </w:tr>
      <w:tr>
        <w:trPr>
          <w:trHeight w:val="210"/>
        </w:trPr>
        <w:tc>
          <w:tcPr>
            <w:tcW w:w="2520" w:type="dxa"/>
            <w:vAlign w:val="bottom"/>
            <w:tcBorders>
              <w:top w:val="single" w:sz="8" w:color="EFEFEF"/>
            </w:tcBorders>
          </w:tcPr>
          <w:p>
            <w:pPr>
              <w:spacing w:after="0" w:line="210" w:lineRule="exact"/>
              <w:rPr>
                <w:sz w:val="20"/>
                <w:szCs w:val="20"/>
                <w:color w:val="auto"/>
              </w:rPr>
            </w:pPr>
            <w:r>
              <w:rPr>
                <w:rFonts w:ascii="Times New Roman" w:cs="Times New Roman" w:eastAsia="Times New Roman" w:hAnsi="Times New Roman"/>
                <w:sz w:val="20"/>
                <w:szCs w:val="20"/>
                <w:color w:val="auto"/>
              </w:rPr>
              <w:t>Less: wholesale sales</w:t>
            </w: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(2,379)</w:t>
            </w:r>
          </w:p>
        </w:tc>
        <w:tc>
          <w:tcPr>
            <w:tcW w:w="120" w:type="dxa"/>
            <w:vAlign w:val="bottom"/>
            <w:tcBorders>
              <w:top w:val="single" w:sz="8" w:color="EFEFE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EFEFE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(2,741)</w:t>
            </w:r>
          </w:p>
        </w:tc>
        <w:tc>
          <w:tcPr>
            <w:tcW w:w="100" w:type="dxa"/>
            <w:vAlign w:val="bottom"/>
            <w:tcBorders>
              <w:top w:val="single" w:sz="8" w:color="EFEFE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(5,293)</w:t>
            </w:r>
          </w:p>
        </w:tc>
        <w:tc>
          <w:tcPr>
            <w:tcW w:w="100" w:type="dxa"/>
            <w:vAlign w:val="bottom"/>
            <w:tcBorders>
              <w:top w:val="single" w:sz="8" w:color="EFEFE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EFEFE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(7,159)</w:t>
            </w:r>
          </w:p>
        </w:tc>
        <w:tc>
          <w:tcPr>
            <w:tcW w:w="100" w:type="dxa"/>
            <w:vAlign w:val="bottom"/>
            <w:tcBorders>
              <w:top w:val="single" w:sz="8" w:color="EFEFE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63"/>
        </w:trPr>
        <w:tc>
          <w:tcPr>
            <w:tcW w:w="2520" w:type="dxa"/>
            <w:vAlign w:val="bottom"/>
            <w:tcBorders>
              <w:bottom w:val="single" w:sz="8" w:color="EFEFEF"/>
            </w:tcBorders>
            <w:shd w:val="clear" w:color="auto" w:fill="EFEFEF"/>
          </w:tcPr>
          <w:p>
            <w:pPr>
              <w:ind w:left="200"/>
              <w:spacing w:after="0" w:line="223" w:lineRule="exact"/>
              <w:rPr>
                <w:sz w:val="20"/>
                <w:szCs w:val="20"/>
                <w:color w:val="auto"/>
              </w:rPr>
            </w:pPr>
            <w:r>
              <w:rPr>
                <w:rFonts w:ascii="Times New Roman" w:cs="Times New Roman" w:eastAsia="Times New Roman" w:hAnsi="Times New Roman"/>
                <w:sz w:val="20"/>
                <w:szCs w:val="20"/>
                <w:color w:val="auto"/>
              </w:rPr>
              <w:t>Retail load requirement</w:t>
            </w:r>
          </w:p>
        </w:tc>
        <w:tc>
          <w:tcPr>
            <w:tcW w:w="9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5,474</w:t>
            </w:r>
          </w:p>
        </w:tc>
        <w:tc>
          <w:tcPr>
            <w:tcW w:w="120" w:type="dxa"/>
            <w:vAlign w:val="bottom"/>
            <w:tcBorders>
              <w:bottom w:val="single" w:sz="8" w:color="EFEFEF"/>
            </w:tcBorders>
            <w:shd w:val="clear" w:color="auto" w:fill="EFEFEF"/>
          </w:tcPr>
          <w:p>
            <w:pPr>
              <w:spacing w:after="0"/>
              <w:rPr>
                <w:sz w:val="22"/>
                <w:szCs w:val="22"/>
                <w:color w:val="auto"/>
              </w:rPr>
            </w:pPr>
          </w:p>
        </w:tc>
        <w:tc>
          <w:tcPr>
            <w:tcW w:w="300" w:type="dxa"/>
            <w:vAlign w:val="bottom"/>
            <w:tcBorders>
              <w:bottom w:val="single" w:sz="8" w:color="EFEFEF"/>
            </w:tcBorders>
            <w:shd w:val="clear" w:color="auto" w:fill="EFEFEF"/>
          </w:tcPr>
          <w:p>
            <w:pPr>
              <w:spacing w:after="0"/>
              <w:rPr>
                <w:sz w:val="22"/>
                <w:szCs w:val="22"/>
                <w:color w:val="auto"/>
              </w:rPr>
            </w:pPr>
          </w:p>
        </w:tc>
        <w:tc>
          <w:tcPr>
            <w:tcW w:w="720" w:type="dxa"/>
            <w:vAlign w:val="bottom"/>
            <w:tcBorders>
              <w:bottom w:val="single" w:sz="8" w:color="EFEFEF"/>
            </w:tcBorders>
            <w:shd w:val="clear" w:color="auto" w:fill="EFEFEF"/>
          </w:tcPr>
          <w:p>
            <w:pPr>
              <w:spacing w:after="0"/>
              <w:rPr>
                <w:sz w:val="22"/>
                <w:szCs w:val="22"/>
                <w:color w:val="auto"/>
              </w:rPr>
            </w:pPr>
          </w:p>
        </w:tc>
        <w:tc>
          <w:tcPr>
            <w:tcW w:w="100" w:type="dxa"/>
            <w:vAlign w:val="bottom"/>
            <w:tcBorders>
              <w:bottom w:val="single" w:sz="8" w:color="EFEFEF"/>
            </w:tcBorders>
            <w:shd w:val="clear" w:color="auto" w:fill="EFEFEF"/>
          </w:tcPr>
          <w:p>
            <w:pPr>
              <w:spacing w:after="0"/>
              <w:rPr>
                <w:sz w:val="22"/>
                <w:szCs w:val="22"/>
                <w:color w:val="auto"/>
              </w:rPr>
            </w:pPr>
          </w:p>
        </w:tc>
        <w:tc>
          <w:tcPr>
            <w:tcW w:w="96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5,390</w:t>
            </w:r>
          </w:p>
        </w:tc>
        <w:tc>
          <w:tcPr>
            <w:tcW w:w="100" w:type="dxa"/>
            <w:vAlign w:val="bottom"/>
            <w:tcBorders>
              <w:bottom w:val="single" w:sz="8" w:color="EFEFEF"/>
            </w:tcBorders>
            <w:shd w:val="clear" w:color="auto" w:fill="EFEFEF"/>
          </w:tcPr>
          <w:p>
            <w:pPr>
              <w:spacing w:after="0"/>
              <w:rPr>
                <w:sz w:val="22"/>
                <w:szCs w:val="22"/>
                <w:color w:val="auto"/>
              </w:rPr>
            </w:pPr>
          </w:p>
        </w:tc>
        <w:tc>
          <w:tcPr>
            <w:tcW w:w="420" w:type="dxa"/>
            <w:vAlign w:val="bottom"/>
            <w:tcBorders>
              <w:bottom w:val="single" w:sz="8" w:color="EFEFEF"/>
            </w:tcBorders>
            <w:shd w:val="clear" w:color="auto" w:fill="EFEFEF"/>
          </w:tcPr>
          <w:p>
            <w:pPr>
              <w:spacing w:after="0"/>
              <w:rPr>
                <w:sz w:val="22"/>
                <w:szCs w:val="22"/>
                <w:color w:val="auto"/>
              </w:rPr>
            </w:pPr>
          </w:p>
        </w:tc>
        <w:tc>
          <w:tcPr>
            <w:tcW w:w="600" w:type="dxa"/>
            <w:vAlign w:val="bottom"/>
            <w:tcBorders>
              <w:bottom w:val="single" w:sz="8" w:color="EFEFEF"/>
            </w:tcBorders>
            <w:shd w:val="clear" w:color="auto" w:fill="EFEFEF"/>
          </w:tcPr>
          <w:p>
            <w:pPr>
              <w:spacing w:after="0"/>
              <w:rPr>
                <w:sz w:val="22"/>
                <w:szCs w:val="22"/>
                <w:color w:val="auto"/>
              </w:rPr>
            </w:pPr>
          </w:p>
        </w:tc>
        <w:tc>
          <w:tcPr>
            <w:tcW w:w="120" w:type="dxa"/>
            <w:vAlign w:val="bottom"/>
            <w:tcBorders>
              <w:bottom w:val="single" w:sz="8" w:color="EFEFEF"/>
            </w:tcBorders>
            <w:shd w:val="clear" w:color="auto" w:fill="EFEFEF"/>
          </w:tcPr>
          <w:p>
            <w:pPr>
              <w:spacing w:after="0"/>
              <w:rPr>
                <w:sz w:val="22"/>
                <w:szCs w:val="22"/>
                <w:color w:val="auto"/>
              </w:rPr>
            </w:pPr>
          </w:p>
        </w:tc>
        <w:tc>
          <w:tcPr>
            <w:tcW w:w="9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15,962</w:t>
            </w:r>
          </w:p>
        </w:tc>
        <w:tc>
          <w:tcPr>
            <w:tcW w:w="100" w:type="dxa"/>
            <w:vAlign w:val="bottom"/>
            <w:tcBorders>
              <w:bottom w:val="single" w:sz="8" w:color="EFEFEF"/>
            </w:tcBorders>
            <w:shd w:val="clear" w:color="auto" w:fill="EFEFEF"/>
          </w:tcPr>
          <w:p>
            <w:pPr>
              <w:spacing w:after="0"/>
              <w:rPr>
                <w:sz w:val="22"/>
                <w:szCs w:val="22"/>
                <w:color w:val="auto"/>
              </w:rPr>
            </w:pPr>
          </w:p>
        </w:tc>
        <w:tc>
          <w:tcPr>
            <w:tcW w:w="320" w:type="dxa"/>
            <w:vAlign w:val="bottom"/>
            <w:tcBorders>
              <w:bottom w:val="single" w:sz="8" w:color="EFEFEF"/>
            </w:tcBorders>
            <w:shd w:val="clear" w:color="auto" w:fill="EFEFEF"/>
          </w:tcPr>
          <w:p>
            <w:pPr>
              <w:spacing w:after="0"/>
              <w:rPr>
                <w:sz w:val="22"/>
                <w:szCs w:val="22"/>
                <w:color w:val="auto"/>
              </w:rPr>
            </w:pPr>
          </w:p>
        </w:tc>
        <w:tc>
          <w:tcPr>
            <w:tcW w:w="720" w:type="dxa"/>
            <w:vAlign w:val="bottom"/>
            <w:tcBorders>
              <w:bottom w:val="single" w:sz="8" w:color="EFEFEF"/>
            </w:tcBorders>
            <w:shd w:val="clear" w:color="auto" w:fill="EFEFEF"/>
          </w:tcPr>
          <w:p>
            <w:pPr>
              <w:spacing w:after="0"/>
              <w:rPr>
                <w:sz w:val="22"/>
                <w:szCs w:val="22"/>
                <w:color w:val="auto"/>
              </w:rPr>
            </w:pPr>
          </w:p>
        </w:tc>
        <w:tc>
          <w:tcPr>
            <w:tcW w:w="120" w:type="dxa"/>
            <w:vAlign w:val="bottom"/>
            <w:tcBorders>
              <w:bottom w:val="single" w:sz="8" w:color="EFEFEF"/>
            </w:tcBorders>
            <w:shd w:val="clear" w:color="auto" w:fill="EFEFEF"/>
          </w:tcPr>
          <w:p>
            <w:pPr>
              <w:spacing w:after="0"/>
              <w:rPr>
                <w:sz w:val="22"/>
                <w:szCs w:val="22"/>
                <w:color w:val="auto"/>
              </w:rPr>
            </w:pPr>
          </w:p>
        </w:tc>
        <w:tc>
          <w:tcPr>
            <w:tcW w:w="9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15,610</w:t>
            </w:r>
          </w:p>
        </w:tc>
        <w:tc>
          <w:tcPr>
            <w:tcW w:w="100" w:type="dxa"/>
            <w:vAlign w:val="bottom"/>
            <w:tcBorders>
              <w:bottom w:val="single" w:sz="8" w:color="EFEFEF"/>
            </w:tcBorders>
            <w:shd w:val="clear" w:color="auto" w:fill="EFEFEF"/>
          </w:tcPr>
          <w:p>
            <w:pPr>
              <w:spacing w:after="0"/>
              <w:rPr>
                <w:sz w:val="22"/>
                <w:szCs w:val="22"/>
                <w:color w:val="auto"/>
              </w:rPr>
            </w:pPr>
          </w:p>
        </w:tc>
        <w:tc>
          <w:tcPr>
            <w:tcW w:w="460" w:type="dxa"/>
            <w:vAlign w:val="bottom"/>
            <w:tcBorders>
              <w:bottom w:val="single" w:sz="8" w:color="EFEFEF"/>
            </w:tcBorders>
            <w:shd w:val="clear" w:color="auto" w:fill="EFEFEF"/>
          </w:tcPr>
          <w:p>
            <w:pPr>
              <w:spacing w:after="0"/>
              <w:rPr>
                <w:sz w:val="22"/>
                <w:szCs w:val="22"/>
                <w:color w:val="auto"/>
              </w:rPr>
            </w:pPr>
          </w:p>
        </w:tc>
        <w:tc>
          <w:tcPr>
            <w:tcW w:w="640" w:type="dxa"/>
            <w:vAlign w:val="bottom"/>
            <w:tcBorders>
              <w:bottom w:val="single" w:sz="8" w:color="EFEFEF"/>
            </w:tcBorders>
            <w:shd w:val="clear" w:color="auto" w:fill="EFEFE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-1988185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-1988185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-1988185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-1988185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-1988185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-1988185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-1988185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-659130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-659130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-659130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-659130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-659130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-659130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-334010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-350520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-334010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-334010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-350520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-334010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-334010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-334010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-334010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-25400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Purchased power in the table above includes power received from qualifying facilities under the Public Utility Regulatory Policies Act of 1978 (PURPA)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80" w:type="dxa"/>
            <w:vAlign w:val="bottom"/>
          </w:tcPr>
          <w:p>
            <w:pPr>
              <w:spacing w:after="0"/>
              <w:rPr>
                <w:sz w:val="22"/>
                <w:szCs w:val="22"/>
                <w:color w:val="auto"/>
              </w:rPr>
            </w:pPr>
          </w:p>
        </w:tc>
        <w:tc>
          <w:tcPr>
            <w:tcW w:w="3400" w:type="dxa"/>
            <w:vAlign w:val="bottom"/>
            <w:tcBorders>
              <w:bottom w:val="single" w:sz="8" w:color="155CAB"/>
            </w:tcBorders>
            <w:gridSpan w:val="4"/>
          </w:tcPr>
          <w:p>
            <w:pPr>
              <w:jc w:val="right"/>
              <w:ind w:right="121"/>
              <w:spacing w:after="0"/>
              <w:rPr>
                <w:sz w:val="20"/>
                <w:szCs w:val="20"/>
                <w:color w:val="auto"/>
              </w:rPr>
            </w:pPr>
            <w:r>
              <w:rPr>
                <w:rFonts w:ascii="Times New Roman" w:cs="Times New Roman" w:eastAsia="Times New Roman" w:hAnsi="Times New Roman"/>
                <w:sz w:val="20"/>
                <w:szCs w:val="20"/>
                <w:b w:val="1"/>
                <w:bCs w:val="1"/>
                <w:color w:val="155CAB"/>
              </w:rPr>
              <w:t>Three Months Ended September 30,</w:t>
            </w:r>
          </w:p>
        </w:tc>
        <w:tc>
          <w:tcPr>
            <w:tcW w:w="140" w:type="dxa"/>
            <w:vAlign w:val="bottom"/>
          </w:tcPr>
          <w:p>
            <w:pPr>
              <w:spacing w:after="0"/>
              <w:rPr>
                <w:sz w:val="22"/>
                <w:szCs w:val="22"/>
                <w:color w:val="auto"/>
              </w:rPr>
            </w:pPr>
          </w:p>
        </w:tc>
        <w:tc>
          <w:tcPr>
            <w:tcW w:w="3420" w:type="dxa"/>
            <w:vAlign w:val="bottom"/>
            <w:tcBorders>
              <w:bottom w:val="single" w:sz="8" w:color="155CAB"/>
            </w:tcBorders>
            <w:gridSpan w:val="3"/>
          </w:tcPr>
          <w:p>
            <w:pPr>
              <w:jc w:val="right"/>
              <w:ind w:right="201"/>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223"/>
        </w:trPr>
        <w:tc>
          <w:tcPr>
            <w:tcW w:w="4280" w:type="dxa"/>
            <w:vAlign w:val="bottom"/>
          </w:tcPr>
          <w:p>
            <w:pPr>
              <w:spacing w:after="0"/>
              <w:rPr>
                <w:sz w:val="19"/>
                <w:szCs w:val="19"/>
                <w:color w:val="auto"/>
              </w:rPr>
            </w:pPr>
          </w:p>
        </w:tc>
        <w:tc>
          <w:tcPr>
            <w:tcW w:w="1100" w:type="dxa"/>
            <w:vAlign w:val="bottom"/>
            <w:tcBorders>
              <w:bottom w:val="single" w:sz="8" w:color="155CAB"/>
            </w:tcBorders>
          </w:tcPr>
          <w:p>
            <w:pPr>
              <w:jc w:val="right"/>
              <w:ind w:right="4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54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bottom w:val="single" w:sz="8" w:color="155CAB"/>
            </w:tcBorders>
          </w:tcPr>
          <w:p>
            <w:pPr>
              <w:jc w:val="right"/>
              <w:ind w:right="58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c>
          <w:tcPr>
            <w:tcW w:w="140" w:type="dxa"/>
            <w:vAlign w:val="bottom"/>
          </w:tcPr>
          <w:p>
            <w:pPr>
              <w:spacing w:after="0"/>
              <w:rPr>
                <w:sz w:val="19"/>
                <w:szCs w:val="19"/>
                <w:color w:val="auto"/>
              </w:rPr>
            </w:pPr>
          </w:p>
        </w:tc>
        <w:tc>
          <w:tcPr>
            <w:tcW w:w="1640" w:type="dxa"/>
            <w:vAlign w:val="bottom"/>
            <w:tcBorders>
              <w:bottom w:val="single" w:sz="8" w:color="155CAB"/>
            </w:tcBorders>
          </w:tcPr>
          <w:p>
            <w:pPr>
              <w:jc w:val="right"/>
              <w:ind w:right="581"/>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Pr>
          <w:p>
            <w:pPr>
              <w:spacing w:after="0"/>
              <w:rPr>
                <w:sz w:val="19"/>
                <w:szCs w:val="19"/>
                <w:color w:val="auto"/>
              </w:rPr>
            </w:pPr>
          </w:p>
        </w:tc>
        <w:tc>
          <w:tcPr>
            <w:tcW w:w="1660" w:type="dxa"/>
            <w:vAlign w:val="bottom"/>
            <w:tcBorders>
              <w:bottom w:val="single" w:sz="8" w:color="155CAB"/>
            </w:tcBorders>
          </w:tcPr>
          <w:p>
            <w:pPr>
              <w:jc w:val="right"/>
              <w:ind w:right="6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5380" w:type="dxa"/>
            <w:vAlign w:val="bottom"/>
            <w:gridSpan w:val="2"/>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Sources of energy (MWhs in thousands):</w:t>
            </w:r>
          </w:p>
        </w:tc>
        <w:tc>
          <w:tcPr>
            <w:tcW w:w="5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40" w:type="dxa"/>
            <w:vAlign w:val="bottom"/>
            <w:shd w:val="clear" w:color="auto" w:fill="EFEFEF"/>
          </w:tcPr>
          <w:p>
            <w:pPr>
              <w:spacing w:after="0"/>
              <w:rPr>
                <w:sz w:val="19"/>
                <w:szCs w:val="19"/>
                <w:color w:val="auto"/>
              </w:rPr>
            </w:pPr>
          </w:p>
        </w:tc>
        <w:tc>
          <w:tcPr>
            <w:tcW w:w="140" w:type="dxa"/>
            <w:vAlign w:val="bottom"/>
            <w:shd w:val="clear" w:color="auto" w:fill="EFEFEF"/>
          </w:tcPr>
          <w:p>
            <w:pPr>
              <w:spacing w:after="0"/>
              <w:rPr>
                <w:sz w:val="19"/>
                <w:szCs w:val="19"/>
                <w:color w:val="auto"/>
              </w:rPr>
            </w:pPr>
          </w:p>
        </w:tc>
        <w:tc>
          <w:tcPr>
            <w:tcW w:w="164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660" w:type="dxa"/>
            <w:vAlign w:val="bottom"/>
            <w:shd w:val="clear" w:color="auto" w:fill="EFEFEF"/>
          </w:tcPr>
          <w:p>
            <w:pPr>
              <w:spacing w:after="0"/>
              <w:rPr>
                <w:sz w:val="19"/>
                <w:szCs w:val="19"/>
                <w:color w:val="auto"/>
              </w:rPr>
            </w:pPr>
          </w:p>
        </w:tc>
      </w:tr>
      <w:tr>
        <w:trPr>
          <w:trHeight w:val="229"/>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PURPA purchased power: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380" w:type="dxa"/>
            <w:vAlign w:val="bottom"/>
            <w:gridSpan w:val="2"/>
            <w:shd w:val="clear" w:color="auto" w:fill="EFEFEF"/>
          </w:tcPr>
          <w:p>
            <w:pPr>
              <w:ind w:left="120"/>
              <w:spacing w:after="0"/>
              <w:rPr>
                <w:sz w:val="20"/>
                <w:szCs w:val="20"/>
                <w:color w:val="auto"/>
              </w:rPr>
            </w:pPr>
            <w:r>
              <w:rPr>
                <w:rFonts w:ascii="Times New Roman" w:cs="Times New Roman" w:eastAsia="Times New Roman" w:hAnsi="Times New Roman"/>
                <w:sz w:val="20"/>
                <w:szCs w:val="20"/>
                <w:color w:val="auto"/>
              </w:rPr>
              <w:t>Hydro</w:t>
            </w:r>
          </w:p>
        </w:tc>
        <w:tc>
          <w:tcPr>
            <w:tcW w:w="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7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178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20</w:t>
            </w:r>
          </w:p>
        </w:tc>
        <w:tc>
          <w:tcPr>
            <w:tcW w:w="1780" w:type="dxa"/>
            <w:vAlign w:val="bottom"/>
            <w:gridSpan w:val="2"/>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Wind</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9</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23</w:t>
            </w:r>
          </w:p>
        </w:tc>
        <w:tc>
          <w:tcPr>
            <w:tcW w:w="17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5380" w:type="dxa"/>
            <w:vAlign w:val="bottom"/>
            <w:gridSpan w:val="2"/>
            <w:shd w:val="clear" w:color="auto" w:fill="EFEFEF"/>
          </w:tcPr>
          <w:p>
            <w:pPr>
              <w:ind w:left="120"/>
              <w:spacing w:after="0"/>
              <w:rPr>
                <w:sz w:val="20"/>
                <w:szCs w:val="20"/>
                <w:color w:val="auto"/>
              </w:rPr>
            </w:pPr>
            <w:r>
              <w:rPr>
                <w:rFonts w:ascii="Times New Roman" w:cs="Times New Roman" w:eastAsia="Times New Roman" w:hAnsi="Times New Roman"/>
                <w:sz w:val="20"/>
                <w:szCs w:val="20"/>
                <w:color w:val="auto"/>
              </w:rPr>
              <w:t>Solar</w:t>
            </w:r>
          </w:p>
        </w:tc>
        <w:tc>
          <w:tcPr>
            <w:tcW w:w="5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195</w:t>
            </w:r>
          </w:p>
        </w:tc>
        <w:tc>
          <w:tcPr>
            <w:tcW w:w="176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207</w:t>
            </w:r>
          </w:p>
        </w:tc>
        <w:tc>
          <w:tcPr>
            <w:tcW w:w="1780" w:type="dxa"/>
            <w:vAlign w:val="bottom"/>
            <w:gridSpan w:val="2"/>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495</w:t>
            </w:r>
          </w:p>
        </w:tc>
        <w:tc>
          <w:tcPr>
            <w:tcW w:w="1780" w:type="dxa"/>
            <w:vAlign w:val="bottom"/>
            <w:gridSpan w:val="2"/>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507</w:t>
            </w: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Waste, Wood, and Landfill Gas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23</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77</w:t>
            </w:r>
          </w:p>
        </w:tc>
      </w:tr>
      <w:tr>
        <w:trPr>
          <w:trHeight w:val="263"/>
        </w:trPr>
        <w:tc>
          <w:tcPr>
            <w:tcW w:w="4280" w:type="dxa"/>
            <w:vAlign w:val="bottom"/>
            <w:tcBorders>
              <w:bottom w:val="single" w:sz="8" w:color="EFEFEF"/>
            </w:tcBorders>
            <w:shd w:val="clear" w:color="auto" w:fill="EFEFE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100" w:type="dxa"/>
            <w:vAlign w:val="bottom"/>
            <w:tcBorders>
              <w:bottom w:val="single" w:sz="8" w:color="auto"/>
            </w:tcBorders>
            <w:shd w:val="clear" w:color="auto" w:fill="EFEFEF"/>
          </w:tcPr>
          <w:p>
            <w:pPr>
              <w:spacing w:after="0"/>
              <w:rPr>
                <w:sz w:val="22"/>
                <w:szCs w:val="22"/>
                <w:color w:val="auto"/>
              </w:rPr>
            </w:pPr>
          </w:p>
        </w:tc>
        <w:tc>
          <w:tcPr>
            <w:tcW w:w="5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234</w:t>
            </w:r>
          </w:p>
        </w:tc>
        <w:tc>
          <w:tcPr>
            <w:tcW w:w="120" w:type="dxa"/>
            <w:vAlign w:val="bottom"/>
            <w:tcBorders>
              <w:bottom w:val="single" w:sz="8" w:color="EFEFEF"/>
            </w:tcBorders>
            <w:shd w:val="clear" w:color="auto" w:fill="EFEFEF"/>
          </w:tcPr>
          <w:p>
            <w:pPr>
              <w:spacing w:after="0"/>
              <w:rPr>
                <w:sz w:val="22"/>
                <w:szCs w:val="22"/>
                <w:color w:val="auto"/>
              </w:rPr>
            </w:pPr>
          </w:p>
        </w:tc>
        <w:tc>
          <w:tcPr>
            <w:tcW w:w="16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242</w:t>
            </w:r>
          </w:p>
        </w:tc>
        <w:tc>
          <w:tcPr>
            <w:tcW w:w="140" w:type="dxa"/>
            <w:vAlign w:val="bottom"/>
            <w:tcBorders>
              <w:bottom w:val="single" w:sz="8" w:color="EFEFEF"/>
            </w:tcBorders>
            <w:shd w:val="clear" w:color="auto" w:fill="EFEFEF"/>
          </w:tcPr>
          <w:p>
            <w:pPr>
              <w:spacing w:after="0"/>
              <w:rPr>
                <w:sz w:val="22"/>
                <w:szCs w:val="22"/>
                <w:color w:val="auto"/>
              </w:rPr>
            </w:pPr>
          </w:p>
        </w:tc>
        <w:tc>
          <w:tcPr>
            <w:tcW w:w="164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614</w:t>
            </w:r>
          </w:p>
        </w:tc>
        <w:tc>
          <w:tcPr>
            <w:tcW w:w="120" w:type="dxa"/>
            <w:vAlign w:val="bottom"/>
            <w:tcBorders>
              <w:bottom w:val="single" w:sz="8" w:color="EFEFEF"/>
            </w:tcBorders>
            <w:shd w:val="clear" w:color="auto" w:fill="EFEFEF"/>
          </w:tcPr>
          <w:p>
            <w:pPr>
              <w:spacing w:after="0"/>
              <w:rPr>
                <w:sz w:val="22"/>
                <w:szCs w:val="22"/>
                <w:color w:val="auto"/>
              </w:rPr>
            </w:pPr>
          </w:p>
        </w:tc>
        <w:tc>
          <w:tcPr>
            <w:tcW w:w="1660" w:type="dxa"/>
            <w:vAlign w:val="bottom"/>
            <w:tcBorders>
              <w:bottom w:val="single" w:sz="8" w:color="auto"/>
            </w:tcBorders>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77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actual April-to-September 2026 and actual 2025 runoff at particular points of major rivers relevant to PGE’s hydro resources: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20" w:type="dxa"/>
            <w:vAlign w:val="bottom"/>
          </w:tcPr>
          <w:p>
            <w:pPr>
              <w:spacing w:after="0"/>
              <w:rPr>
                <w:sz w:val="22"/>
                <w:szCs w:val="22"/>
                <w:color w:val="auto"/>
              </w:rPr>
            </w:pP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155CAB"/>
              </w:rPr>
              <w:t>Location</w:t>
            </w:r>
          </w:p>
        </w:tc>
        <w:tc>
          <w:tcPr>
            <w:tcW w:w="5060" w:type="dxa"/>
            <w:vAlign w:val="bottom"/>
            <w:gridSpan w:val="4"/>
          </w:tcPr>
          <w:p>
            <w:pPr>
              <w:ind w:left="1080"/>
              <w:spacing w:after="0"/>
              <w:rPr>
                <w:sz w:val="20"/>
                <w:szCs w:val="20"/>
                <w:color w:val="auto"/>
              </w:rPr>
            </w:pPr>
            <w:r>
              <w:rPr>
                <w:rFonts w:ascii="Times New Roman" w:cs="Times New Roman" w:eastAsia="Times New Roman" w:hAnsi="Times New Roman"/>
                <w:sz w:val="20"/>
                <w:szCs w:val="20"/>
                <w:b w:val="1"/>
                <w:bCs w:val="1"/>
                <w:color w:val="155CAB"/>
              </w:rPr>
              <w:t>Runoff as a Percent of Normal*</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3560" w:type="dxa"/>
            <w:vAlign w:val="bottom"/>
            <w:gridSpan w:val="2"/>
            <w:vMerge w:val="continue"/>
          </w:tcPr>
          <w:p>
            <w:pPr>
              <w:spacing w:after="0"/>
              <w:rPr>
                <w:sz w:val="17"/>
                <w:szCs w:val="17"/>
                <w:color w:val="auto"/>
              </w:rPr>
            </w:pPr>
          </w:p>
        </w:tc>
        <w:tc>
          <w:tcPr>
            <w:tcW w:w="2620" w:type="dxa"/>
            <w:vAlign w:val="bottom"/>
            <w:tcBorders>
              <w:top w:val="single" w:sz="8" w:color="155CAB"/>
            </w:tcBorders>
            <w:gridSpan w:val="2"/>
          </w:tcPr>
          <w:p>
            <w:pPr>
              <w:ind w:left="600"/>
              <w:spacing w:after="0" w:line="196" w:lineRule="exact"/>
              <w:rPr>
                <w:sz w:val="20"/>
                <w:szCs w:val="20"/>
                <w:color w:val="auto"/>
              </w:rPr>
            </w:pPr>
            <w:r>
              <w:rPr>
                <w:rFonts w:ascii="Times New Roman" w:cs="Times New Roman" w:eastAsia="Times New Roman" w:hAnsi="Times New Roman"/>
                <w:sz w:val="20"/>
                <w:szCs w:val="20"/>
                <w:b w:val="1"/>
                <w:bCs w:val="1"/>
                <w:color w:val="155CAB"/>
              </w:rPr>
              <w:t>2026 Actual</w:t>
            </w:r>
          </w:p>
        </w:tc>
        <w:tc>
          <w:tcPr>
            <w:tcW w:w="2260" w:type="dxa"/>
            <w:vAlign w:val="bottom"/>
            <w:tcBorders>
              <w:top w:val="single" w:sz="8" w:color="155CAB"/>
            </w:tcBorders>
          </w:tcPr>
          <w:p>
            <w:pPr>
              <w:ind w:left="620"/>
              <w:spacing w:after="0" w:line="196" w:lineRule="exact"/>
              <w:rPr>
                <w:sz w:val="20"/>
                <w:szCs w:val="20"/>
                <w:color w:val="auto"/>
              </w:rPr>
            </w:pPr>
            <w:r>
              <w:rPr>
                <w:rFonts w:ascii="Times New Roman" w:cs="Times New Roman" w:eastAsia="Times New Roman" w:hAnsi="Times New Roman"/>
                <w:sz w:val="20"/>
                <w:szCs w:val="20"/>
                <w:b w:val="1"/>
                <w:bCs w:val="1"/>
                <w:color w:val="155CAB"/>
              </w:rPr>
              <w:t>2025 Actual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40" w:type="dxa"/>
            <w:vAlign w:val="bottom"/>
            <w:tcBorders>
              <w:top w:val="single" w:sz="8" w:color="155CAB"/>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40" w:type="dxa"/>
            <w:vAlign w:val="bottom"/>
            <w:tcBorders>
              <w:bottom w:val="single" w:sz="8" w:color="155CAB"/>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Borders>
              <w:bottom w:val="single" w:sz="8" w:color="155CAB"/>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3"/>
            <w:shd w:val="clear" w:color="auto" w:fill="EFEFEF"/>
          </w:tcPr>
          <w:p>
            <w:pPr>
              <w:spacing w:after="0" w:line="210" w:lineRule="exact"/>
              <w:rPr>
                <w:sz w:val="20"/>
                <w:szCs w:val="20"/>
                <w:color w:val="auto"/>
              </w:rPr>
            </w:pPr>
            <w:r>
              <w:rPr>
                <w:rFonts w:ascii="Times New Roman" w:cs="Times New Roman" w:eastAsia="Times New Roman" w:hAnsi="Times New Roman"/>
                <w:sz w:val="20"/>
                <w:szCs w:val="20"/>
                <w:color w:val="auto"/>
              </w:rPr>
              <w:t>Columbia River at The Dalles, Oregon</w:t>
            </w:r>
          </w:p>
        </w:tc>
        <w:tc>
          <w:tcPr>
            <w:tcW w:w="2620" w:type="dxa"/>
            <w:vAlign w:val="bottom"/>
            <w:gridSpan w:val="2"/>
            <w:shd w:val="clear" w:color="auto" w:fill="EFEFEF"/>
          </w:tcPr>
          <w:p>
            <w:pPr>
              <w:ind w:left="2020"/>
              <w:spacing w:after="0" w:line="210" w:lineRule="exact"/>
              <w:rPr>
                <w:sz w:val="20"/>
                <w:szCs w:val="20"/>
                <w:color w:val="auto"/>
              </w:rPr>
            </w:pPr>
            <w:r>
              <w:rPr>
                <w:rFonts w:ascii="Times New Roman" w:cs="Times New Roman" w:eastAsia="Times New Roman" w:hAnsi="Times New Roman"/>
                <w:sz w:val="20"/>
                <w:szCs w:val="20"/>
                <w:color w:val="auto"/>
              </w:rPr>
              <w:t>83%</w:t>
            </w:r>
          </w:p>
        </w:tc>
        <w:tc>
          <w:tcPr>
            <w:tcW w:w="2440" w:type="dxa"/>
            <w:vAlign w:val="bottom"/>
            <w:gridSpan w:val="2"/>
            <w:shd w:val="clear" w:color="auto" w:fill="EFEFEF"/>
          </w:tcPr>
          <w:p>
            <w:pPr>
              <w:ind w:left="2040"/>
              <w:spacing w:after="0" w:line="210" w:lineRule="exact"/>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30"/>
        </w:trPr>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Mid-Columbia River at Grand Coulee, Washington</w:t>
            </w:r>
          </w:p>
        </w:tc>
        <w:tc>
          <w:tcPr>
            <w:tcW w:w="2240" w:type="dxa"/>
            <w:vAlign w:val="bottom"/>
          </w:tcPr>
          <w:p>
            <w:pPr>
              <w:ind w:left="2020"/>
              <w:spacing w:after="0"/>
              <w:rPr>
                <w:sz w:val="20"/>
                <w:szCs w:val="20"/>
                <w:color w:val="auto"/>
              </w:rPr>
            </w:pPr>
            <w:r>
              <w:rPr>
                <w:rFonts w:ascii="Times New Roman" w:cs="Times New Roman" w:eastAsia="Times New Roman" w:hAnsi="Times New Roman"/>
                <w:sz w:val="20"/>
                <w:szCs w:val="20"/>
                <w:color w:val="auto"/>
                <w:w w:val="99"/>
              </w:rPr>
              <w:t>92</w:t>
            </w:r>
          </w:p>
        </w:tc>
        <w:tc>
          <w:tcPr>
            <w:tcW w:w="380" w:type="dxa"/>
            <w:vAlign w:val="bottom"/>
          </w:tcPr>
          <w:p>
            <w:pPr>
              <w:spacing w:after="0"/>
              <w:rPr>
                <w:sz w:val="19"/>
                <w:szCs w:val="19"/>
                <w:color w:val="auto"/>
              </w:rPr>
            </w:pPr>
          </w:p>
        </w:tc>
        <w:tc>
          <w:tcPr>
            <w:tcW w:w="2260" w:type="dxa"/>
            <w:vAlign w:val="bottom"/>
          </w:tcPr>
          <w:p>
            <w:pPr>
              <w:ind w:left="2040"/>
              <w:spacing w:after="0"/>
              <w:rPr>
                <w:sz w:val="20"/>
                <w:szCs w:val="20"/>
                <w:color w:val="auto"/>
              </w:rPr>
            </w:pPr>
            <w:r>
              <w:rPr>
                <w:rFonts w:ascii="Times New Roman" w:cs="Times New Roman" w:eastAsia="Times New Roman" w:hAnsi="Times New Roman"/>
                <w:sz w:val="20"/>
                <w:szCs w:val="20"/>
                <w:color w:val="auto"/>
                <w:w w:val="99"/>
              </w:rPr>
              <w:t>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20"/>
                <w:szCs w:val="20"/>
                <w:color w:val="auto"/>
              </w:rPr>
              <w:t>Clackamas River at Estacada, Oregon</w:t>
            </w:r>
          </w:p>
        </w:tc>
        <w:tc>
          <w:tcPr>
            <w:tcW w:w="2240" w:type="dxa"/>
            <w:vAlign w:val="bottom"/>
            <w:shd w:val="clear" w:color="auto" w:fill="EFEFEF"/>
          </w:tcPr>
          <w:p>
            <w:pPr>
              <w:ind w:left="2020"/>
              <w:spacing w:after="0"/>
              <w:rPr>
                <w:sz w:val="20"/>
                <w:szCs w:val="20"/>
                <w:color w:val="auto"/>
              </w:rPr>
            </w:pPr>
            <w:r>
              <w:rPr>
                <w:rFonts w:ascii="Times New Roman" w:cs="Times New Roman" w:eastAsia="Times New Roman" w:hAnsi="Times New Roman"/>
                <w:sz w:val="20"/>
                <w:szCs w:val="20"/>
                <w:color w:val="auto"/>
                <w:w w:val="99"/>
              </w:rPr>
              <w:t>55</w:t>
            </w:r>
          </w:p>
        </w:tc>
        <w:tc>
          <w:tcPr>
            <w:tcW w:w="380" w:type="dxa"/>
            <w:vAlign w:val="bottom"/>
            <w:shd w:val="clear" w:color="auto" w:fill="EFEFEF"/>
          </w:tcPr>
          <w:p>
            <w:pPr>
              <w:spacing w:after="0"/>
              <w:rPr>
                <w:sz w:val="19"/>
                <w:szCs w:val="19"/>
                <w:color w:val="auto"/>
              </w:rPr>
            </w:pPr>
          </w:p>
        </w:tc>
        <w:tc>
          <w:tcPr>
            <w:tcW w:w="2260" w:type="dxa"/>
            <w:vAlign w:val="bottom"/>
            <w:shd w:val="clear" w:color="auto" w:fill="EFEFEF"/>
          </w:tcPr>
          <w:p>
            <w:pPr>
              <w:ind w:left="2040"/>
              <w:spacing w:after="0"/>
              <w:rPr>
                <w:sz w:val="20"/>
                <w:szCs w:val="20"/>
                <w:color w:val="auto"/>
              </w:rPr>
            </w:pPr>
            <w:r>
              <w:rPr>
                <w:rFonts w:ascii="Times New Roman" w:cs="Times New Roman" w:eastAsia="Times New Roman" w:hAnsi="Times New Roman"/>
                <w:sz w:val="20"/>
                <w:szCs w:val="20"/>
                <w:color w:val="auto"/>
                <w:w w:val="99"/>
              </w:rPr>
              <w:t>69</w:t>
            </w:r>
          </w:p>
        </w:tc>
        <w:tc>
          <w:tcPr>
            <w:tcW w:w="18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Deschutes River at Moody, Oregon</w:t>
            </w:r>
          </w:p>
        </w:tc>
        <w:tc>
          <w:tcPr>
            <w:tcW w:w="2240" w:type="dxa"/>
            <w:vAlign w:val="bottom"/>
          </w:tcPr>
          <w:p>
            <w:pPr>
              <w:ind w:left="2020"/>
              <w:spacing w:after="0"/>
              <w:rPr>
                <w:sz w:val="20"/>
                <w:szCs w:val="20"/>
                <w:color w:val="auto"/>
              </w:rPr>
            </w:pPr>
            <w:r>
              <w:rPr>
                <w:rFonts w:ascii="Times New Roman" w:cs="Times New Roman" w:eastAsia="Times New Roman" w:hAnsi="Times New Roman"/>
                <w:sz w:val="20"/>
                <w:szCs w:val="20"/>
                <w:color w:val="auto"/>
                <w:w w:val="99"/>
              </w:rPr>
              <w:t>76</w:t>
            </w:r>
          </w:p>
        </w:tc>
        <w:tc>
          <w:tcPr>
            <w:tcW w:w="380" w:type="dxa"/>
            <w:vAlign w:val="bottom"/>
          </w:tcPr>
          <w:p>
            <w:pPr>
              <w:spacing w:after="0"/>
              <w:rPr>
                <w:sz w:val="22"/>
                <w:szCs w:val="22"/>
                <w:color w:val="auto"/>
              </w:rPr>
            </w:pPr>
          </w:p>
        </w:tc>
        <w:tc>
          <w:tcPr>
            <w:tcW w:w="2260" w:type="dxa"/>
            <w:vAlign w:val="bottom"/>
          </w:tcPr>
          <w:p>
            <w:pPr>
              <w:ind w:left="2040"/>
              <w:spacing w:after="0"/>
              <w:rPr>
                <w:sz w:val="20"/>
                <w:szCs w:val="20"/>
                <w:color w:val="auto"/>
              </w:rPr>
            </w:pPr>
            <w:r>
              <w:rPr>
                <w:rFonts w:ascii="Times New Roman" w:cs="Times New Roman" w:eastAsia="Times New Roman" w:hAnsi="Times New Roman"/>
                <w:sz w:val="20"/>
                <w:szCs w:val="20"/>
                <w:color w:val="auto"/>
                <w:w w:val="99"/>
              </w:rPr>
              <w:t>93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00" w:right="40" w:hanging="192"/>
        <w:spacing w:after="0" w:line="282" w:lineRule="auto"/>
        <w:tabs>
          <w:tab w:leader="none" w:pos="1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Volumetric water supply forecasts and historical averages for the Pacific Northwest region are prepared by the Northwest River Forecast Center, with the Natural Resources Conservation Service and other cooperating agencies.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20"/>
          <w:szCs w:val="20"/>
          <w:b w:val="1"/>
          <w:bCs w:val="1"/>
          <w:color w:val="155CAB"/>
        </w:rPr>
        <w:t xml:space="preserve">Actual NVPC </w:t>
      </w:r>
      <w:r>
        <w:rPr>
          <w:rFonts w:ascii="Times New Roman" w:cs="Times New Roman" w:eastAsia="Times New Roman" w:hAnsi="Times New Roman"/>
          <w:sz w:val="20"/>
          <w:szCs w:val="20"/>
          <w:color w:val="000000"/>
        </w:rPr>
        <w:t>for the three and nine months ended September 30, 2026 increased compared to the same periods in 2025 as follows (in</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Three Months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155CAB"/>
              </w:rPr>
              <w:t>Nine Months</w:t>
            </w:r>
          </w:p>
        </w:tc>
      </w:tr>
      <w:tr>
        <w:trPr>
          <w:trHeight w:val="256"/>
        </w:trPr>
        <w:tc>
          <w:tcPr>
            <w:tcW w:w="772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155CAB"/>
              </w:rPr>
              <w:t>Ended</w:t>
            </w:r>
          </w:p>
        </w:tc>
        <w:tc>
          <w:tcPr>
            <w:tcW w:w="16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1520" w:type="dxa"/>
            <w:vAlign w:val="bottom"/>
            <w:tcBorders>
              <w:bottom w:val="single" w:sz="8" w:color="155CAB"/>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155CAB"/>
              </w:rPr>
              <w:t>Ended</w:t>
            </w:r>
          </w:p>
        </w:tc>
      </w:tr>
      <w:tr>
        <w:trPr>
          <w:trHeight w:val="223"/>
        </w:trPr>
        <w:tc>
          <w:tcPr>
            <w:tcW w:w="77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2025</w:t>
            </w:r>
          </w:p>
        </w:tc>
        <w:tc>
          <w:tcPr>
            <w:tcW w:w="12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236</w:t>
            </w:r>
          </w:p>
        </w:tc>
        <w:tc>
          <w:tcPr>
            <w:tcW w:w="32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710</w:t>
            </w:r>
          </w:p>
        </w:tc>
      </w:tr>
      <w:tr>
        <w:trPr>
          <w:trHeight w:val="230"/>
        </w:trPr>
        <w:tc>
          <w:tcPr>
            <w:tcW w:w="7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Purchased power and fuel expense</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772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Wholesale revenues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5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7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RCE deferral activity, net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w:t>
            </w:r>
          </w:p>
        </w:tc>
      </w:tr>
      <w:tr>
        <w:trPr>
          <w:trHeight w:val="223"/>
        </w:trPr>
        <w:tc>
          <w:tcPr>
            <w:tcW w:w="772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2026</w:t>
            </w:r>
          </w:p>
        </w:tc>
        <w:tc>
          <w:tcPr>
            <w:tcW w:w="1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240</w:t>
            </w:r>
          </w:p>
        </w:tc>
        <w:tc>
          <w:tcPr>
            <w:tcW w:w="16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795</w:t>
            </w:r>
          </w:p>
        </w:tc>
      </w:tr>
      <w:tr>
        <w:trPr>
          <w:trHeight w:val="223"/>
        </w:trPr>
        <w:tc>
          <w:tcPr>
            <w:tcW w:w="77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Change in NVPC</w:t>
            </w: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4</w:t>
            </w: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85</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3" w:lineRule="exact"/>
        <w:rPr>
          <w:sz w:val="20"/>
          <w:szCs w:val="20"/>
          <w:color w:val="auto"/>
        </w:rPr>
      </w:pPr>
    </w:p>
    <w:p>
      <w:pPr>
        <w:ind w:right="840"/>
        <w:spacing w:after="0" w:line="273" w:lineRule="auto"/>
        <w:rPr>
          <w:sz w:val="20"/>
          <w:szCs w:val="20"/>
          <w:color w:val="auto"/>
        </w:rPr>
      </w:pPr>
      <w:r>
        <w:rPr>
          <w:rFonts w:ascii="Times New Roman" w:cs="Times New Roman" w:eastAsia="Times New Roman" w:hAnsi="Times New Roman"/>
          <w:sz w:val="20"/>
          <w:szCs w:val="20"/>
          <w:color w:val="auto"/>
        </w:rPr>
        <w:t xml:space="preserve">For further information regarding NVPC in relation to the PCAM, see </w:t>
      </w:r>
      <w:r>
        <w:rPr>
          <w:rFonts w:ascii="Times New Roman" w:cs="Times New Roman" w:eastAsia="Times New Roman" w:hAnsi="Times New Roman"/>
          <w:sz w:val="20"/>
          <w:szCs w:val="20"/>
          <w:i w:val="1"/>
          <w:iCs w:val="1"/>
          <w:color w:val="auto"/>
        </w:rPr>
        <w:t>“Purchased power and fuel expense”</w:t>
      </w:r>
      <w:r>
        <w:rPr>
          <w:rFonts w:ascii="Times New Roman" w:cs="Times New Roman" w:eastAsia="Times New Roman" w:hAnsi="Times New Roman"/>
          <w:sz w:val="20"/>
          <w:szCs w:val="20"/>
          <w:color w:val="auto"/>
        </w:rPr>
        <w:t xml:space="preserve"> within this “Results of Operations” for more details.</w:t>
      </w:r>
    </w:p>
    <w:p>
      <w:pPr>
        <w:spacing w:after="0" w:line="15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For the three months ended September 30, 2026 and 2025, actual NVPC was $10 million and $15 million above baseline NVPC, respectively. For the nine months ended September 30, 2026 and 2025, actual NVPC was $17 million above and $3 million below baseline NVPC, respectively.</w:t>
      </w:r>
    </w:p>
    <w:p>
      <w:pPr>
        <w:spacing w:after="0" w:line="174"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Based on forecast data, NVPC for the year ending December 31, 2026 is currently estimated to be below the baseline and within the deadband. Accordingly, there is no estimated refund to customers expected under the PCAM for 2026.</w:t>
      </w:r>
    </w:p>
    <w:p>
      <w:pPr>
        <w:spacing w:after="0" w:line="155"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155CAB"/>
        </w:rPr>
        <w:t xml:space="preserve">Generation, transmission and distribution </w:t>
      </w:r>
      <w:r>
        <w:rPr>
          <w:rFonts w:ascii="Times New Roman" w:cs="Times New Roman" w:eastAsia="Times New Roman" w:hAnsi="Times New Roman"/>
          <w:sz w:val="20"/>
          <w:szCs w:val="20"/>
          <w:color w:val="000000"/>
        </w:rPr>
        <w:t>increased as follows for the three and nine months ended September 30, 2026 compared to the</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same periods in 2025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Three Months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155CAB"/>
              </w:rPr>
              <w:t>Nine Months</w:t>
            </w:r>
          </w:p>
        </w:tc>
      </w:tr>
      <w:tr>
        <w:trPr>
          <w:trHeight w:val="256"/>
        </w:trPr>
        <w:tc>
          <w:tcPr>
            <w:tcW w:w="772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155CAB"/>
              </w:rPr>
              <w:t>Ended</w:t>
            </w:r>
          </w:p>
        </w:tc>
        <w:tc>
          <w:tcPr>
            <w:tcW w:w="16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1520" w:type="dxa"/>
            <w:vAlign w:val="bottom"/>
            <w:tcBorders>
              <w:bottom w:val="single" w:sz="8" w:color="155CAB"/>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155CAB"/>
              </w:rPr>
              <w:t>Ended</w:t>
            </w:r>
          </w:p>
        </w:tc>
      </w:tr>
      <w:tr>
        <w:trPr>
          <w:trHeight w:val="223"/>
        </w:trPr>
        <w:tc>
          <w:tcPr>
            <w:tcW w:w="77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2025</w:t>
            </w:r>
          </w:p>
        </w:tc>
        <w:tc>
          <w:tcPr>
            <w:tcW w:w="12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112</w:t>
            </w:r>
          </w:p>
        </w:tc>
        <w:tc>
          <w:tcPr>
            <w:tcW w:w="32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336</w:t>
            </w:r>
          </w:p>
        </w:tc>
      </w:tr>
      <w:tr>
        <w:trPr>
          <w:trHeight w:val="230"/>
        </w:trPr>
        <w:tc>
          <w:tcPr>
            <w:tcW w:w="7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Generating facility expenses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207"/>
        </w:trPr>
        <w:tc>
          <w:tcPr>
            <w:tcW w:w="7720" w:type="dxa"/>
            <w:vAlign w:val="bottom"/>
            <w:shd w:val="clear" w:color="auto" w:fill="EFEFEF"/>
          </w:tcPr>
          <w:p>
            <w:pPr>
              <w:ind w:left="200"/>
              <w:spacing w:after="0" w:line="207" w:lineRule="exact"/>
              <w:rPr>
                <w:sz w:val="20"/>
                <w:szCs w:val="20"/>
                <w:color w:val="auto"/>
              </w:rPr>
            </w:pPr>
            <w:r>
              <w:rPr>
                <w:rFonts w:ascii="Times New Roman" w:cs="Times New Roman" w:eastAsia="Times New Roman" w:hAnsi="Times New Roman"/>
                <w:sz w:val="20"/>
                <w:szCs w:val="20"/>
                <w:color w:val="auto"/>
              </w:rPr>
              <w:t>Vegetation management, inspection, wildfire mitigation, and distribution maintenance</w:t>
            </w:r>
          </w:p>
        </w:tc>
        <w:tc>
          <w:tcPr>
            <w:tcW w:w="120" w:type="dxa"/>
            <w:vAlign w:val="bottom"/>
            <w:shd w:val="clear" w:color="auto" w:fill="EFEFEF"/>
          </w:tcPr>
          <w:p>
            <w:pPr>
              <w:spacing w:after="0"/>
              <w:rPr>
                <w:sz w:val="17"/>
                <w:szCs w:val="17"/>
                <w:color w:val="auto"/>
              </w:rPr>
            </w:pPr>
          </w:p>
        </w:tc>
        <w:tc>
          <w:tcPr>
            <w:tcW w:w="156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160" w:type="dxa"/>
            <w:vAlign w:val="bottom"/>
            <w:shd w:val="clear" w:color="auto" w:fill="EFEFEF"/>
          </w:tcPr>
          <w:p>
            <w:pPr>
              <w:spacing w:after="0"/>
              <w:rPr>
                <w:sz w:val="17"/>
                <w:szCs w:val="17"/>
                <w:color w:val="auto"/>
              </w:rPr>
            </w:pPr>
          </w:p>
        </w:tc>
        <w:tc>
          <w:tcPr>
            <w:tcW w:w="1520" w:type="dxa"/>
            <w:vAlign w:val="bottom"/>
            <w:shd w:val="clear" w:color="auto" w:fill="EFEFEF"/>
          </w:tcPr>
          <w:p>
            <w:pPr>
              <w:spacing w:after="0"/>
              <w:rPr>
                <w:sz w:val="17"/>
                <w:szCs w:val="17"/>
                <w:color w:val="auto"/>
              </w:rPr>
            </w:pPr>
          </w:p>
        </w:tc>
      </w:tr>
      <w:tr>
        <w:trPr>
          <w:trHeight w:val="252"/>
        </w:trPr>
        <w:tc>
          <w:tcPr>
            <w:tcW w:w="772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expenses</w:t>
            </w:r>
          </w:p>
        </w:tc>
        <w:tc>
          <w:tcPr>
            <w:tcW w:w="120" w:type="dxa"/>
            <w:vAlign w:val="bottom"/>
            <w:shd w:val="clear" w:color="auto" w:fill="EFEFEF"/>
          </w:tcPr>
          <w:p>
            <w:pPr>
              <w:spacing w:after="0"/>
              <w:rPr>
                <w:sz w:val="21"/>
                <w:szCs w:val="21"/>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shd w:val="clear" w:color="auto" w:fill="EFEFEF"/>
          </w:tcPr>
          <w:p>
            <w:pPr>
              <w:spacing w:after="0"/>
              <w:rPr>
                <w:sz w:val="21"/>
                <w:szCs w:val="21"/>
                <w:color w:val="auto"/>
              </w:rPr>
            </w:pPr>
          </w:p>
        </w:tc>
        <w:tc>
          <w:tcPr>
            <w:tcW w:w="160" w:type="dxa"/>
            <w:vAlign w:val="bottom"/>
            <w:shd w:val="clear" w:color="auto" w:fill="EFEFEF"/>
          </w:tcPr>
          <w:p>
            <w:pPr>
              <w:spacing w:after="0"/>
              <w:rPr>
                <w:sz w:val="21"/>
                <w:szCs w:val="21"/>
                <w:color w:val="auto"/>
              </w:rPr>
            </w:pPr>
          </w:p>
        </w:tc>
        <w:tc>
          <w:tcPr>
            <w:tcW w:w="1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7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Service restoration and storm response costs</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772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Business transformation and optimization expenses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7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Energy Storage</w:t>
            </w:r>
          </w:p>
        </w:tc>
        <w:tc>
          <w:tcPr>
            <w:tcW w:w="12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772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Regulatory disallowances</w:t>
            </w: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5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7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Miscellaneous expenses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3"/>
        </w:trPr>
        <w:tc>
          <w:tcPr>
            <w:tcW w:w="772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2026</w:t>
            </w:r>
          </w:p>
        </w:tc>
        <w:tc>
          <w:tcPr>
            <w:tcW w:w="1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115</w:t>
            </w:r>
          </w:p>
        </w:tc>
        <w:tc>
          <w:tcPr>
            <w:tcW w:w="16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337</w:t>
            </w:r>
          </w:p>
        </w:tc>
      </w:tr>
      <w:tr>
        <w:trPr>
          <w:trHeight w:val="223"/>
        </w:trPr>
        <w:tc>
          <w:tcPr>
            <w:tcW w:w="77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Change in Generation, transmission and distribution</w:t>
            </w: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3</w:t>
            </w: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In the table above, for the three and nine months ended September 30, 2026, respectively, $5 million and zero related to wildfire mitigation, $2 million and $1 million related to storm response costs, and $1 million for each of the three and nine months for vegetation management have been offset through customer prices or specific regulatory mechanisms.</w:t>
      </w:r>
    </w:p>
    <w:p>
      <w:pPr>
        <w:spacing w:after="0" w:line="170"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155CAB"/>
        </w:rPr>
        <w:t xml:space="preserve">Administrative and other </w:t>
      </w:r>
      <w:r>
        <w:rPr>
          <w:rFonts w:ascii="Times New Roman" w:cs="Times New Roman" w:eastAsia="Times New Roman" w:hAnsi="Times New Roman"/>
          <w:sz w:val="20"/>
          <w:szCs w:val="20"/>
          <w:color w:val="000000"/>
        </w:rPr>
        <w:t>decreased as follows for the three and nine months ended September 30, 2026 compared to the same periods in</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2025 (in millions):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155CAB"/>
              </w:rPr>
              <w:t>Three Months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155CAB"/>
              </w:rPr>
              <w:t>Nine Months</w:t>
            </w:r>
          </w:p>
        </w:tc>
      </w:tr>
      <w:tr>
        <w:trPr>
          <w:trHeight w:val="256"/>
        </w:trPr>
        <w:tc>
          <w:tcPr>
            <w:tcW w:w="60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Borders>
              <w:bottom w:val="single" w:sz="8" w:color="155CAB"/>
            </w:tcBorders>
          </w:tcPr>
          <w:p>
            <w:pPr>
              <w:spacing w:after="0"/>
              <w:rPr>
                <w:sz w:val="22"/>
                <w:szCs w:val="22"/>
                <w:color w:val="auto"/>
              </w:rPr>
            </w:pPr>
          </w:p>
        </w:tc>
        <w:tc>
          <w:tcPr>
            <w:tcW w:w="1560" w:type="dxa"/>
            <w:vAlign w:val="bottom"/>
            <w:tcBorders>
              <w:bottom w:val="single" w:sz="8" w:color="155CAB"/>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155CAB"/>
              </w:rPr>
              <w:t>Ended</w:t>
            </w:r>
          </w:p>
        </w:tc>
        <w:tc>
          <w:tcPr>
            <w:tcW w:w="160" w:type="dxa"/>
            <w:vAlign w:val="bottom"/>
          </w:tcPr>
          <w:p>
            <w:pPr>
              <w:spacing w:after="0"/>
              <w:rPr>
                <w:sz w:val="22"/>
                <w:szCs w:val="22"/>
                <w:color w:val="auto"/>
              </w:rPr>
            </w:pPr>
          </w:p>
        </w:tc>
        <w:tc>
          <w:tcPr>
            <w:tcW w:w="160" w:type="dxa"/>
            <w:vAlign w:val="bottom"/>
            <w:tcBorders>
              <w:bottom w:val="single" w:sz="8" w:color="155CAB"/>
            </w:tcBorders>
          </w:tcPr>
          <w:p>
            <w:pPr>
              <w:spacing w:after="0"/>
              <w:rPr>
                <w:sz w:val="22"/>
                <w:szCs w:val="22"/>
                <w:color w:val="auto"/>
              </w:rPr>
            </w:pPr>
          </w:p>
        </w:tc>
        <w:tc>
          <w:tcPr>
            <w:tcW w:w="1520" w:type="dxa"/>
            <w:vAlign w:val="bottom"/>
            <w:tcBorders>
              <w:bottom w:val="single" w:sz="8" w:color="155CAB"/>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155CAB"/>
              </w:rPr>
              <w:t>Ended</w:t>
            </w:r>
          </w:p>
        </w:tc>
      </w:tr>
      <w:tr>
        <w:trPr>
          <w:trHeight w:val="223"/>
        </w:trPr>
        <w:tc>
          <w:tcPr>
            <w:tcW w:w="60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September 30, 2025</w:t>
            </w:r>
          </w:p>
        </w:tc>
        <w:tc>
          <w:tcPr>
            <w:tcW w:w="184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99</w:t>
            </w:r>
          </w:p>
        </w:tc>
        <w:tc>
          <w:tcPr>
            <w:tcW w:w="32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291</w:t>
            </w:r>
          </w:p>
        </w:tc>
      </w:tr>
      <w:tr>
        <w:trPr>
          <w:trHeight w:val="229"/>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600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Customer related costs</w:t>
            </w:r>
          </w:p>
        </w:tc>
        <w:tc>
          <w:tcPr>
            <w:tcW w:w="1720" w:type="dxa"/>
            <w:vAlign w:val="bottom"/>
            <w:shd w:val="clear" w:color="auto" w:fill="EFEFEF"/>
          </w:tcPr>
          <w:p>
            <w:pPr>
              <w:spacing w:after="0"/>
              <w:rPr>
                <w:sz w:val="19"/>
                <w:szCs w:val="19"/>
                <w:color w:val="auto"/>
              </w:rPr>
            </w:pPr>
          </w:p>
        </w:tc>
        <w:tc>
          <w:tcPr>
            <w:tcW w:w="120" w:type="dxa"/>
            <w:vAlign w:val="bottom"/>
            <w:shd w:val="clear" w:color="auto" w:fill="EFEFEF"/>
          </w:tcPr>
          <w:p>
            <w:pPr>
              <w:spacing w:after="0"/>
              <w:rPr>
                <w:sz w:val="19"/>
                <w:szCs w:val="19"/>
                <w:color w:val="auto"/>
              </w:rPr>
            </w:pPr>
          </w:p>
        </w:tc>
        <w:tc>
          <w:tcPr>
            <w:tcW w:w="15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1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Business transformation and optimization expenses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6000" w:type="dxa"/>
            <w:vAlign w:val="bottom"/>
            <w:tcBorders>
              <w:bottom w:val="single" w:sz="8" w:color="EFEFEF"/>
            </w:tcBorders>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Miscellaneous expenses</w:t>
            </w:r>
          </w:p>
        </w:tc>
        <w:tc>
          <w:tcPr>
            <w:tcW w:w="1720" w:type="dxa"/>
            <w:vAlign w:val="bottom"/>
            <w:tcBorders>
              <w:bottom w:val="single" w:sz="8" w:color="EFEFEF"/>
            </w:tcBorders>
            <w:shd w:val="clear" w:color="auto" w:fill="EFEFEF"/>
          </w:tcPr>
          <w:p>
            <w:pPr>
              <w:spacing w:after="0"/>
              <w:rPr>
                <w:sz w:val="19"/>
                <w:szCs w:val="19"/>
                <w:color w:val="auto"/>
              </w:rPr>
            </w:pPr>
          </w:p>
        </w:tc>
        <w:tc>
          <w:tcPr>
            <w:tcW w:w="120" w:type="dxa"/>
            <w:vAlign w:val="bottom"/>
            <w:tcBorders>
              <w:bottom w:val="single" w:sz="8" w:color="auto"/>
            </w:tcBorders>
            <w:shd w:val="clear" w:color="auto" w:fill="EFEFEF"/>
          </w:tcPr>
          <w:p>
            <w:pPr>
              <w:spacing w:after="0"/>
              <w:rPr>
                <w:sz w:val="19"/>
                <w:szCs w:val="19"/>
                <w:color w:val="auto"/>
              </w:rPr>
            </w:pPr>
          </w:p>
        </w:tc>
        <w:tc>
          <w:tcPr>
            <w:tcW w:w="15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Borders>
              <w:bottom w:val="single" w:sz="8" w:color="EFEFEF"/>
            </w:tcBorders>
            <w:shd w:val="clear" w:color="auto" w:fill="EFEFEF"/>
          </w:tcPr>
          <w:p>
            <w:pPr>
              <w:spacing w:after="0"/>
              <w:rPr>
                <w:sz w:val="19"/>
                <w:szCs w:val="19"/>
                <w:color w:val="auto"/>
              </w:rPr>
            </w:pPr>
          </w:p>
        </w:tc>
        <w:tc>
          <w:tcPr>
            <w:tcW w:w="160" w:type="dxa"/>
            <w:vAlign w:val="bottom"/>
            <w:tcBorders>
              <w:bottom w:val="single" w:sz="8" w:color="auto"/>
            </w:tcBorders>
            <w:shd w:val="clear" w:color="auto" w:fill="EFEFEF"/>
          </w:tcPr>
          <w:p>
            <w:pPr>
              <w:spacing w:after="0"/>
              <w:rPr>
                <w:sz w:val="19"/>
                <w:szCs w:val="19"/>
                <w:color w:val="auto"/>
              </w:rPr>
            </w:pPr>
          </w:p>
        </w:tc>
        <w:tc>
          <w:tcPr>
            <w:tcW w:w="15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3"/>
        </w:trPr>
        <w:tc>
          <w:tcPr>
            <w:tcW w:w="60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September 30, 2026</w:t>
            </w:r>
          </w:p>
        </w:tc>
        <w:tc>
          <w:tcPr>
            <w:tcW w:w="18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86</w:t>
            </w:r>
          </w:p>
        </w:tc>
        <w:tc>
          <w:tcPr>
            <w:tcW w:w="3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282</w:t>
            </w: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43"/>
        </w:trPr>
        <w:tc>
          <w:tcPr>
            <w:tcW w:w="60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Change in Administrative and other</w:t>
            </w:r>
          </w:p>
        </w:tc>
        <w:tc>
          <w:tcPr>
            <w:tcW w:w="1840" w:type="dxa"/>
            <w:vAlign w:val="bottom"/>
            <w:gridSpan w:val="2"/>
            <w:shd w:val="clear" w:color="auto" w:fill="EFEFE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(13)</w:t>
            </w:r>
          </w:p>
        </w:tc>
        <w:tc>
          <w:tcPr>
            <w:tcW w:w="320" w:type="dxa"/>
            <w:vAlign w:val="bottom"/>
            <w:gridSpan w:val="2"/>
            <w:shd w:val="clear" w:color="auto" w:fill="EFEFE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(9)</w:t>
            </w:r>
          </w:p>
        </w:tc>
      </w:tr>
      <w:tr>
        <w:trPr>
          <w:trHeight w:val="20"/>
        </w:trPr>
        <w:tc>
          <w:tcPr>
            <w:tcW w:w="6000" w:type="dxa"/>
            <w:vAlign w:val="bottom"/>
            <w:tcBorders>
              <w:top w:val="single" w:sz="8" w:color="EFEFEF"/>
            </w:tcBorders>
            <w:shd w:val="clear" w:color="auto" w:fill="EFEFEF"/>
          </w:tcPr>
          <w:p>
            <w:pPr>
              <w:spacing w:after="0" w:line="20" w:lineRule="exact"/>
              <w:rPr>
                <w:sz w:val="1"/>
                <w:szCs w:val="1"/>
                <w:color w:val="auto"/>
              </w:rPr>
            </w:pPr>
          </w:p>
        </w:tc>
        <w:tc>
          <w:tcPr>
            <w:tcW w:w="1720" w:type="dxa"/>
            <w:vAlign w:val="bottom"/>
            <w:tcBorders>
              <w:top w:val="single" w:sz="8" w:color="EFEFEF"/>
            </w:tcBorders>
            <w:shd w:val="clear" w:color="auto" w:fill="EFEFE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FEFEF"/>
            </w:tcBorders>
            <w:shd w:val="clear" w:color="auto" w:fill="EFEFE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-334010</wp:posOffset>
            </wp:positionV>
            <wp:extent cx="1117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In the table above, for both the three and nine months ended September 30, 2026, respectively, ($1) million and ($5) million of the change in customer related costs is due to regulatory programs that have been offset through customer pricing or specific regulatory mechanisms.</w:t>
      </w:r>
    </w:p>
    <w:p>
      <w:pPr>
        <w:spacing w:after="0" w:line="15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155CAB"/>
        </w:rPr>
        <w:t xml:space="preserve">Depreciation and amortization </w:t>
      </w:r>
      <w:r>
        <w:rPr>
          <w:rFonts w:ascii="Times New Roman" w:cs="Times New Roman" w:eastAsia="Times New Roman" w:hAnsi="Times New Roman"/>
          <w:sz w:val="20"/>
          <w:szCs w:val="20"/>
          <w:color w:val="000000"/>
        </w:rPr>
        <w:t>expense decreased $2 million and increased $6 million in the three and nine months ended September 30,</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2026, respectively, compared to the same periods in 2025. The decrease in the three-month period is due to Colstrip being fully depreciated as of December 31, 2025, partially offset by higher utility plant balances and regulatory amortization. The increase in the nine-month period was primarily due to higher utility plant balances and regulatory amortization, partially offset by the decrease in Colstrip deprecation in 2026. Included in expense for the three and nine months ended September 30, 2026 is $2 million and $4 million, respectively, related to business transformation and optimization.</w:t>
      </w:r>
    </w:p>
    <w:p>
      <w:pPr>
        <w:spacing w:after="0" w:line="17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color w:val="155CAB"/>
        </w:rPr>
        <w:t xml:space="preserve">Taxes other than income taxes </w:t>
      </w:r>
      <w:r>
        <w:rPr>
          <w:rFonts w:ascii="Times New Roman" w:cs="Times New Roman" w:eastAsia="Times New Roman" w:hAnsi="Times New Roman"/>
          <w:sz w:val="20"/>
          <w:szCs w:val="20"/>
          <w:color w:val="000000"/>
        </w:rPr>
        <w:t>increased $7 million and $18 million in the three and nine months ended September 30, 2026, respectively,</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compared to the same periods in 2025. The increase was driven by higher property taxes and franchise fees.</w:t>
      </w:r>
    </w:p>
    <w:p>
      <w:pPr>
        <w:spacing w:after="0" w:line="1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b w:val="1"/>
          <w:bCs w:val="1"/>
          <w:color w:val="155CAB"/>
        </w:rPr>
        <w:t xml:space="preserve">Interest expense, net </w:t>
      </w:r>
      <w:r>
        <w:rPr>
          <w:rFonts w:ascii="Times New Roman" w:cs="Times New Roman" w:eastAsia="Times New Roman" w:hAnsi="Times New Roman"/>
          <w:sz w:val="20"/>
          <w:szCs w:val="20"/>
          <w:color w:val="000000"/>
        </w:rPr>
        <w:t>increased $2 million and $10 million in the three and nine months ended September 30, 2026, respectively, compared</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to the same periods in 2025. The increase was primarily due to interest on short and long term debt and business transformation and optimization. Included in expense for the three and nine months ended September 30, 2026 is $2 million and $6 million related to business transformation and optimization.</w:t>
      </w:r>
    </w:p>
    <w:p>
      <w:pPr>
        <w:spacing w:after="0" w:line="176"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20"/>
          <w:szCs w:val="20"/>
          <w:b w:val="1"/>
          <w:bCs w:val="1"/>
          <w:color w:val="155CAB"/>
        </w:rPr>
        <w:t xml:space="preserve">Other income, net </w:t>
      </w:r>
      <w:r>
        <w:rPr>
          <w:rFonts w:ascii="Times New Roman" w:cs="Times New Roman" w:eastAsia="Times New Roman" w:hAnsi="Times New Roman"/>
          <w:sz w:val="20"/>
          <w:szCs w:val="20"/>
          <w:color w:val="000000"/>
        </w:rPr>
        <w:t>increased $4 million and $8 million in the three and nine months ended September 30, 2026, respectively, compared to</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the same periods in 2025. The increase was primarily driven by AFUDC and regulatory asset interest income. Included in expense for the three and nine months ended September 30, 2026, respectively, is zero and $1 million related to regulatory disallowances.</w:t>
      </w:r>
    </w:p>
    <w:p>
      <w:pPr>
        <w:spacing w:after="0" w:line="16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b w:val="1"/>
          <w:bCs w:val="1"/>
          <w:color w:val="155CAB"/>
        </w:rPr>
        <w:t xml:space="preserve">Income tax expense </w:t>
      </w:r>
      <w:r>
        <w:rPr>
          <w:rFonts w:ascii="Times New Roman" w:cs="Times New Roman" w:eastAsia="Times New Roman" w:hAnsi="Times New Roman"/>
          <w:sz w:val="20"/>
          <w:szCs w:val="20"/>
          <w:color w:val="000000"/>
        </w:rPr>
        <w:t>decreased $1 million and $14 million in the three and nine months ended September 30, 2026, respectively, compared</w:t>
      </w:r>
      <w:r>
        <w:rPr>
          <w:rFonts w:ascii="Times New Roman" w:cs="Times New Roman" w:eastAsia="Times New Roman" w:hAnsi="Times New Roman"/>
          <w:sz w:val="20"/>
          <w:szCs w:val="20"/>
          <w:b w:val="1"/>
          <w:bCs w:val="1"/>
          <w:color w:val="155CAB"/>
        </w:rPr>
        <w:t xml:space="preserve"> </w:t>
      </w:r>
      <w:r>
        <w:rPr>
          <w:rFonts w:ascii="Times New Roman" w:cs="Times New Roman" w:eastAsia="Times New Roman" w:hAnsi="Times New Roman"/>
          <w:sz w:val="20"/>
          <w:szCs w:val="20"/>
          <w:color w:val="000000"/>
        </w:rPr>
        <w:t>to the same periods in 2025. The decreases were primarily driven by lower pre-tax income.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Critical Accounting Policies and Estimates</w:t>
      </w:r>
    </w:p>
    <w:p>
      <w:pPr>
        <w:spacing w:after="0" w:line="112"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to the Company’s critical accounting policies and estimates as previously disclosed in Item 7 of the Company’s Annual Report on Form 10-K for the year ended December 31, 2025, filed with the SEC on February 17,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LIQUIDITY AND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0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PGE’s access to short-term debt markets, including revolving credit from banks, helps provide necessary liquidity to support the Company’s current operating activities, including the purchase of power and fuel. Long-term capital requirements are driven largely by capital expenditures for distribution, transmission, and generation facilities to support both new and existing customers, repairs from major storm damage, information technology systems, and debt refinancing activities. PGE’s liquidity and capital requirements can also be significantly affected by other working capital needs,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including margin deposit requirements related to wholesale market activities, which can vary depending upon the Company’s forward positions and the corresponding price curves.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summarizes PGE’s cash flows for the periods presented (in millions):</w:t>
            </w: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439"/>
        </w:trPr>
        <w:tc>
          <w:tcPr>
            <w:tcW w:w="7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Borders>
              <w:bottom w:val="single" w:sz="8" w:color="155CAB"/>
            </w:tcBorders>
            <w:gridSpan w:val="5"/>
          </w:tcPr>
          <w:p>
            <w:pPr>
              <w:jc w:val="right"/>
              <w:ind w:right="241"/>
              <w:spacing w:after="0"/>
              <w:rPr>
                <w:sz w:val="20"/>
                <w:szCs w:val="20"/>
                <w:color w:val="auto"/>
              </w:rPr>
            </w:pPr>
            <w:r>
              <w:rPr>
                <w:rFonts w:ascii="Times New Roman" w:cs="Times New Roman" w:eastAsia="Times New Roman" w:hAnsi="Times New Roman"/>
                <w:sz w:val="20"/>
                <w:szCs w:val="20"/>
                <w:b w:val="1"/>
                <w:bCs w:val="1"/>
                <w:color w:val="155CAB"/>
              </w:rPr>
              <w:t>Nine Months Ended September 30,</w:t>
            </w:r>
          </w:p>
        </w:tc>
      </w:tr>
      <w:tr>
        <w:trPr>
          <w:trHeight w:val="223"/>
        </w:trPr>
        <w:tc>
          <w:tcPr>
            <w:tcW w:w="7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bottom w:val="single" w:sz="8" w:color="155CAB"/>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55CAB"/>
              </w:rPr>
              <w:t>2026</w:t>
            </w:r>
          </w:p>
        </w:tc>
        <w:tc>
          <w:tcPr>
            <w:tcW w:w="680" w:type="dxa"/>
            <w:vAlign w:val="bottom"/>
            <w:tcBorders>
              <w:bottom w:val="single" w:sz="8" w:color="155CAB"/>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155CAB"/>
            </w:tcBorders>
          </w:tcPr>
          <w:p>
            <w:pPr>
              <w:spacing w:after="0"/>
              <w:rPr>
                <w:sz w:val="19"/>
                <w:szCs w:val="19"/>
                <w:color w:val="auto"/>
              </w:rPr>
            </w:pPr>
          </w:p>
        </w:tc>
        <w:tc>
          <w:tcPr>
            <w:tcW w:w="1340" w:type="dxa"/>
            <w:vAlign w:val="bottom"/>
            <w:tcBorders>
              <w:bottom w:val="single" w:sz="8" w:color="155CAB"/>
            </w:tcBorders>
          </w:tcPr>
          <w:p>
            <w:pPr>
              <w:jc w:val="right"/>
              <w:ind w:right="601"/>
              <w:spacing w:after="0" w:line="223" w:lineRule="exact"/>
              <w:rPr>
                <w:sz w:val="20"/>
                <w:szCs w:val="20"/>
                <w:color w:val="auto"/>
              </w:rPr>
            </w:pPr>
            <w:r>
              <w:rPr>
                <w:rFonts w:ascii="Times New Roman" w:cs="Times New Roman" w:eastAsia="Times New Roman" w:hAnsi="Times New Roman"/>
                <w:sz w:val="20"/>
                <w:szCs w:val="20"/>
                <w:b w:val="1"/>
                <w:bCs w:val="1"/>
                <w:color w:val="155CAB"/>
              </w:rPr>
              <w:t>2025</w:t>
            </w:r>
          </w:p>
        </w:tc>
      </w:tr>
      <w:tr>
        <w:trPr>
          <w:trHeight w:val="223"/>
        </w:trPr>
        <w:tc>
          <w:tcPr>
            <w:tcW w:w="72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Cash and cash equivalents, beginning of period</w:t>
            </w:r>
          </w:p>
        </w:tc>
        <w:tc>
          <w:tcPr>
            <w:tcW w:w="1520" w:type="dxa"/>
            <w:vAlign w:val="bottom"/>
            <w:gridSpan w:val="2"/>
            <w:shd w:val="clear" w:color="auto" w:fill="EFEFEF"/>
          </w:tcPr>
          <w:p>
            <w:pPr>
              <w:jc w:val="right"/>
              <w:ind w:right="8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76</w:t>
            </w:r>
          </w:p>
        </w:tc>
        <w:tc>
          <w:tcPr>
            <w:tcW w:w="500" w:type="dxa"/>
            <w:vAlign w:val="bottom"/>
            <w:gridSpan w:val="2"/>
            <w:shd w:val="clear" w:color="auto" w:fill="EFEFEF"/>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12</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20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Operating activities</w:t>
            </w:r>
          </w:p>
        </w:tc>
        <w:tc>
          <w:tcPr>
            <w:tcW w:w="520" w:type="dxa"/>
            <w:vAlign w:val="bottom"/>
            <w:shd w:val="clear" w:color="auto" w:fill="EFEFEF"/>
          </w:tcPr>
          <w:p>
            <w:pPr>
              <w:spacing w:after="0"/>
              <w:rPr>
                <w:sz w:val="19"/>
                <w:szCs w:val="19"/>
                <w:color w:val="auto"/>
              </w:rPr>
            </w:pPr>
          </w:p>
        </w:tc>
        <w:tc>
          <w:tcPr>
            <w:tcW w:w="1000" w:type="dxa"/>
            <w:vAlign w:val="bottom"/>
            <w:shd w:val="clear" w:color="auto" w:fill="EFEFEF"/>
          </w:tcPr>
          <w:p>
            <w:pPr>
              <w:spacing w:after="0"/>
              <w:rPr>
                <w:sz w:val="19"/>
                <w:szCs w:val="19"/>
                <w:color w:val="auto"/>
              </w:rPr>
            </w:pPr>
          </w:p>
        </w:tc>
        <w:tc>
          <w:tcPr>
            <w:tcW w:w="68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811</w:t>
            </w:r>
          </w:p>
        </w:tc>
        <w:tc>
          <w:tcPr>
            <w:tcW w:w="160" w:type="dxa"/>
            <w:vAlign w:val="bottom"/>
            <w:shd w:val="clear" w:color="auto" w:fill="EFEFEF"/>
          </w:tcPr>
          <w:p>
            <w:pPr>
              <w:spacing w:after="0"/>
              <w:rPr>
                <w:sz w:val="19"/>
                <w:szCs w:val="19"/>
                <w:color w:val="auto"/>
              </w:rPr>
            </w:pPr>
          </w:p>
        </w:tc>
        <w:tc>
          <w:tcPr>
            <w:tcW w:w="340" w:type="dxa"/>
            <w:vAlign w:val="bottom"/>
            <w:shd w:val="clear" w:color="auto" w:fill="EFEFEF"/>
          </w:tcPr>
          <w:p>
            <w:pPr>
              <w:spacing w:after="0"/>
              <w:rPr>
                <w:sz w:val="19"/>
                <w:szCs w:val="19"/>
                <w:color w:val="auto"/>
              </w:rPr>
            </w:pPr>
          </w:p>
        </w:tc>
        <w:tc>
          <w:tcPr>
            <w:tcW w:w="13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970</w:t>
            </w: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Investing activities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w:t>
            </w:r>
          </w:p>
        </w:tc>
      </w:tr>
      <w:tr>
        <w:trPr>
          <w:trHeight w:val="229"/>
        </w:trPr>
        <w:tc>
          <w:tcPr>
            <w:tcW w:w="7200" w:type="dxa"/>
            <w:vAlign w:val="bottom"/>
            <w:tcBorders>
              <w:bottom w:val="single" w:sz="8" w:color="EFEFEF"/>
            </w:tcBorders>
            <w:shd w:val="clear" w:color="auto" w:fill="EFEFEF"/>
          </w:tcPr>
          <w:p>
            <w:pPr>
              <w:ind w:left="200"/>
              <w:spacing w:after="0"/>
              <w:rPr>
                <w:sz w:val="20"/>
                <w:szCs w:val="20"/>
                <w:color w:val="auto"/>
              </w:rPr>
            </w:pPr>
            <w:r>
              <w:rPr>
                <w:rFonts w:ascii="Times New Roman" w:cs="Times New Roman" w:eastAsia="Times New Roman" w:hAnsi="Times New Roman"/>
                <w:sz w:val="20"/>
                <w:szCs w:val="20"/>
                <w:color w:val="auto"/>
              </w:rPr>
              <w:t>Financing activities</w:t>
            </w:r>
          </w:p>
        </w:tc>
        <w:tc>
          <w:tcPr>
            <w:tcW w:w="520" w:type="dxa"/>
            <w:vAlign w:val="bottom"/>
            <w:tcBorders>
              <w:bottom w:val="single" w:sz="8" w:color="EFEFEF"/>
            </w:tcBorders>
            <w:shd w:val="clear" w:color="auto" w:fill="EFEFEF"/>
          </w:tcPr>
          <w:p>
            <w:pPr>
              <w:spacing w:after="0"/>
              <w:rPr>
                <w:sz w:val="19"/>
                <w:szCs w:val="19"/>
                <w:color w:val="auto"/>
              </w:rPr>
            </w:pPr>
          </w:p>
        </w:tc>
        <w:tc>
          <w:tcPr>
            <w:tcW w:w="1000" w:type="dxa"/>
            <w:vAlign w:val="bottom"/>
            <w:tcBorders>
              <w:bottom w:val="single" w:sz="8" w:color="auto"/>
            </w:tcBorders>
            <w:shd w:val="clear" w:color="auto" w:fill="EFEFEF"/>
          </w:tcPr>
          <w:p>
            <w:pPr>
              <w:spacing w:after="0"/>
              <w:rPr>
                <w:sz w:val="19"/>
                <w:szCs w:val="19"/>
                <w:color w:val="auto"/>
              </w:rPr>
            </w:pPr>
          </w:p>
        </w:tc>
        <w:tc>
          <w:tcPr>
            <w:tcW w:w="680" w:type="dxa"/>
            <w:vAlign w:val="bottom"/>
            <w:tcBorders>
              <w:bottom w:val="single" w:sz="8" w:color="auto"/>
            </w:tcBorders>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285</w:t>
            </w:r>
          </w:p>
        </w:tc>
        <w:tc>
          <w:tcPr>
            <w:tcW w:w="160" w:type="dxa"/>
            <w:vAlign w:val="bottom"/>
            <w:tcBorders>
              <w:bottom w:val="single" w:sz="8" w:color="EFEFEF"/>
            </w:tcBorders>
            <w:shd w:val="clear" w:color="auto" w:fill="EFEFEF"/>
          </w:tcPr>
          <w:p>
            <w:pPr>
              <w:spacing w:after="0"/>
              <w:rPr>
                <w:sz w:val="19"/>
                <w:szCs w:val="19"/>
                <w:color w:val="auto"/>
              </w:rPr>
            </w:pPr>
          </w:p>
        </w:tc>
        <w:tc>
          <w:tcPr>
            <w:tcW w:w="340" w:type="dxa"/>
            <w:vAlign w:val="bottom"/>
            <w:tcBorders>
              <w:bottom w:val="single" w:sz="8" w:color="auto"/>
            </w:tcBorders>
            <w:shd w:val="clear" w:color="auto" w:fill="EFEFEF"/>
          </w:tcPr>
          <w:p>
            <w:pPr>
              <w:spacing w:after="0"/>
              <w:rPr>
                <w:sz w:val="19"/>
                <w:szCs w:val="19"/>
                <w:color w:val="auto"/>
              </w:rPr>
            </w:pPr>
          </w:p>
        </w:tc>
        <w:tc>
          <w:tcPr>
            <w:tcW w:w="13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71</w:t>
            </w:r>
          </w:p>
        </w:tc>
      </w:tr>
      <w:tr>
        <w:trPr>
          <w:trHeight w:val="223"/>
        </w:trPr>
        <w:tc>
          <w:tcPr>
            <w:tcW w:w="72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Change in cash and cash equivalents</w:t>
            </w:r>
          </w:p>
        </w:tc>
        <w:tc>
          <w:tcPr>
            <w:tcW w:w="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125</w:t>
            </w:r>
          </w:p>
        </w:tc>
      </w:tr>
      <w:tr>
        <w:trPr>
          <w:trHeight w:val="243"/>
        </w:trPr>
        <w:tc>
          <w:tcPr>
            <w:tcW w:w="720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Cash and cash equivalents, end of period</w:t>
            </w:r>
          </w:p>
        </w:tc>
        <w:tc>
          <w:tcPr>
            <w:tcW w:w="1520" w:type="dxa"/>
            <w:vAlign w:val="bottom"/>
            <w:gridSpan w:val="2"/>
            <w:shd w:val="clear" w:color="auto" w:fill="EFEFEF"/>
          </w:tcPr>
          <w:p>
            <w:pPr>
              <w:jc w:val="right"/>
              <w:ind w:right="8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FEFE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500" w:type="dxa"/>
            <w:vAlign w:val="bottom"/>
            <w:gridSpan w:val="2"/>
            <w:shd w:val="clear" w:color="auto" w:fill="EFEFEF"/>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137</w:t>
            </w:r>
          </w:p>
        </w:tc>
      </w:tr>
      <w:tr>
        <w:trPr>
          <w:trHeight w:val="20"/>
        </w:trPr>
        <w:tc>
          <w:tcPr>
            <w:tcW w:w="7200" w:type="dxa"/>
            <w:vAlign w:val="bottom"/>
            <w:tcBorders>
              <w:top w:val="single" w:sz="8" w:color="EFEFEF"/>
            </w:tcBorders>
            <w:shd w:val="clear" w:color="auto" w:fill="EFEFEF"/>
          </w:tcPr>
          <w:p>
            <w:pPr>
              <w:spacing w:after="0" w:line="20" w:lineRule="exact"/>
              <w:rPr>
                <w:sz w:val="1"/>
                <w:szCs w:val="1"/>
                <w:color w:val="auto"/>
              </w:rPr>
            </w:pPr>
          </w:p>
        </w:tc>
        <w:tc>
          <w:tcPr>
            <w:tcW w:w="520" w:type="dxa"/>
            <w:vAlign w:val="bottom"/>
            <w:tcBorders>
              <w:top w:val="single" w:sz="8" w:color="EFEFEF"/>
            </w:tcBorders>
            <w:shd w:val="clear" w:color="auto" w:fill="EFEFE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FEFEF"/>
            </w:tcBorders>
            <w:shd w:val="clear" w:color="auto" w:fill="EFEFE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-334010</wp:posOffset>
            </wp:positionV>
            <wp:extent cx="1117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9"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b w:val="1"/>
          <w:bCs w:val="1"/>
          <w:color w:val="auto"/>
        </w:rPr>
        <w:t>Cash Flows from Operating Activities—</w:t>
      </w:r>
      <w:r>
        <w:rPr>
          <w:rFonts w:ascii="Times New Roman" w:cs="Times New Roman" w:eastAsia="Times New Roman" w:hAnsi="Times New Roman"/>
          <w:sz w:val="20"/>
          <w:szCs w:val="20"/>
          <w:color w:val="auto"/>
        </w:rPr>
        <w:t>Cash flows from operating activities are generally determined by the amount and timing of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from customers and payments made to vendors, as well as the nature and amount of non-cash items, including depreciation and amortization, deferred income taxes, and pension and other postretirement benefit costs included in net income during a given period. The following items contributed to the net change in cash flows from operations for the nine months ended September 30, 2026 compared with the nine months ended September 30, 2025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155CAB"/>
              </w:rPr>
              <w:t>Increase/</w:t>
            </w:r>
          </w:p>
        </w:tc>
      </w:tr>
      <w:tr>
        <w:trPr>
          <w:trHeight w:val="256"/>
        </w:trPr>
        <w:tc>
          <w:tcPr>
            <w:tcW w:w="63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00" w:type="dxa"/>
            <w:vAlign w:val="bottom"/>
            <w:tcBorders>
              <w:bottom w:val="single" w:sz="8" w:color="155CAB"/>
            </w:tcBorders>
          </w:tcPr>
          <w:p>
            <w:pPr>
              <w:spacing w:after="0"/>
              <w:rPr>
                <w:sz w:val="22"/>
                <w:szCs w:val="22"/>
                <w:color w:val="auto"/>
              </w:rPr>
            </w:pPr>
          </w:p>
        </w:tc>
        <w:tc>
          <w:tcPr>
            <w:tcW w:w="1720" w:type="dxa"/>
            <w:vAlign w:val="bottom"/>
            <w:tcBorders>
              <w:bottom w:val="single" w:sz="8" w:color="155CAB"/>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155CAB"/>
              </w:rPr>
              <w:t>(Decrease)</w:t>
            </w:r>
          </w:p>
        </w:tc>
      </w:tr>
      <w:tr>
        <w:trPr>
          <w:trHeight w:val="223"/>
        </w:trPr>
        <w:tc>
          <w:tcPr>
            <w:tcW w:w="632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Net income</w:t>
            </w:r>
          </w:p>
        </w:tc>
        <w:tc>
          <w:tcPr>
            <w:tcW w:w="3200" w:type="dxa"/>
            <w:vAlign w:val="bottom"/>
            <w:gridSpan w:val="2"/>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(33)</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and Unbilled revenue</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632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Margin deposits activity</w:t>
            </w:r>
          </w:p>
        </w:tc>
        <w:tc>
          <w:tcPr>
            <w:tcW w:w="29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17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632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Regulatory deferral activity</w:t>
            </w:r>
          </w:p>
        </w:tc>
        <w:tc>
          <w:tcPr>
            <w:tcW w:w="29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1720" w:type="dxa"/>
            <w:vAlign w:val="bottom"/>
            <w:shd w:val="clear" w:color="auto" w:fill="EFEFEF"/>
          </w:tcPr>
          <w:p>
            <w:pPr>
              <w:jc w:val="right"/>
              <w:ind w:right="41"/>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w:t>
            </w:r>
          </w:p>
        </w:tc>
      </w:tr>
      <w:tr>
        <w:trPr>
          <w:trHeight w:val="229"/>
        </w:trPr>
        <w:tc>
          <w:tcPr>
            <w:tcW w:w="632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29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17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Tax credit sales</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30"/>
        </w:trPr>
        <w:tc>
          <w:tcPr>
            <w:tcW w:w="632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Alternative revenue programs</w:t>
            </w:r>
          </w:p>
        </w:tc>
        <w:tc>
          <w:tcPr>
            <w:tcW w:w="2900" w:type="dxa"/>
            <w:vAlign w:val="bottom"/>
            <w:shd w:val="clear" w:color="auto" w:fill="EFEFEF"/>
          </w:tcPr>
          <w:p>
            <w:pPr>
              <w:spacing w:after="0"/>
              <w:rPr>
                <w:sz w:val="19"/>
                <w:szCs w:val="19"/>
                <w:color w:val="auto"/>
              </w:rPr>
            </w:pPr>
          </w:p>
        </w:tc>
        <w:tc>
          <w:tcPr>
            <w:tcW w:w="300" w:type="dxa"/>
            <w:vAlign w:val="bottom"/>
            <w:shd w:val="clear" w:color="auto" w:fill="EFEFEF"/>
          </w:tcPr>
          <w:p>
            <w:pPr>
              <w:spacing w:after="0"/>
              <w:rPr>
                <w:sz w:val="19"/>
                <w:szCs w:val="19"/>
                <w:color w:val="auto"/>
              </w:rPr>
            </w:pPr>
          </w:p>
        </w:tc>
        <w:tc>
          <w:tcPr>
            <w:tcW w:w="17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Other miscellaneous changes</w:t>
            </w:r>
          </w:p>
        </w:tc>
        <w:tc>
          <w:tcPr>
            <w:tcW w:w="2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63"/>
        </w:trPr>
        <w:tc>
          <w:tcPr>
            <w:tcW w:w="6320" w:type="dxa"/>
            <w:vAlign w:val="bottom"/>
            <w:tcBorders>
              <w:bottom w:val="single" w:sz="8" w:color="EFEFEF"/>
            </w:tcBorders>
            <w:shd w:val="clear" w:color="auto" w:fill="EFEFE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Net change in cash flow from operations</w:t>
            </w:r>
          </w:p>
        </w:tc>
        <w:tc>
          <w:tcPr>
            <w:tcW w:w="2900" w:type="dxa"/>
            <w:vAlign w:val="bottom"/>
            <w:tcBorders>
              <w:bottom w:val="single" w:sz="8" w:color="EFEFEF"/>
            </w:tcBorders>
            <w:shd w:val="clear" w:color="auto" w:fill="EFEFEF"/>
          </w:tcPr>
          <w:p>
            <w:pPr>
              <w:spacing w:after="0"/>
              <w:rPr>
                <w:sz w:val="22"/>
                <w:szCs w:val="22"/>
                <w:color w:val="auto"/>
              </w:rPr>
            </w:pPr>
          </w:p>
        </w:tc>
        <w:tc>
          <w:tcPr>
            <w:tcW w:w="300" w:type="dxa"/>
            <w:vAlign w:val="bottom"/>
            <w:tcBorders>
              <w:bottom w:val="single" w:sz="8" w:color="auto"/>
            </w:tcBorders>
            <w:shd w:val="clear" w:color="auto" w:fill="EFEFEF"/>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Borders>
              <w:bottom w:val="single" w:sz="8" w:color="auto"/>
            </w:tcBorders>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(159)</w:t>
            </w:r>
          </w:p>
        </w:tc>
      </w:tr>
    </w:tbl>
    <w:p>
      <w:pPr>
        <w:spacing w:after="0" w:line="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PGE estimates that non-cash charges for depreciation and amortization in 2026 will range from $570 million to $590 million. Combined with other sources, total cash expected to be provided by operations is estimated to range from $950 million to $1.15 billion.</w:t>
      </w:r>
    </w:p>
    <w:p>
      <w:pPr>
        <w:spacing w:after="0" w:line="11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b w:val="1"/>
          <w:bCs w:val="1"/>
          <w:color w:val="auto"/>
        </w:rPr>
        <w:t>Cash Flows from Investing Activities—</w:t>
      </w:r>
      <w:r>
        <w:rPr>
          <w:rFonts w:ascii="Times New Roman" w:cs="Times New Roman" w:eastAsia="Times New Roman" w:hAnsi="Times New Roman"/>
          <w:sz w:val="20"/>
          <w:szCs w:val="20"/>
          <w:color w:val="auto"/>
        </w:rPr>
        <w:t>Net cash used in investing activities for the nine months ended September 30, 2026 increased $187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when compared with the nine months ended September 30, 2025. Cash flows used in investing activities consist primarily of capital expenditures related to new construction and improvements to PGE’s distribution, transmission, and generation facilities, which increased $186 million.</w:t>
      </w:r>
    </w:p>
    <w:p>
      <w:pPr>
        <w:spacing w:after="0" w:line="153"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Excluding AFUDC, the Company plans to make capital expenditures of $1.6 billion in 2026, which it expects to fund with cash to be generated from operations during 2026, as discussed above, the issuance of short- and long-term debt, and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issuances of shares pursuant to the equity forward sale agreement and at-the-market offering programs. For additional information, see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Equity Financings” </w:t>
      </w:r>
      <w:r>
        <w:rPr>
          <w:rFonts w:ascii="Times New Roman" w:cs="Times New Roman" w:eastAsia="Times New Roman" w:hAnsi="Times New Roman"/>
          <w:sz w:val="20"/>
          <w:szCs w:val="20"/>
          <w:color w:val="auto"/>
        </w:rPr>
        <w:t>in this Liquidity and Capital Resources section of Item 2.</w:t>
      </w:r>
    </w:p>
    <w:p>
      <w:pPr>
        <w:spacing w:after="0" w:line="12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9"/>
          <w:szCs w:val="19"/>
          <w:b w:val="1"/>
          <w:bCs w:val="1"/>
          <w:color w:val="auto"/>
        </w:rPr>
        <w:t>Cash Flows from Financing Activities—</w:t>
      </w:r>
      <w:r>
        <w:rPr>
          <w:rFonts w:ascii="Times New Roman" w:cs="Times New Roman" w:eastAsia="Times New Roman" w:hAnsi="Times New Roman"/>
          <w:sz w:val="19"/>
          <w:szCs w:val="19"/>
          <w:color w:val="auto"/>
        </w:rPr>
        <w:t>During the nine months ended September 30, 2026, net cash provided by financing activities was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primarily the result of $350 million in proceeds from the 24-month credit agreement and $156 million in proceeds from the issuance of common stock pursuant to the equity forward sale agreement (EFSA). This was partially offset by the payment of $184 million of dividends.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PGE’s estimated capital expenditures and contractual maturities of long-term debt for 2026 through 2030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2026, excluding AFUDC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Borders>
              <w:bottom w:val="single" w:sz="8" w:color="155CAB"/>
            </w:tcBorders>
          </w:tcPr>
          <w:p>
            <w:pPr>
              <w:spacing w:after="0"/>
              <w:rPr>
                <w:sz w:val="22"/>
                <w:szCs w:val="22"/>
                <w:color w:val="auto"/>
              </w:rPr>
            </w:pPr>
          </w:p>
        </w:tc>
        <w:tc>
          <w:tcPr>
            <w:tcW w:w="940" w:type="dxa"/>
            <w:vAlign w:val="bottom"/>
            <w:tcBorders>
              <w:bottom w:val="single" w:sz="8" w:color="155CAB"/>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155CAB"/>
              </w:rPr>
              <w:t>2026</w:t>
            </w:r>
          </w:p>
        </w:tc>
        <w:tc>
          <w:tcPr>
            <w:tcW w:w="120" w:type="dxa"/>
            <w:vAlign w:val="bottom"/>
          </w:tcPr>
          <w:p>
            <w:pPr>
              <w:spacing w:after="0"/>
              <w:rPr>
                <w:sz w:val="22"/>
                <w:szCs w:val="22"/>
                <w:color w:val="auto"/>
              </w:rPr>
            </w:pPr>
          </w:p>
        </w:tc>
        <w:tc>
          <w:tcPr>
            <w:tcW w:w="200" w:type="dxa"/>
            <w:vAlign w:val="bottom"/>
            <w:tcBorders>
              <w:bottom w:val="single" w:sz="8" w:color="155CAB"/>
            </w:tcBorders>
          </w:tcPr>
          <w:p>
            <w:pPr>
              <w:spacing w:after="0"/>
              <w:rPr>
                <w:sz w:val="22"/>
                <w:szCs w:val="22"/>
                <w:color w:val="auto"/>
              </w:rPr>
            </w:pPr>
          </w:p>
        </w:tc>
        <w:tc>
          <w:tcPr>
            <w:tcW w:w="920" w:type="dxa"/>
            <w:vAlign w:val="bottom"/>
            <w:tcBorders>
              <w:bottom w:val="single" w:sz="8" w:color="155CAB"/>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155CAB"/>
              </w:rPr>
              <w:t>2027</w:t>
            </w:r>
          </w:p>
        </w:tc>
        <w:tc>
          <w:tcPr>
            <w:tcW w:w="100" w:type="dxa"/>
            <w:vAlign w:val="bottom"/>
          </w:tcPr>
          <w:p>
            <w:pPr>
              <w:spacing w:after="0"/>
              <w:rPr>
                <w:sz w:val="22"/>
                <w:szCs w:val="22"/>
                <w:color w:val="auto"/>
              </w:rPr>
            </w:pPr>
          </w:p>
        </w:tc>
        <w:tc>
          <w:tcPr>
            <w:tcW w:w="200" w:type="dxa"/>
            <w:vAlign w:val="bottom"/>
            <w:tcBorders>
              <w:bottom w:val="single" w:sz="8" w:color="155CAB"/>
            </w:tcBorders>
          </w:tcPr>
          <w:p>
            <w:pPr>
              <w:spacing w:after="0"/>
              <w:rPr>
                <w:sz w:val="22"/>
                <w:szCs w:val="22"/>
                <w:color w:val="auto"/>
              </w:rPr>
            </w:pPr>
          </w:p>
        </w:tc>
        <w:tc>
          <w:tcPr>
            <w:tcW w:w="920" w:type="dxa"/>
            <w:vAlign w:val="bottom"/>
            <w:tcBorders>
              <w:bottom w:val="single" w:sz="8" w:color="155CAB"/>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155CAB"/>
              </w:rPr>
              <w:t>2028</w:t>
            </w:r>
          </w:p>
        </w:tc>
        <w:tc>
          <w:tcPr>
            <w:tcW w:w="120" w:type="dxa"/>
            <w:vAlign w:val="bottom"/>
          </w:tcPr>
          <w:p>
            <w:pPr>
              <w:spacing w:after="0"/>
              <w:rPr>
                <w:sz w:val="22"/>
                <w:szCs w:val="22"/>
                <w:color w:val="auto"/>
              </w:rPr>
            </w:pPr>
          </w:p>
        </w:tc>
        <w:tc>
          <w:tcPr>
            <w:tcW w:w="200" w:type="dxa"/>
            <w:vAlign w:val="bottom"/>
            <w:tcBorders>
              <w:bottom w:val="single" w:sz="8" w:color="155CAB"/>
            </w:tcBorders>
          </w:tcPr>
          <w:p>
            <w:pPr>
              <w:spacing w:after="0"/>
              <w:rPr>
                <w:sz w:val="22"/>
                <w:szCs w:val="22"/>
                <w:color w:val="auto"/>
              </w:rPr>
            </w:pPr>
          </w:p>
        </w:tc>
        <w:tc>
          <w:tcPr>
            <w:tcW w:w="920" w:type="dxa"/>
            <w:vAlign w:val="bottom"/>
            <w:tcBorders>
              <w:bottom w:val="single" w:sz="8" w:color="155CAB"/>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155CAB"/>
              </w:rPr>
              <w:t>2029</w:t>
            </w:r>
          </w:p>
        </w:tc>
        <w:tc>
          <w:tcPr>
            <w:tcW w:w="100" w:type="dxa"/>
            <w:vAlign w:val="bottom"/>
          </w:tcPr>
          <w:p>
            <w:pPr>
              <w:spacing w:after="0"/>
              <w:rPr>
                <w:sz w:val="22"/>
                <w:szCs w:val="22"/>
                <w:color w:val="auto"/>
              </w:rPr>
            </w:pPr>
          </w:p>
        </w:tc>
        <w:tc>
          <w:tcPr>
            <w:tcW w:w="200" w:type="dxa"/>
            <w:vAlign w:val="bottom"/>
            <w:tcBorders>
              <w:bottom w:val="single" w:sz="8" w:color="155CAB"/>
            </w:tcBorders>
          </w:tcPr>
          <w:p>
            <w:pPr>
              <w:spacing w:after="0"/>
              <w:rPr>
                <w:sz w:val="22"/>
                <w:szCs w:val="22"/>
                <w:color w:val="auto"/>
              </w:rPr>
            </w:pPr>
          </w:p>
        </w:tc>
        <w:tc>
          <w:tcPr>
            <w:tcW w:w="920" w:type="dxa"/>
            <w:vAlign w:val="bottom"/>
            <w:tcBorders>
              <w:bottom w:val="single" w:sz="8" w:color="155CAB"/>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155CAB"/>
              </w:rPr>
              <w:t>2030</w:t>
            </w:r>
          </w:p>
        </w:tc>
      </w:tr>
      <w:tr>
        <w:trPr>
          <w:trHeight w:val="236"/>
        </w:trPr>
        <w:tc>
          <w:tcPr>
            <w:tcW w:w="3860" w:type="dxa"/>
            <w:vAlign w:val="bottom"/>
            <w:shd w:val="clear" w:color="auto" w:fill="EFEFEF"/>
          </w:tcPr>
          <w:p>
            <w:pPr>
              <w:spacing w:after="0" w:line="236" w:lineRule="exact"/>
              <w:rPr>
                <w:sz w:val="20"/>
                <w:szCs w:val="20"/>
                <w:color w:val="auto"/>
              </w:rPr>
            </w:pPr>
            <w:r>
              <w:rPr>
                <w:rFonts w:ascii="Times New Roman" w:cs="Times New Roman" w:eastAsia="Times New Roman" w:hAnsi="Times New Roman"/>
                <w:sz w:val="20"/>
                <w:szCs w:val="20"/>
                <w:color w:val="auto"/>
              </w:rPr>
              <w:t xml:space="preserve">Ongoing capital expenditures </w:t>
            </w:r>
            <w:r>
              <w:rPr>
                <w:rFonts w:ascii="Times New Roman" w:cs="Times New Roman" w:eastAsia="Times New Roman" w:hAnsi="Times New Roman"/>
                <w:sz w:val="26"/>
                <w:szCs w:val="26"/>
                <w:color w:val="auto"/>
                <w:vertAlign w:val="superscript"/>
              </w:rPr>
              <w:t>(1)</w:t>
            </w:r>
          </w:p>
        </w:tc>
        <w:tc>
          <w:tcPr>
            <w:tcW w:w="1520" w:type="dxa"/>
            <w:vAlign w:val="bottom"/>
            <w:gridSpan w:val="2"/>
            <w:shd w:val="clear" w:color="auto" w:fill="EFEFE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805</w:t>
            </w:r>
          </w:p>
        </w:tc>
        <w:tc>
          <w:tcPr>
            <w:tcW w:w="320" w:type="dxa"/>
            <w:vAlign w:val="bottom"/>
            <w:gridSpan w:val="2"/>
            <w:shd w:val="clear" w:color="auto" w:fill="EFEFE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895</w:t>
            </w:r>
          </w:p>
        </w:tc>
        <w:tc>
          <w:tcPr>
            <w:tcW w:w="300" w:type="dxa"/>
            <w:vAlign w:val="bottom"/>
            <w:gridSpan w:val="2"/>
            <w:shd w:val="clear" w:color="auto" w:fill="EFEFE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925</w:t>
            </w:r>
          </w:p>
        </w:tc>
        <w:tc>
          <w:tcPr>
            <w:tcW w:w="320" w:type="dxa"/>
            <w:vAlign w:val="bottom"/>
            <w:gridSpan w:val="2"/>
            <w:shd w:val="clear" w:color="auto" w:fill="EFEFE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925</w:t>
            </w:r>
          </w:p>
        </w:tc>
        <w:tc>
          <w:tcPr>
            <w:tcW w:w="300" w:type="dxa"/>
            <w:vAlign w:val="bottom"/>
            <w:gridSpan w:val="2"/>
            <w:shd w:val="clear" w:color="auto" w:fill="EFEFE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925</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Transmission</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525</w:t>
            </w:r>
          </w:p>
        </w:tc>
      </w:tr>
      <w:tr>
        <w:trPr>
          <w:trHeight w:val="229"/>
        </w:trPr>
        <w:tc>
          <w:tcPr>
            <w:tcW w:w="386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20"/>
                <w:szCs w:val="20"/>
                <w:color w:val="auto"/>
              </w:rPr>
              <w:t>2023 RFP Hybrid Projects</w:t>
            </w:r>
          </w:p>
        </w:tc>
        <w:tc>
          <w:tcPr>
            <w:tcW w:w="132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4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560</w:t>
            </w:r>
          </w:p>
        </w:tc>
        <w:tc>
          <w:tcPr>
            <w:tcW w:w="12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475</w:t>
            </w:r>
          </w:p>
        </w:tc>
        <w:tc>
          <w:tcPr>
            <w:tcW w:w="10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FEFEF"/>
            </w:tcBorders>
            <w:shd w:val="clear" w:color="auto" w:fill="EFEFEF"/>
          </w:tcPr>
          <w:p>
            <w:pPr>
              <w:spacing w:after="0"/>
              <w:rPr>
                <w:sz w:val="19"/>
                <w:szCs w:val="19"/>
                <w:color w:val="auto"/>
              </w:rPr>
            </w:pPr>
          </w:p>
        </w:tc>
        <w:tc>
          <w:tcPr>
            <w:tcW w:w="200" w:type="dxa"/>
            <w:vAlign w:val="bottom"/>
            <w:tcBorders>
              <w:bottom w:val="single" w:sz="8" w:color="auto"/>
            </w:tcBorders>
            <w:shd w:val="clear" w:color="auto" w:fill="EFEFEF"/>
          </w:tcPr>
          <w:p>
            <w:pPr>
              <w:spacing w:after="0"/>
              <w:rPr>
                <w:sz w:val="19"/>
                <w:szCs w:val="19"/>
                <w:color w:val="auto"/>
              </w:rPr>
            </w:pPr>
          </w:p>
        </w:tc>
        <w:tc>
          <w:tcPr>
            <w:tcW w:w="920" w:type="dxa"/>
            <w:vAlign w:val="bottom"/>
            <w:tcBorders>
              <w:bottom w:val="single" w:sz="8" w:color="auto"/>
            </w:tcBorders>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3860" w:type="dxa"/>
            <w:vAlign w:val="bottom"/>
          </w:tcPr>
          <w:p>
            <w:pPr>
              <w:ind w:left="140"/>
              <w:spacing w:after="0" w:line="223" w:lineRule="exact"/>
              <w:rPr>
                <w:sz w:val="20"/>
                <w:szCs w:val="20"/>
                <w:color w:val="auto"/>
              </w:rPr>
            </w:pPr>
            <w:r>
              <w:rPr>
                <w:rFonts w:ascii="Times New Roman" w:cs="Times New Roman" w:eastAsia="Times New Roman" w:hAnsi="Times New Roman"/>
                <w:sz w:val="19"/>
                <w:szCs w:val="19"/>
                <w:color w:val="auto"/>
              </w:rPr>
              <w:t xml:space="preserve">Total capital expenditures </w:t>
            </w:r>
            <w:r>
              <w:rPr>
                <w:rFonts w:ascii="Times New Roman" w:cs="Times New Roman" w:eastAsia="Times New Roman" w:hAnsi="Times New Roman"/>
                <w:sz w:val="25"/>
                <w:szCs w:val="25"/>
                <w:color w:val="auto"/>
                <w:vertAlign w:val="superscript"/>
              </w:rPr>
              <w:t>(2)</w:t>
            </w:r>
          </w:p>
        </w:tc>
        <w:tc>
          <w:tcPr>
            <w:tcW w:w="15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1,565</w:t>
            </w:r>
          </w:p>
        </w:tc>
        <w:tc>
          <w:tcPr>
            <w:tcW w:w="3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1,645</w:t>
            </w:r>
          </w:p>
        </w:tc>
        <w:tc>
          <w:tcPr>
            <w:tcW w:w="30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1,345</w:t>
            </w:r>
          </w:p>
        </w:tc>
        <w:tc>
          <w:tcPr>
            <w:tcW w:w="3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1,440</w:t>
            </w:r>
          </w:p>
        </w:tc>
        <w:tc>
          <w:tcPr>
            <w:tcW w:w="30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1,450</w:t>
            </w: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860" w:type="dxa"/>
            <w:vAlign w:val="bottom"/>
            <w:shd w:val="clear" w:color="auto" w:fill="EFEFEF"/>
          </w:tcPr>
          <w:p>
            <w:pPr>
              <w:spacing w:after="0" w:line="210" w:lineRule="exact"/>
              <w:rPr>
                <w:sz w:val="20"/>
                <w:szCs w:val="20"/>
                <w:color w:val="auto"/>
              </w:rPr>
            </w:pPr>
            <w:r>
              <w:rPr>
                <w:rFonts w:ascii="Times New Roman" w:cs="Times New Roman" w:eastAsia="Times New Roman" w:hAnsi="Times New Roman"/>
                <w:sz w:val="20"/>
                <w:szCs w:val="20"/>
                <w:color w:val="auto"/>
              </w:rPr>
              <w:t>Long-term debt maturities</w:t>
            </w:r>
          </w:p>
        </w:tc>
        <w:tc>
          <w:tcPr>
            <w:tcW w:w="1520" w:type="dxa"/>
            <w:vAlign w:val="bottom"/>
            <w:gridSpan w:val="2"/>
            <w:shd w:val="clear" w:color="auto" w:fill="EFEFEF"/>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FEFEF"/>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FEFEF"/>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160</w:t>
            </w:r>
          </w:p>
        </w:tc>
        <w:tc>
          <w:tcPr>
            <w:tcW w:w="300" w:type="dxa"/>
            <w:vAlign w:val="bottom"/>
            <w:gridSpan w:val="2"/>
            <w:shd w:val="clear" w:color="auto" w:fill="EFEFEF"/>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450</w:t>
            </w:r>
          </w:p>
        </w:tc>
        <w:tc>
          <w:tcPr>
            <w:tcW w:w="320" w:type="dxa"/>
            <w:vAlign w:val="bottom"/>
            <w:gridSpan w:val="2"/>
            <w:shd w:val="clear" w:color="auto" w:fill="EFEFEF"/>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200</w:t>
            </w:r>
          </w:p>
        </w:tc>
        <w:tc>
          <w:tcPr>
            <w:tcW w:w="300" w:type="dxa"/>
            <w:vAlign w:val="bottom"/>
            <w:gridSpan w:val="2"/>
            <w:shd w:val="clear" w:color="auto" w:fill="EFEFEF"/>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FEFEF"/>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325</w:t>
            </w:r>
          </w:p>
        </w:tc>
      </w:tr>
      <w:tr>
        <w:trPr>
          <w:trHeight w:val="20"/>
        </w:trPr>
        <w:tc>
          <w:tcPr>
            <w:tcW w:w="3860" w:type="dxa"/>
            <w:vAlign w:val="bottom"/>
            <w:tcBorders>
              <w:top w:val="single" w:sz="8" w:color="EFEFEF"/>
            </w:tcBorders>
            <w:shd w:val="clear" w:color="auto" w:fill="EFEFEF"/>
          </w:tcPr>
          <w:p>
            <w:pPr>
              <w:spacing w:after="0" w:line="20" w:lineRule="exact"/>
              <w:rPr>
                <w:sz w:val="1"/>
                <w:szCs w:val="1"/>
                <w:color w:val="auto"/>
              </w:rPr>
            </w:pPr>
          </w:p>
        </w:tc>
        <w:tc>
          <w:tcPr>
            <w:tcW w:w="132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-350520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-350520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-350520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-350520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right="500" w:hanging="372"/>
        <w:spacing w:after="0" w:line="28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upgrades to, and replacement of, generation and distribution infrastructure, as well as new customer connections. Includes accrued capital additions, preliminary engineering, removal costs, and certain intangible working capital assets.</w:t>
      </w:r>
    </w:p>
    <w:p>
      <w:pPr>
        <w:spacing w:after="0" w:line="1" w:lineRule="exact"/>
        <w:rPr>
          <w:rFonts w:ascii="Times New Roman" w:cs="Times New Roman" w:eastAsia="Times New Roman" w:hAnsi="Times New Roman"/>
          <w:sz w:val="18"/>
          <w:szCs w:val="18"/>
          <w:color w:val="auto"/>
        </w:rPr>
      </w:pPr>
    </w:p>
    <w:p>
      <w:pPr>
        <w:ind w:left="380" w:righ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estimates as of the date of this report and may be affected by economic conditions, including but not limited to, impacts of inflation, changes to the cost of materials and labor, and financing costs.</w:t>
      </w:r>
    </w:p>
    <w:p>
      <w:pPr>
        <w:spacing w:after="0" w:line="15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pending Acquisition to acquire select portions of PacifiCorp’s Washington state regulated utility retail business will require financing of $1.9 billion. Upon execution of the Agreement, the acquisition was supported by a fully committed bridge facility with Barclays Bank PLC and JPMorgan Chase Bank, N.A. for $1.9 billion. On March 23, 2026, the bridge facility was amended to an amount of approximately $1.3 billion and at the same time, the Company entered into a Delay Draw Term Loan in the amount of approximately $700 million. The Company expects to permanently finance the transaction through a balanced mix of debt, equity, and its minority investment partner, Manulife Infrastructure Fund III L.P. (“Manulife”) and its affiliates including John Hancock Life Insurance Company (USA). In connection with the financing plan, PGE expects equity commitments from Manulife to finance up to $600 million of the purchase. Assuming the closing of the transactions contemplated by the Agreement and the consummation of the financing transactions, Manulife will be the Company's joint venture partner in the business. PGE would remain majority owner and sole operator.</w:t>
      </w:r>
    </w:p>
    <w:p>
      <w:pPr>
        <w:spacing w:after="0" w:line="186" w:lineRule="exact"/>
        <w:rPr>
          <w:sz w:val="20"/>
          <w:szCs w:val="20"/>
          <w:color w:val="auto"/>
        </w:rPr>
      </w:pPr>
    </w:p>
    <w:p>
      <w:pPr>
        <w:jc w:val="both"/>
        <w:ind w:right="400"/>
        <w:spacing w:after="0" w:line="254" w:lineRule="auto"/>
        <w:rPr>
          <w:sz w:val="20"/>
          <w:szCs w:val="20"/>
          <w:color w:val="auto"/>
        </w:rPr>
      </w:pPr>
      <w:r>
        <w:rPr>
          <w:rFonts w:ascii="Times New Roman" w:cs="Times New Roman" w:eastAsia="Times New Roman" w:hAnsi="Times New Roman"/>
          <w:sz w:val="20"/>
          <w:szCs w:val="20"/>
          <w:color w:val="auto"/>
        </w:rPr>
        <w:t>Subsequent to September 30, 2026, PGE has entered into agreements to acquire two solar and battery hybrid projects. Estimated capital expenditures for these projects are not included in the table above and are summarized below. For additional information regarding these projects, see “The Resource Planning Process” in the Overview section of this Item 7.:</w:t>
      </w:r>
    </w:p>
    <w:p>
      <w:pPr>
        <w:spacing w:after="0" w:line="66" w:lineRule="exact"/>
        <w:rPr>
          <w:sz w:val="20"/>
          <w:szCs w:val="20"/>
          <w:color w:val="auto"/>
        </w:rPr>
      </w:pPr>
    </w:p>
    <w:p>
      <w:pPr>
        <w:ind w:left="1020" w:right="440" w:hanging="503"/>
        <w:spacing w:after="0" w:line="249" w:lineRule="auto"/>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Biglow Optimization Phase 2: A 200 MW solar facility and 250 MW BESS in Sherman County, Oregon, representing an estimated investment of approximately $900 million, excluding AFUDC. PGE expects to own the project, with commercial operation expected by the end of 2029. PGE’s estimated capital expenditures for the projects are $63 million in 2026, $351 million in 2027, $342 million in 2028, and $144 million in 2029.</w:t>
      </w:r>
    </w:p>
    <w:p>
      <w:pPr>
        <w:spacing w:after="0" w:line="71" w:lineRule="exact"/>
        <w:rPr>
          <w:rFonts w:ascii="Times New Roman" w:cs="Times New Roman" w:eastAsia="Times New Roman" w:hAnsi="Times New Roman"/>
          <w:sz w:val="20"/>
          <w:szCs w:val="20"/>
          <w:color w:val="auto"/>
        </w:rPr>
      </w:pPr>
    </w:p>
    <w:p>
      <w:pPr>
        <w:ind w:left="1020" w:right="140" w:hanging="503"/>
        <w:spacing w:after="0" w:line="246" w:lineRule="auto"/>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Salmonfly Solar &amp; BESS: A 199 MW solar facility and 199 MW BESS in Jefferson County, Oregon, on the Confederated Tribes of Warm Springs Reservation, representing an estimated investment of approximately $853 million, excluding AFUDC. PGE expects to own the project, with commercial operation expected by the end of 2029. PGE’s estimated capital expenditures for the projects are $78 million in 2026, $459 million in 2027, $222 million in 2028, and $94 million in 2029. This project remains subject to OPUC process as detailed in PGE's request for a waiver to the competitive bidding rules.</w:t>
      </w:r>
    </w:p>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believes its cash flow from operating activities, access to credit markets, and its credit facilities provide sufficient liquidity to support estimated future cash requirements, including the cash consideration necessary to close on the proposed Acquisition. For additional information on the proposed acquisition, see “Pending Acquisition” in the Overview section in this Item 7., and Note 1, Basis of Presentation, in Notes to Consolidated Financial Statements 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 and Equity Financings</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PGE’s ability to secure sufficient short- and long-term capital at a reasonable cost is determined by its financial performance and outlook, credit ratings, capital expenditure requirements, alternatives available to investors, market conditions, and other factors, such as the volatility in the capital markets in response to inflationary pressures and interest rate increases by the federal reserve. Management believes that the availability of its revolving credit facility, the expected ability to issue short- and long-term debt and equity securities, and cash expected to be generated from operations provide sufficient cash flow and liquidity to meet the Company’s anticipated capital and operating requirements for the foreseeable future.</w:t>
      </w:r>
    </w:p>
    <w:p>
      <w:pPr>
        <w:spacing w:after="0" w:line="18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For 2026, PGE expects to fund estimated capital requirements with cash from operations, which is expected to range from $950 million to $1.15 billion, and issuances of long-term debt of up to $700 million. PGE plans to fund any shortfall through the combination of issuance of common stock and the issuance of short-term debt or commercial paper, as needed. The actual timing and amount of any such issuances of debt, equity, and commercial paper will be dependent upon the timing and amount of capital expenditures and debt payments.</w:t>
      </w:r>
    </w:p>
    <w:p>
      <w:pPr>
        <w:spacing w:after="0" w:line="176"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Short-term Debt. </w:t>
      </w:r>
      <w:r>
        <w:rPr>
          <w:rFonts w:ascii="Times New Roman" w:cs="Times New Roman" w:eastAsia="Times New Roman" w:hAnsi="Times New Roman"/>
          <w:sz w:val="20"/>
          <w:szCs w:val="20"/>
          <w:color w:val="auto"/>
        </w:rPr>
        <w:t>Pursuant to an order issued by the FERC in January 2026, PGE has authorization to issue short-term debt up to a total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$900 million through February 6, 2028. The following table shows available liquidity as of September 30, 2026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80" w:type="dxa"/>
            <w:vAlign w:val="bottom"/>
            <w:tcBorders>
              <w:bottom w:val="single" w:sz="8" w:color="155CAB"/>
            </w:tcBorders>
          </w:tcPr>
          <w:p>
            <w:pPr>
              <w:spacing w:after="0"/>
              <w:rPr>
                <w:sz w:val="22"/>
                <w:szCs w:val="22"/>
                <w:color w:val="auto"/>
              </w:rPr>
            </w:pPr>
          </w:p>
        </w:tc>
        <w:tc>
          <w:tcPr>
            <w:tcW w:w="3180" w:type="dxa"/>
            <w:vAlign w:val="bottom"/>
            <w:tcBorders>
              <w:bottom w:val="single" w:sz="8" w:color="155CAB"/>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155CAB"/>
              </w:rPr>
              <w:t>As of September 30, 2026</w:t>
            </w:r>
          </w:p>
        </w:tc>
        <w:tc>
          <w:tcPr>
            <w:tcW w:w="1240" w:type="dxa"/>
            <w:vAlign w:val="bottom"/>
            <w:tcBorders>
              <w:bottom w:val="single" w:sz="8" w:color="155CAB"/>
            </w:tcBorders>
          </w:tcPr>
          <w:p>
            <w:pPr>
              <w:spacing w:after="0"/>
              <w:rPr>
                <w:sz w:val="22"/>
                <w:szCs w:val="22"/>
                <w:color w:val="auto"/>
              </w:rPr>
            </w:pPr>
          </w:p>
        </w:tc>
      </w:tr>
      <w:tr>
        <w:trPr>
          <w:trHeight w:val="223"/>
        </w:trPr>
        <w:tc>
          <w:tcPr>
            <w:tcW w:w="4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 w:type="dxa"/>
            <w:vAlign w:val="bottom"/>
            <w:tcBorders>
              <w:bottom w:val="single" w:sz="8" w:color="155CAB"/>
            </w:tcBorders>
          </w:tcPr>
          <w:p>
            <w:pPr>
              <w:spacing w:after="0"/>
              <w:rPr>
                <w:sz w:val="19"/>
                <w:szCs w:val="19"/>
                <w:color w:val="auto"/>
              </w:rPr>
            </w:pPr>
          </w:p>
        </w:tc>
        <w:tc>
          <w:tcPr>
            <w:tcW w:w="1240" w:type="dxa"/>
            <w:vAlign w:val="bottom"/>
            <w:tcBorders>
              <w:bottom w:val="single" w:sz="8" w:color="155CAB"/>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b w:val="1"/>
                <w:bCs w:val="1"/>
                <w:color w:val="155CAB"/>
              </w:rPr>
              <w:t>Capacity</w:t>
            </w:r>
          </w:p>
        </w:tc>
        <w:tc>
          <w:tcPr>
            <w:tcW w:w="160" w:type="dxa"/>
            <w:vAlign w:val="bottom"/>
          </w:tcPr>
          <w:p>
            <w:pPr>
              <w:spacing w:after="0"/>
              <w:rPr>
                <w:sz w:val="19"/>
                <w:szCs w:val="19"/>
                <w:color w:val="auto"/>
              </w:rPr>
            </w:pPr>
          </w:p>
        </w:tc>
        <w:tc>
          <w:tcPr>
            <w:tcW w:w="100" w:type="dxa"/>
            <w:vAlign w:val="bottom"/>
            <w:tcBorders>
              <w:bottom w:val="single" w:sz="8" w:color="155CAB"/>
            </w:tcBorders>
          </w:tcPr>
          <w:p>
            <w:pPr>
              <w:spacing w:after="0"/>
              <w:rPr>
                <w:sz w:val="19"/>
                <w:szCs w:val="19"/>
                <w:color w:val="auto"/>
              </w:rPr>
            </w:pPr>
          </w:p>
        </w:tc>
        <w:tc>
          <w:tcPr>
            <w:tcW w:w="1320" w:type="dxa"/>
            <w:vAlign w:val="bottom"/>
            <w:tcBorders>
              <w:bottom w:val="single" w:sz="8" w:color="155CAB"/>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b w:val="1"/>
                <w:bCs w:val="1"/>
                <w:color w:val="155CAB"/>
                <w:w w:val="99"/>
              </w:rPr>
              <w:t>Outstanding</w:t>
            </w:r>
          </w:p>
        </w:tc>
        <w:tc>
          <w:tcPr>
            <w:tcW w:w="160" w:type="dxa"/>
            <w:vAlign w:val="bottom"/>
          </w:tcPr>
          <w:p>
            <w:pPr>
              <w:spacing w:after="0"/>
              <w:rPr>
                <w:sz w:val="19"/>
                <w:szCs w:val="19"/>
                <w:color w:val="auto"/>
              </w:rPr>
            </w:pPr>
          </w:p>
        </w:tc>
        <w:tc>
          <w:tcPr>
            <w:tcW w:w="200" w:type="dxa"/>
            <w:vAlign w:val="bottom"/>
            <w:tcBorders>
              <w:bottom w:val="single" w:sz="8" w:color="155CAB"/>
            </w:tcBorders>
          </w:tcPr>
          <w:p>
            <w:pPr>
              <w:spacing w:after="0"/>
              <w:rPr>
                <w:sz w:val="19"/>
                <w:szCs w:val="19"/>
                <w:color w:val="auto"/>
              </w:rPr>
            </w:pPr>
          </w:p>
        </w:tc>
        <w:tc>
          <w:tcPr>
            <w:tcW w:w="1240" w:type="dxa"/>
            <w:vAlign w:val="bottom"/>
            <w:tcBorders>
              <w:bottom w:val="single" w:sz="8" w:color="155CAB"/>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b w:val="1"/>
                <w:bCs w:val="1"/>
                <w:color w:val="155CAB"/>
              </w:rPr>
              <w:t>Available</w:t>
            </w:r>
          </w:p>
        </w:tc>
      </w:tr>
      <w:tr>
        <w:trPr>
          <w:trHeight w:val="237"/>
        </w:trPr>
        <w:tc>
          <w:tcPr>
            <w:tcW w:w="4400" w:type="dxa"/>
            <w:vAlign w:val="bottom"/>
            <w:shd w:val="clear" w:color="auto" w:fill="EFEFEF"/>
          </w:tcPr>
          <w:p>
            <w:pPr>
              <w:spacing w:after="0" w:line="236" w:lineRule="exact"/>
              <w:rPr>
                <w:sz w:val="20"/>
                <w:szCs w:val="20"/>
                <w:color w:val="auto"/>
              </w:rPr>
            </w:pPr>
            <w:r>
              <w:rPr>
                <w:rFonts w:ascii="Times New Roman" w:cs="Times New Roman" w:eastAsia="Times New Roman" w:hAnsi="Times New Roman"/>
                <w:sz w:val="20"/>
                <w:szCs w:val="20"/>
                <w:color w:val="auto"/>
              </w:rPr>
              <w:t xml:space="preserve">Revolving credit facility </w:t>
            </w:r>
            <w:r>
              <w:rPr>
                <w:rFonts w:ascii="Times New Roman" w:cs="Times New Roman" w:eastAsia="Times New Roman" w:hAnsi="Times New Roman"/>
                <w:sz w:val="26"/>
                <w:szCs w:val="26"/>
                <w:color w:val="auto"/>
                <w:vertAlign w:val="superscript"/>
              </w:rPr>
              <w:t>(1)</w:t>
            </w:r>
          </w:p>
        </w:tc>
        <w:tc>
          <w:tcPr>
            <w:tcW w:w="2420" w:type="dxa"/>
            <w:vAlign w:val="bottom"/>
            <w:gridSpan w:val="2"/>
            <w:shd w:val="clear" w:color="auto" w:fill="EFEFE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750</w:t>
            </w:r>
          </w:p>
        </w:tc>
        <w:tc>
          <w:tcPr>
            <w:tcW w:w="26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EFEFE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FEFEF"/>
          </w:tcPr>
          <w:p>
            <w:pPr>
              <w:jc w:val="right"/>
              <w:ind w:right="21"/>
              <w:spacing w:after="0"/>
              <w:rPr>
                <w:sz w:val="20"/>
                <w:szCs w:val="20"/>
                <w:color w:val="auto"/>
              </w:rPr>
            </w:pPr>
            <w:r>
              <w:rPr>
                <w:rFonts w:ascii="Times New Roman" w:cs="Times New Roman" w:eastAsia="Times New Roman" w:hAnsi="Times New Roman"/>
                <w:sz w:val="20"/>
                <w:szCs w:val="20"/>
                <w:color w:val="auto"/>
              </w:rPr>
              <w:t>750</w:t>
            </w:r>
          </w:p>
        </w:tc>
      </w:tr>
      <w:tr>
        <w:trPr>
          <w:trHeight w:val="229"/>
        </w:trPr>
        <w:tc>
          <w:tcPr>
            <w:tcW w:w="44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Letters of credit </w:t>
            </w:r>
            <w:r>
              <w:rPr>
                <w:rFonts w:ascii="Times New Roman" w:cs="Times New Roman" w:eastAsia="Times New Roman" w:hAnsi="Times New Roman"/>
                <w:sz w:val="26"/>
                <w:szCs w:val="26"/>
                <w:color w:val="auto"/>
                <w:vertAlign w:val="superscript"/>
              </w:rPr>
              <w:t>(2)</w:t>
            </w: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136</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184</w:t>
            </w:r>
          </w:p>
        </w:tc>
      </w:tr>
      <w:tr>
        <w:trPr>
          <w:trHeight w:val="20"/>
        </w:trPr>
        <w:tc>
          <w:tcPr>
            <w:tcW w:w="4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63"/>
        </w:trPr>
        <w:tc>
          <w:tcPr>
            <w:tcW w:w="4400" w:type="dxa"/>
            <w:vAlign w:val="bottom"/>
            <w:shd w:val="clear" w:color="auto" w:fill="EFEFEF"/>
          </w:tcPr>
          <w:p>
            <w:pPr>
              <w:ind w:left="180"/>
              <w:spacing w:after="0" w:line="223" w:lineRule="exact"/>
              <w:rPr>
                <w:sz w:val="20"/>
                <w:szCs w:val="20"/>
                <w:color w:val="auto"/>
              </w:rPr>
            </w:pPr>
            <w:r>
              <w:rPr>
                <w:rFonts w:ascii="Times New Roman" w:cs="Times New Roman" w:eastAsia="Times New Roman" w:hAnsi="Times New Roman"/>
                <w:sz w:val="20"/>
                <w:szCs w:val="20"/>
                <w:color w:val="auto"/>
              </w:rPr>
              <w:t>Total credit</w:t>
            </w:r>
          </w:p>
        </w:tc>
        <w:tc>
          <w:tcPr>
            <w:tcW w:w="2420" w:type="dxa"/>
            <w:vAlign w:val="bottom"/>
            <w:gridSpan w:val="2"/>
            <w:shd w:val="clear" w:color="auto" w:fill="EFEFEF"/>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1,070</w:t>
            </w:r>
          </w:p>
        </w:tc>
        <w:tc>
          <w:tcPr>
            <w:tcW w:w="260" w:type="dxa"/>
            <w:vAlign w:val="bottom"/>
            <w:gridSpan w:val="2"/>
            <w:shd w:val="clear" w:color="auto" w:fill="EFEFE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136</w:t>
            </w:r>
          </w:p>
        </w:tc>
        <w:tc>
          <w:tcPr>
            <w:tcW w:w="360" w:type="dxa"/>
            <w:vAlign w:val="bottom"/>
            <w:gridSpan w:val="2"/>
            <w:shd w:val="clear" w:color="auto" w:fill="EFEFE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934</w:t>
            </w:r>
          </w:p>
        </w:tc>
      </w:tr>
      <w:tr>
        <w:trPr>
          <w:trHeight w:val="210"/>
        </w:trPr>
        <w:tc>
          <w:tcPr>
            <w:tcW w:w="4400" w:type="dxa"/>
            <w:vAlign w:val="bottom"/>
            <w:tcBorders>
              <w:top w:val="single" w:sz="8" w:color="EFEFEF"/>
            </w:tcBorders>
          </w:tcPr>
          <w:p>
            <w:pPr>
              <w:spacing w:after="0" w:line="210" w:lineRule="exact"/>
              <w:rPr>
                <w:sz w:val="20"/>
                <w:szCs w:val="20"/>
                <w:color w:val="auto"/>
              </w:rPr>
            </w:pPr>
            <w:r>
              <w:rPr>
                <w:rFonts w:ascii="Times New Roman" w:cs="Times New Roman" w:eastAsia="Times New Roman" w:hAnsi="Times New Roman"/>
                <w:sz w:val="20"/>
                <w:szCs w:val="20"/>
                <w:color w:val="auto"/>
              </w:rPr>
              <w:t>Cash and cash equivalents</w:t>
            </w:r>
          </w:p>
        </w:tc>
        <w:tc>
          <w:tcPr>
            <w:tcW w:w="2240" w:type="dxa"/>
            <w:vAlign w:val="bottom"/>
            <w:tcBorders>
              <w:top w:val="single" w:sz="8" w:color="EFEFE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EFEFE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EFEFE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69</w:t>
            </w:r>
          </w:p>
        </w:tc>
      </w:tr>
      <w:tr>
        <w:trPr>
          <w:trHeight w:val="243"/>
        </w:trPr>
        <w:tc>
          <w:tcPr>
            <w:tcW w:w="4400" w:type="dxa"/>
            <w:vAlign w:val="bottom"/>
            <w:shd w:val="clear" w:color="auto" w:fill="EFEFEF"/>
          </w:tcPr>
          <w:p>
            <w:pPr>
              <w:ind w:left="180"/>
              <w:spacing w:after="0" w:line="223" w:lineRule="exact"/>
              <w:rPr>
                <w:sz w:val="20"/>
                <w:szCs w:val="20"/>
                <w:color w:val="auto"/>
              </w:rPr>
            </w:pPr>
            <w:r>
              <w:rPr>
                <w:rFonts w:ascii="Times New Roman" w:cs="Times New Roman" w:eastAsia="Times New Roman" w:hAnsi="Times New Roman"/>
                <w:sz w:val="20"/>
                <w:szCs w:val="20"/>
                <w:color w:val="auto"/>
              </w:rPr>
              <w:t>Total liquidity</w:t>
            </w:r>
          </w:p>
        </w:tc>
        <w:tc>
          <w:tcPr>
            <w:tcW w:w="2240" w:type="dxa"/>
            <w:vAlign w:val="bottom"/>
            <w:shd w:val="clear" w:color="auto" w:fill="EFEFEF"/>
          </w:tcPr>
          <w:p>
            <w:pPr>
              <w:spacing w:after="0"/>
              <w:rPr>
                <w:sz w:val="21"/>
                <w:szCs w:val="21"/>
                <w:color w:val="auto"/>
              </w:rPr>
            </w:pPr>
          </w:p>
        </w:tc>
        <w:tc>
          <w:tcPr>
            <w:tcW w:w="180" w:type="dxa"/>
            <w:vAlign w:val="bottom"/>
            <w:shd w:val="clear" w:color="auto" w:fill="EFEFEF"/>
          </w:tcPr>
          <w:p>
            <w:pPr>
              <w:spacing w:after="0"/>
              <w:rPr>
                <w:sz w:val="21"/>
                <w:szCs w:val="21"/>
                <w:color w:val="auto"/>
              </w:rPr>
            </w:pPr>
          </w:p>
        </w:tc>
        <w:tc>
          <w:tcPr>
            <w:tcW w:w="1240" w:type="dxa"/>
            <w:vAlign w:val="bottom"/>
            <w:shd w:val="clear" w:color="auto" w:fill="EFEFEF"/>
          </w:tcPr>
          <w:p>
            <w:pPr>
              <w:spacing w:after="0"/>
              <w:rPr>
                <w:sz w:val="21"/>
                <w:szCs w:val="21"/>
                <w:color w:val="auto"/>
              </w:rPr>
            </w:pPr>
          </w:p>
        </w:tc>
        <w:tc>
          <w:tcPr>
            <w:tcW w:w="160" w:type="dxa"/>
            <w:vAlign w:val="bottom"/>
            <w:shd w:val="clear" w:color="auto" w:fill="EFEFEF"/>
          </w:tcPr>
          <w:p>
            <w:pPr>
              <w:spacing w:after="0"/>
              <w:rPr>
                <w:sz w:val="21"/>
                <w:szCs w:val="21"/>
                <w:color w:val="auto"/>
              </w:rPr>
            </w:pPr>
          </w:p>
        </w:tc>
        <w:tc>
          <w:tcPr>
            <w:tcW w:w="100" w:type="dxa"/>
            <w:vAlign w:val="bottom"/>
            <w:shd w:val="clear" w:color="auto" w:fill="EFEFEF"/>
          </w:tcPr>
          <w:p>
            <w:pPr>
              <w:spacing w:after="0"/>
              <w:rPr>
                <w:sz w:val="21"/>
                <w:szCs w:val="21"/>
                <w:color w:val="auto"/>
              </w:rPr>
            </w:pPr>
          </w:p>
        </w:tc>
        <w:tc>
          <w:tcPr>
            <w:tcW w:w="1320" w:type="dxa"/>
            <w:vAlign w:val="bottom"/>
            <w:shd w:val="clear" w:color="auto" w:fill="EFEFEF"/>
          </w:tcPr>
          <w:p>
            <w:pPr>
              <w:spacing w:after="0"/>
              <w:rPr>
                <w:sz w:val="21"/>
                <w:szCs w:val="21"/>
                <w:color w:val="auto"/>
              </w:rPr>
            </w:pPr>
          </w:p>
        </w:tc>
        <w:tc>
          <w:tcPr>
            <w:tcW w:w="360" w:type="dxa"/>
            <w:vAlign w:val="bottom"/>
            <w:gridSpan w:val="2"/>
            <w:shd w:val="clear" w:color="auto" w:fill="EFEFE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FEFE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1,003</w:t>
            </w:r>
          </w:p>
        </w:tc>
      </w:tr>
      <w:tr>
        <w:trPr>
          <w:trHeight w:val="20"/>
        </w:trPr>
        <w:tc>
          <w:tcPr>
            <w:tcW w:w="4400" w:type="dxa"/>
            <w:vAlign w:val="bottom"/>
            <w:tcBorders>
              <w:top w:val="single" w:sz="8" w:color="EFEFEF"/>
            </w:tcBorders>
            <w:shd w:val="clear" w:color="auto" w:fill="EFEFEF"/>
          </w:tcPr>
          <w:p>
            <w:pPr>
              <w:spacing w:after="0" w:line="20" w:lineRule="exact"/>
              <w:rPr>
                <w:sz w:val="1"/>
                <w:szCs w:val="1"/>
                <w:color w:val="auto"/>
              </w:rPr>
            </w:pPr>
          </w:p>
        </w:tc>
        <w:tc>
          <w:tcPr>
            <w:tcW w:w="2240" w:type="dxa"/>
            <w:vAlign w:val="bottom"/>
            <w:tcBorders>
              <w:top w:val="single" w:sz="8" w:color="EFEFEF"/>
            </w:tcBorders>
            <w:shd w:val="clear" w:color="auto" w:fill="EFEFEF"/>
          </w:tcPr>
          <w:p>
            <w:pPr>
              <w:spacing w:after="0" w:line="20" w:lineRule="exact"/>
              <w:rPr>
                <w:sz w:val="1"/>
                <w:szCs w:val="1"/>
                <w:color w:val="auto"/>
              </w:rPr>
            </w:pPr>
          </w:p>
        </w:tc>
        <w:tc>
          <w:tcPr>
            <w:tcW w:w="180" w:type="dxa"/>
            <w:vAlign w:val="bottom"/>
            <w:tcBorders>
              <w:top w:val="single" w:sz="8" w:color="EFEFEF"/>
            </w:tcBorders>
            <w:shd w:val="clear" w:color="auto" w:fill="EFEFEF"/>
          </w:tcPr>
          <w:p>
            <w:pPr>
              <w:spacing w:after="0" w:line="20" w:lineRule="exact"/>
              <w:rPr>
                <w:sz w:val="1"/>
                <w:szCs w:val="1"/>
                <w:color w:val="auto"/>
              </w:rPr>
            </w:pPr>
          </w:p>
        </w:tc>
        <w:tc>
          <w:tcPr>
            <w:tcW w:w="1240" w:type="dxa"/>
            <w:vAlign w:val="bottom"/>
            <w:tcBorders>
              <w:top w:val="single" w:sz="8" w:color="EFEFEF"/>
            </w:tcBorders>
            <w:shd w:val="clear" w:color="auto" w:fill="EFEFEF"/>
          </w:tcPr>
          <w:p>
            <w:pPr>
              <w:spacing w:after="0" w:line="20" w:lineRule="exact"/>
              <w:rPr>
                <w:sz w:val="1"/>
                <w:szCs w:val="1"/>
                <w:color w:val="auto"/>
              </w:rPr>
            </w:pPr>
          </w:p>
        </w:tc>
        <w:tc>
          <w:tcPr>
            <w:tcW w:w="160" w:type="dxa"/>
            <w:vAlign w:val="bottom"/>
            <w:tcBorders>
              <w:top w:val="single" w:sz="8" w:color="EFEFEF"/>
            </w:tcBorders>
            <w:shd w:val="clear" w:color="auto" w:fill="EFEFEF"/>
          </w:tcPr>
          <w:p>
            <w:pPr>
              <w:spacing w:after="0" w:line="20" w:lineRule="exact"/>
              <w:rPr>
                <w:sz w:val="1"/>
                <w:szCs w:val="1"/>
                <w:color w:val="auto"/>
              </w:rPr>
            </w:pPr>
          </w:p>
        </w:tc>
        <w:tc>
          <w:tcPr>
            <w:tcW w:w="100" w:type="dxa"/>
            <w:vAlign w:val="bottom"/>
            <w:tcBorders>
              <w:top w:val="single" w:sz="8" w:color="EFEFEF"/>
            </w:tcBorders>
            <w:shd w:val="clear" w:color="auto" w:fill="EFEFEF"/>
          </w:tcPr>
          <w:p>
            <w:pPr>
              <w:spacing w:after="0" w:line="20" w:lineRule="exact"/>
              <w:rPr>
                <w:sz w:val="1"/>
                <w:szCs w:val="1"/>
                <w:color w:val="auto"/>
              </w:rPr>
            </w:pPr>
          </w:p>
        </w:tc>
        <w:tc>
          <w:tcPr>
            <w:tcW w:w="1320" w:type="dxa"/>
            <w:vAlign w:val="bottom"/>
            <w:tcBorders>
              <w:top w:val="single" w:sz="8" w:color="EFEFEF"/>
            </w:tcBorders>
            <w:shd w:val="clear" w:color="auto" w:fill="EFEFEF"/>
          </w:tcPr>
          <w:p>
            <w:pPr>
              <w:spacing w:after="0" w:line="20" w:lineRule="exact"/>
              <w:rPr>
                <w:sz w:val="1"/>
                <w:szCs w:val="1"/>
                <w:color w:val="auto"/>
              </w:rPr>
            </w:pPr>
          </w:p>
        </w:tc>
        <w:tc>
          <w:tcPr>
            <w:tcW w:w="160" w:type="dxa"/>
            <w:vAlign w:val="bottom"/>
            <w:tcBorders>
              <w:top w:val="single" w:sz="8" w:color="EFEFEF"/>
            </w:tcBorders>
            <w:shd w:val="clear" w:color="auto" w:fill="EFEFE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-350520</wp:posOffset>
            </wp:positionV>
            <wp:extent cx="946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-333375</wp:posOffset>
            </wp:positionV>
            <wp:extent cx="946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-350520</wp:posOffset>
            </wp:positionV>
            <wp:extent cx="939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-333375</wp:posOffset>
            </wp:positionV>
            <wp:extent cx="939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expire September 10, 2030.</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PGE has four letter of credit facilities under which the Company can request letters of credit for an original term not to exceed one year.</w:t>
      </w:r>
    </w:p>
    <w:p>
      <w:pPr>
        <w:spacing w:after="0" w:line="20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On September 10, 2025, PGE entered into an amendment of its existing revolving credit facility. As of September 30, 2026, PGE had a $750 million unsecured revolving credit facility scheduled to expire in September 2030. The Company has the ability to expand the revolving credit facility to $850 million, if needed, subject to the requirements of the agreement. The facility allows for unlimited extension requests, provided that lenders with a pro-rata share of more than 50% of the facility approve the extension request. The revolving credit facility supplements operating cash flows and provides a primary source of liquidity. Pursuant to the terms of the agreement, the revolving credit facility may be used as backup for commercial paper borrowings, to permit the issuance of standby letters of credit, and to provide cash for general corporate purposes. PGE may borrow for one, three, or six months at a fixed interest rate established at the time of the borrowing, or at a variable interest rate for any period up to the remaining term of the applicable credit facility. As of September 30, 2026, PGE had a $750 million outstanding balance on the revolving credit facility.</w:t>
      </w:r>
    </w:p>
    <w:p>
      <w:pPr>
        <w:spacing w:after="0" w:line="1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Company has a commercial paper program under which it may issue commercial paper for terms of up to 270 days, limited to the unused amount of credit under the revolving credit facility. As of September 30, 2026, PGE had no commercial paper outstanding. The aggregate unused available credit capacity under the revolving credit facility was $750 million. The Company has elected to limit its borrowings under the revolving credit facility in order to allow coverage for the potential need to repay any commercial paper that may be outstanding at the time.</w:t>
      </w:r>
    </w:p>
    <w:p>
      <w:pPr>
        <w:spacing w:after="0" w:line="181"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Long-term Debt. </w:t>
      </w:r>
      <w:r>
        <w:rPr>
          <w:rFonts w:ascii="Times New Roman" w:cs="Times New Roman" w:eastAsia="Times New Roman" w:hAnsi="Times New Roman"/>
          <w:sz w:val="20"/>
          <w:szCs w:val="20"/>
          <w:color w:val="auto"/>
        </w:rPr>
        <w:t>As of September 30, 2026, PGE’s total long-term debt outstanding, net of $19 million of unamortized debt expense,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$5,010 million.</w:t>
      </w:r>
    </w:p>
    <w:p>
      <w:pPr>
        <w:spacing w:after="0" w:line="15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On March 23, 2026, PGE entered into a 24-month credit agreement with lenders in the aggregate principal of $350 million. PGE drew four loans from the Lenders in the aggregate principal amount of $350 million. The final loan, in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amount of $80 million, occurred on July 2, 2026. The loans bear interest for the relevant interest period at the Term Secured Overnight Financing Rate (SOFR) plus an Applicable Margin of 110.0 basis points.</w:t>
      </w:r>
    </w:p>
    <w:p>
      <w:pPr>
        <w:spacing w:after="0" w:line="15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Equity. </w:t>
      </w:r>
      <w:r>
        <w:rPr>
          <w:rFonts w:ascii="Times New Roman" w:cs="Times New Roman" w:eastAsia="Times New Roman" w:hAnsi="Times New Roman"/>
          <w:sz w:val="20"/>
          <w:szCs w:val="20"/>
          <w:color w:val="auto"/>
        </w:rPr>
        <w:t>In July 2024, PGE entered into an equity distribution agreement under which it could sell up to $400 million of its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at-the-market offering (ATM) program. Pursuant to the 2024 ATM program, the Company entered into forward sale agreements for 1,420,049 shares and 5,756,432 shares in 2024 and 2025, respectively. The Company issued 1,066,549 shares and received net proceeds of $50 million in 2024, and issued 5,919,618 shares and received net proceeds of $250 million in 2025. As of September 30, 2026, the Company could have physically settled the remaining amount by delivering 190,314 shares in exchange for cash of $8 million.</w:t>
      </w:r>
    </w:p>
    <w:p>
      <w:pPr>
        <w:spacing w:after="0" w:line="18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Subsequent to September 30, 2026, on October 22, 2026, the Company issued 190,314 shares pursuant to the 2024 ATM program, settling the 2024 ATM transaction, and received net proceeds of $8 million.</w:t>
      </w:r>
    </w:p>
    <w:p>
      <w:pPr>
        <w:spacing w:after="0" w:line="17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In February 2026, PGE entered into an agreement under which it could sell up to $500 million of its common stock through the ATM program. No forward sale agreements were entered into pursuant to the 2026 ATM program as of September 30, 2026. Any proceeds from the issuances of common stock will be used for general corporate purposes and investments in renewables and non-emitting dispatchable capacity.</w:t>
      </w:r>
    </w:p>
    <w:p>
      <w:pPr>
        <w:spacing w:after="0" w:line="19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In February 2026, PGE entered into an equity forward sale agreement (EFSA) in connection with a public offering of 9,467,455 shares of its common stock. Pursuant to the terms of the EFSA, the forward counterparties borrowed 10,848,125 shares of PGE's common stock, including 1,380,670 shares in connection with the underwriters' exercise of their option to purchase additional shares, from third parties in the open market and sold the shares to a group of underwriters for $50.70 per share, less an underwriting discount equal to $1.4576 per share. PGE will not receive any proceeds from the sale of common stock until the EFSA is settled, and at that time PGE will record the proceeds, if any, in equity. In July 2026, the Company issued 3,117,541 shares pursuant to the EFSA and received net proceeds of $152 million.</w:t>
      </w:r>
    </w:p>
    <w:p>
      <w:pPr>
        <w:spacing w:after="0" w:line="186"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As of September 30, 2026, the Company could have physically settled the EFSA by delivering 7,730,584 shares in exchange for cash for $375 million.</w:t>
      </w:r>
    </w:p>
    <w:p>
      <w:pPr>
        <w:spacing w:after="0" w:line="159"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For additional information on the EFSA and ATM programs, see Note 7, Shareholders’ Equity, in the Notes to Condensed Consolidated Financial Statements in Item 1.—“Financial Statements.”</w:t>
      </w:r>
    </w:p>
    <w:p>
      <w:pPr>
        <w:spacing w:after="0" w:line="15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Capital Structure. </w:t>
      </w:r>
      <w:r>
        <w:rPr>
          <w:rFonts w:ascii="Times New Roman" w:cs="Times New Roman" w:eastAsia="Times New Roman" w:hAnsi="Times New Roman"/>
          <w:sz w:val="20"/>
          <w:szCs w:val="20"/>
          <w:color w:val="auto"/>
        </w:rPr>
        <w:t>PGE’s financial objectives include maintaining a common equity ratio (common equity to total consolidated capitalization,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current debt maturities and excluding lease obligations) of approximately 50% over time. Achievement of this objective helps the Company maintain investment grade credit ratings and provides access to long-term capital at favorable interest rates. The Company’s common equity ratio was 46.4% and 47.0% as of September 30, 2026 and December 31, 2025,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Credit Ratings and Debt Covenants</w:t>
      </w:r>
    </w:p>
    <w:p>
      <w:pPr>
        <w:spacing w:after="0" w:line="10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PGE’s secured and unsecured debt is rated investment grade by Moody’s Investors Service (Moody’s) and S&amp;P Global Ratings (S&amp;P), with current credit ratings and outlook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40" w:type="dxa"/>
            <w:vAlign w:val="bottom"/>
          </w:tcPr>
          <w:p>
            <w:pPr>
              <w:spacing w:after="0"/>
              <w:rPr>
                <w:sz w:val="22"/>
                <w:szCs w:val="22"/>
                <w:color w:val="auto"/>
              </w:rPr>
            </w:pPr>
          </w:p>
        </w:tc>
        <w:tc>
          <w:tcPr>
            <w:tcW w:w="166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Moody’s</w:t>
            </w:r>
          </w:p>
        </w:tc>
        <w:tc>
          <w:tcPr>
            <w:tcW w:w="180" w:type="dxa"/>
            <w:vAlign w:val="bottom"/>
          </w:tcPr>
          <w:p>
            <w:pPr>
              <w:spacing w:after="0"/>
              <w:rPr>
                <w:sz w:val="22"/>
                <w:szCs w:val="22"/>
                <w:color w:val="auto"/>
              </w:rPr>
            </w:pPr>
          </w:p>
        </w:tc>
        <w:tc>
          <w:tcPr>
            <w:tcW w:w="166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S&amp;P</w:t>
            </w:r>
          </w:p>
        </w:tc>
      </w:tr>
      <w:tr>
        <w:trPr>
          <w:trHeight w:val="223"/>
        </w:trPr>
        <w:tc>
          <w:tcPr>
            <w:tcW w:w="7740" w:type="dxa"/>
            <w:vAlign w:val="bottom"/>
            <w:shd w:val="clear" w:color="auto" w:fill="EFEFEF"/>
          </w:tcPr>
          <w:p>
            <w:pPr>
              <w:spacing w:after="0" w:line="223" w:lineRule="exact"/>
              <w:rPr>
                <w:sz w:val="20"/>
                <w:szCs w:val="20"/>
                <w:color w:val="auto"/>
              </w:rPr>
            </w:pPr>
            <w:r>
              <w:rPr>
                <w:rFonts w:ascii="Times New Roman" w:cs="Times New Roman" w:eastAsia="Times New Roman" w:hAnsi="Times New Roman"/>
                <w:sz w:val="20"/>
                <w:szCs w:val="20"/>
                <w:color w:val="auto"/>
              </w:rPr>
              <w:t>Issuer credit rating</w:t>
            </w:r>
          </w:p>
        </w:tc>
        <w:tc>
          <w:tcPr>
            <w:tcW w:w="1660" w:type="dxa"/>
            <w:vAlign w:val="bottom"/>
            <w:shd w:val="clear" w:color="auto" w:fill="EFEFEF"/>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A3</w:t>
            </w:r>
          </w:p>
        </w:tc>
        <w:tc>
          <w:tcPr>
            <w:tcW w:w="180" w:type="dxa"/>
            <w:vAlign w:val="bottom"/>
            <w:shd w:val="clear" w:color="auto" w:fill="EFEFEF"/>
          </w:tcPr>
          <w:p>
            <w:pPr>
              <w:spacing w:after="0"/>
              <w:rPr>
                <w:sz w:val="19"/>
                <w:szCs w:val="19"/>
                <w:color w:val="auto"/>
              </w:rPr>
            </w:pPr>
          </w:p>
        </w:tc>
        <w:tc>
          <w:tcPr>
            <w:tcW w:w="1660" w:type="dxa"/>
            <w:vAlign w:val="bottom"/>
            <w:shd w:val="clear" w:color="auto" w:fill="EFEFEF"/>
          </w:tcPr>
          <w:p>
            <w:pPr>
              <w:jc w:val="center"/>
              <w:spacing w:after="0" w:line="223" w:lineRule="exact"/>
              <w:rPr>
                <w:sz w:val="20"/>
                <w:szCs w:val="20"/>
                <w:color w:val="auto"/>
              </w:rPr>
            </w:pPr>
            <w:r>
              <w:rPr>
                <w:rFonts w:ascii="Times New Roman" w:cs="Times New Roman" w:eastAsia="Times New Roman" w:hAnsi="Times New Roman"/>
                <w:sz w:val="20"/>
                <w:szCs w:val="20"/>
                <w:color w:val="auto"/>
              </w:rPr>
              <w:t>BBB+</w:t>
            </w:r>
          </w:p>
        </w:tc>
      </w:tr>
      <w:tr>
        <w:trPr>
          <w:trHeight w:val="229"/>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Senior secured debt</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A1</w:t>
            </w:r>
          </w:p>
        </w:tc>
        <w:tc>
          <w:tcPr>
            <w:tcW w:w="1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w:t>
            </w:r>
          </w:p>
        </w:tc>
      </w:tr>
      <w:tr>
        <w:trPr>
          <w:trHeight w:val="230"/>
        </w:trPr>
        <w:tc>
          <w:tcPr>
            <w:tcW w:w="77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66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rPr>
              <w:t>P-2</w:t>
            </w:r>
          </w:p>
        </w:tc>
        <w:tc>
          <w:tcPr>
            <w:tcW w:w="180" w:type="dxa"/>
            <w:vAlign w:val="bottom"/>
            <w:shd w:val="clear" w:color="auto" w:fill="EFEFEF"/>
          </w:tcPr>
          <w:p>
            <w:pPr>
              <w:spacing w:after="0"/>
              <w:rPr>
                <w:sz w:val="19"/>
                <w:szCs w:val="19"/>
                <w:color w:val="auto"/>
              </w:rPr>
            </w:pPr>
          </w:p>
        </w:tc>
        <w:tc>
          <w:tcPr>
            <w:tcW w:w="1660" w:type="dxa"/>
            <w:vAlign w:val="bottom"/>
            <w:shd w:val="clear" w:color="auto" w:fill="EFEFEF"/>
          </w:tcPr>
          <w:p>
            <w:pPr>
              <w:jc w:val="center"/>
              <w:spacing w:after="0"/>
              <w:rPr>
                <w:sz w:val="20"/>
                <w:szCs w:val="20"/>
                <w:color w:val="auto"/>
              </w:rPr>
            </w:pPr>
            <w:r>
              <w:rPr>
                <w:rFonts w:ascii="Times New Roman" w:cs="Times New Roman" w:eastAsia="Times New Roman" w:hAnsi="Times New Roman"/>
                <w:sz w:val="20"/>
                <w:szCs w:val="20"/>
                <w:color w:val="auto"/>
              </w:rPr>
              <w:t>A-2</w:t>
            </w:r>
          </w:p>
        </w:tc>
      </w:tr>
      <w:tr>
        <w:trPr>
          <w:trHeight w:val="258"/>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Outlook</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r>
    </w:tbl>
    <w:p>
      <w:pPr>
        <w:spacing w:after="0" w:line="1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the event Moody’s or S&amp;P reduce their credit rating on PGE’s unsecured debt below investment grade, the Company could be subject to requests by certain of its wholesale, commodity, and transmission counterparties to post additional performance assurance collateral in connection with its price risk management activities. The performance assurance collateral can be in the form of cash deposits or letters of credit, depending on the terms of the underlying agreements, are based on the contract terms and commodity prices, and can vary from period to period. Cash deposits that PGE provides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as collateral are classified as Margin deposits in PGE’s condensed consolidated balance sheets, while any letters of credit issued are not reflected on the condensed consolidated balance sheets.</w:t>
      </w:r>
    </w:p>
    <w:p>
      <w:pPr>
        <w:spacing w:after="0" w:line="15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As of September 30, 2026, PGE had posted $105 million of collateral with these counterparties, consisting of $53 million in cash and $52 million in letters of credit. Based on the Company’s energy portfolio, estimates of energy market prices, and the level of collateral outstanding as of September 30, 2026, the amount of additional collateral that could be requested upon a single agency downgrade to below investment grade is $79 million, and decreases to $48 million by December 31, 2026 and to $20 million by December 31, 2027. The amount of additional collateral that could be requested upon a dual agency downgrade to below investment grade is $205 million and decreases to $149 million by December 31, 2026 and to $107 million by December 31, 2027.</w:t>
      </w:r>
    </w:p>
    <w:p>
      <w:pPr>
        <w:spacing w:after="0" w:line="184"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9"/>
          <w:szCs w:val="19"/>
          <w:color w:val="auto"/>
        </w:rPr>
        <w:t>PGE’s financing arrangements do not contain ratings triggers that would result in the acceleration of required interest and principal payments in the event of a ratings downgrade. However, the cost of borrowing and issuing letters of credit under the credit facilities would increase.</w:t>
      </w:r>
    </w:p>
    <w:p>
      <w:pPr>
        <w:spacing w:after="0" w:line="1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indenture securing PGE’s outstanding FMBs constitutes a direct first mortgage lien on substantially all regulated utility property, other than expressly excepted property. Interest is payable semi-annually on FMBs. The issuance of FMBs requires that PGE meet earnings coverage and security provisions set forth in the Indenture of Mortgage and Deed of Trust (Indenture) securing the bonds. PGE estimates that on September 30, 2026, under the most restrictive issuance test in the Indenture, the Company could have issued up to $792 million of additional FMBs. Any issuances of FMBs would be subject to market conditions and amounts could be further limited by regulatory authorizations or by covenants and tests contained in other financing agreements. PGE also has the ability to release property from the lien of the Indenture under certain circumstances, including bond credits, deposits of cash, or certain sales, exchanges, or other dispositions of property.</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PGE’s revolving credit facility contains customary covenants and credit provisions, including a requirement that limits consolidated indebtedness, as defined in the credit agreements, to 65.0% of total capitalization (debt-to-total capital ratio). As of September 30, 2026, the Company’s debt-to-total capital ratio, as calculated under the credit agreement, was 53.6%.</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3. Quantitative and Qualitative Disclosures About Market Risk.</w:t>
      </w:r>
    </w:p>
    <w:p>
      <w:pPr>
        <w:spacing w:after="0" w:line="11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PGE is exposed to various forms of market risk, consisting primarily of fluctuations in commodity prices, foreign currency exchange rates, and interest rates, as well as credit risk. Any variations in the Company’s market risk or credit risk may affect its future financial position, results of operations, or cash flows. Other than the item described below, there have been no material changes to market risks, or credit risk, affecting the Company from those set forth in Part II, Item 7A of the Company’s Annual Report on Form 10-K for the year ended December 31, 2025, filed with the SEC on February 17, 2026.</w:t>
      </w:r>
    </w:p>
    <w:p>
      <w:pPr>
        <w:spacing w:after="0" w:line="185"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color w:val="auto"/>
        </w:rPr>
        <w:t>As of September 30, 2026, PGE had no long-term debt instruments subject to interest rate risk exposure, with the exception of the $350 million Unsecured Term Bank Loan which bears interest for the relevant interest period at the Term Secured Overnight Financing Rate (SOFR) plus an Applicable Margin of 110 basis points. A 100 basis point increase in interest rates would result in an increase of the Company's annual interest expense of approximately $3.5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1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PGE’s management, under the supervision and with the participation of its Chief Executive Officer and Chief Financial Officer, has evaluated the effectiveness of the Company’s disclosure controls and procedures as required by Exchange Act Rule 13a-15(b) as of the end of the period covered by this report. Based on that evaluation, PGE’s Chief Executive Officer and Chief Financial Officer have concluded that, as of September 30, 2026, these disclosure controls and procedures were effective.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12"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There were no changes in PGE’s internal control over financial reporting that occurred during the quarter ended September 30, 2026 that have materially affected, or are reasonably likely to materially affect, the Company’s internal control over financial reporting.</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155CAB"/>
        </w:rPr>
        <w:t>PART II -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1. Legal Proceedings.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See Note 8, Contingencies in the Notes to Condensed Consolidated Financial Statements in Item 1.—“Financial Statements,” for information regarding legal proceedings.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1A. Risk Factors.</w:t>
      </w:r>
    </w:p>
    <w:p>
      <w:pPr>
        <w:spacing w:after="0" w:line="22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Except as set forth below, there have been no material changes to PGE’s risk factors set forth in Part I, Item 1A of the Company’s Annual Report on Form 10-K for the year ended December 31, 2025, filed with the SEC on February 17, 2026.</w:t>
      </w:r>
    </w:p>
    <w:p>
      <w:pPr>
        <w:spacing w:after="0" w:line="16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effects of unseasonable or severe weather and other natural phenomena can adversely affect the Company’s financial condition and results of operations, and the effects of climate change could result in more intense, frequent, and extreme weather events.</w:t>
      </w:r>
    </w:p>
    <w:p>
      <w:pPr>
        <w:spacing w:after="0" w:line="3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Weather conditions have in the past adversely affected PGE’s revenues and costs, materially impacting the Company’s results of operations. Variations in temperatures have adversely and positively affected customer demand for electricity, with warmer-than-normal winter seasons or cooler-than-normal summer seasons reducing demand for energy. Weather conditions are the dominant cause of usage variations from normal seasonal patterns, particularly for residential customers. Rapid increases in load requirements resulting from unexpected weather changes, particularly if coupled with transmission constraints, could adversely impact PGE’s cost and ability to meet the energy needs of its customers. Conversely, rapid decreases in load requirements could result in the sale of excess energy at depressed market prices. Changes in the global and local climate have resulted in more intense, frequent, and extreme weather events such as ice and snowstorms, high wind, flooding, changes in regional rainfall and snowpack levels, high heat events, drought conditions, declining tree health, and increased risk of wildfires. These events have disrupted energy delivery, caused power outages, and impaired the use of, and damaged, the Company’s facilities and transmission and distribution system and could continue to do so in the future. Such events have resulted in a reduction in revenue and an increase in additional costs to restore service, repair facilities, purchase power and fuel to serve PGE load requirements, and procure insurance related to such impacts. The increase in additional costs also had adverse effects on cash flow and liquidity. In response to more intense, frequent, and severe weather events and increasing peak loads, PGE has made additional investments in generation, transmission, distribution, and energy storage assets to enhance reliability and resiliency but there is no guarantee these steps will successfully address these impacts on PGE’s financial results. Weather-related events have also caused system constraints or disrupted transmission flows, resulting in decreased reliability for customers. Severe weather also has required increased PGE personnel availability, which has resulted in increased operating expenses as well as increased safety risk. In certain instances, PGE relies on mutual aid support to assist in the recovery from severe weather. Lack of availability of mutual aid support has resulted in increased time to restore services to customers as well as increased costs and decreased customer satisfaction. We expect these weather related conditions to continue and they could have a material adverse effect on the Company’s financial condition and results of operations.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Rule 10b5-1 Trading Arrangements</w:t>
      </w:r>
    </w:p>
    <w:p>
      <w:pPr>
        <w:spacing w:after="0" w:line="220"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During the three months ended September 30, 2026, the following directors (as defined in Rule 16a-1(f) of the Exchange Act) adopted a “Rule 10b5-1 trading agreement,” as the term is defined in Item 408(c) of Regulation S-K:</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55CAB"/>
              </w:rPr>
              <w:t>Type of</w:t>
            </w: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Aggregate Number of</w:t>
            </w:r>
          </w:p>
        </w:tc>
      </w:tr>
      <w:tr>
        <w:trPr>
          <w:trHeight w:val="229"/>
        </w:trPr>
        <w:tc>
          <w:tcPr>
            <w:tcW w:w="214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155CAB"/>
              </w:rPr>
              <w:t>Name</w:t>
            </w:r>
          </w:p>
        </w:tc>
        <w:tc>
          <w:tcPr>
            <w:tcW w:w="1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Action Taken</w:t>
            </w:r>
          </w:p>
        </w:tc>
        <w:tc>
          <w:tcPr>
            <w:tcW w:w="1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Trading</w:t>
            </w:r>
          </w:p>
        </w:tc>
        <w:tc>
          <w:tcPr>
            <w:tcW w:w="14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Duration of Trading</w:t>
            </w:r>
          </w:p>
        </w:tc>
        <w:tc>
          <w:tcPr>
            <w:tcW w:w="14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Securities to be</w:t>
            </w:r>
          </w:p>
        </w:tc>
      </w:tr>
      <w:tr>
        <w:trPr>
          <w:trHeight w:val="256"/>
        </w:trPr>
        <w:tc>
          <w:tcPr>
            <w:tcW w:w="2140" w:type="dxa"/>
            <w:vAlign w:val="bottom"/>
            <w:tcBorders>
              <w:bottom w:val="single" w:sz="8" w:color="155CAB"/>
            </w:tcBorders>
          </w:tcPr>
          <w:p>
            <w:pPr>
              <w:ind w:left="800"/>
              <w:spacing w:after="0"/>
              <w:rPr>
                <w:sz w:val="20"/>
                <w:szCs w:val="20"/>
                <w:color w:val="auto"/>
              </w:rPr>
            </w:pPr>
            <w:r>
              <w:rPr>
                <w:rFonts w:ascii="Times New Roman" w:cs="Times New Roman" w:eastAsia="Times New Roman" w:hAnsi="Times New Roman"/>
                <w:sz w:val="20"/>
                <w:szCs w:val="20"/>
                <w:b w:val="1"/>
                <w:bCs w:val="1"/>
                <w:color w:val="155CAB"/>
              </w:rPr>
              <w:t>(Title)</w:t>
            </w:r>
          </w:p>
        </w:tc>
        <w:tc>
          <w:tcPr>
            <w:tcW w:w="140" w:type="dxa"/>
            <w:vAlign w:val="bottom"/>
          </w:tcPr>
          <w:p>
            <w:pPr>
              <w:spacing w:after="0"/>
              <w:rPr>
                <w:sz w:val="22"/>
                <w:szCs w:val="22"/>
                <w:color w:val="auto"/>
              </w:rPr>
            </w:pPr>
          </w:p>
        </w:tc>
        <w:tc>
          <w:tcPr>
            <w:tcW w:w="212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9"/>
              </w:rPr>
              <w:t>(Date of Action)</w:t>
            </w:r>
          </w:p>
        </w:tc>
        <w:tc>
          <w:tcPr>
            <w:tcW w:w="160" w:type="dxa"/>
            <w:vAlign w:val="bottom"/>
          </w:tcPr>
          <w:p>
            <w:pPr>
              <w:spacing w:after="0"/>
              <w:rPr>
                <w:sz w:val="22"/>
                <w:szCs w:val="22"/>
                <w:color w:val="auto"/>
              </w:rPr>
            </w:pPr>
          </w:p>
        </w:tc>
        <w:tc>
          <w:tcPr>
            <w:tcW w:w="212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Arrangement</w:t>
            </w:r>
          </w:p>
        </w:tc>
        <w:tc>
          <w:tcPr>
            <w:tcW w:w="140" w:type="dxa"/>
            <w:vAlign w:val="bottom"/>
          </w:tcPr>
          <w:p>
            <w:pPr>
              <w:spacing w:after="0"/>
              <w:rPr>
                <w:sz w:val="22"/>
                <w:szCs w:val="22"/>
                <w:color w:val="auto"/>
              </w:rPr>
            </w:pPr>
          </w:p>
        </w:tc>
        <w:tc>
          <w:tcPr>
            <w:tcW w:w="214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Arrangement</w:t>
            </w:r>
          </w:p>
        </w:tc>
        <w:tc>
          <w:tcPr>
            <w:tcW w:w="140" w:type="dxa"/>
            <w:vAlign w:val="bottom"/>
          </w:tcPr>
          <w:p>
            <w:pPr>
              <w:spacing w:after="0"/>
              <w:rPr>
                <w:sz w:val="22"/>
                <w:szCs w:val="22"/>
                <w:color w:val="auto"/>
              </w:rPr>
            </w:pPr>
          </w:p>
        </w:tc>
        <w:tc>
          <w:tcPr>
            <w:tcW w:w="2140" w:type="dxa"/>
            <w:vAlign w:val="bottom"/>
            <w:tcBorders>
              <w:bottom w:val="single" w:sz="8" w:color="155CAB"/>
            </w:tcBorders>
          </w:tcPr>
          <w:p>
            <w:pPr>
              <w:jc w:val="center"/>
              <w:spacing w:after="0"/>
              <w:rPr>
                <w:sz w:val="20"/>
                <w:szCs w:val="20"/>
                <w:color w:val="auto"/>
              </w:rPr>
            </w:pPr>
            <w:r>
              <w:rPr>
                <w:rFonts w:ascii="Times New Roman" w:cs="Times New Roman" w:eastAsia="Times New Roman" w:hAnsi="Times New Roman"/>
                <w:sz w:val="20"/>
                <w:szCs w:val="20"/>
                <w:b w:val="1"/>
                <w:bCs w:val="1"/>
                <w:color w:val="155CAB"/>
                <w:w w:val="98"/>
              </w:rPr>
              <w:t>Purchased or Sold</w:t>
            </w:r>
          </w:p>
        </w:tc>
      </w:tr>
      <w:tr>
        <w:trPr>
          <w:trHeight w:val="200"/>
        </w:trPr>
        <w:tc>
          <w:tcPr>
            <w:tcW w:w="2140" w:type="dxa"/>
            <w:vAlign w:val="bottom"/>
            <w:shd w:val="clear" w:color="auto" w:fill="EFEFEF"/>
          </w:tcPr>
          <w:p>
            <w:pPr>
              <w:spacing w:after="0" w:line="200" w:lineRule="exact"/>
              <w:rPr>
                <w:sz w:val="20"/>
                <w:szCs w:val="20"/>
                <w:color w:val="auto"/>
              </w:rPr>
            </w:pPr>
            <w:r>
              <w:rPr>
                <w:rFonts w:ascii="Times New Roman" w:cs="Times New Roman" w:eastAsia="Times New Roman" w:hAnsi="Times New Roman"/>
                <w:sz w:val="20"/>
                <w:szCs w:val="20"/>
                <w:color w:val="auto"/>
              </w:rPr>
              <w:t>Benjamin F.</w:t>
            </w:r>
          </w:p>
        </w:tc>
        <w:tc>
          <w:tcPr>
            <w:tcW w:w="2260" w:type="dxa"/>
            <w:vAlign w:val="bottom"/>
            <w:gridSpan w:val="2"/>
            <w:shd w:val="clear" w:color="auto" w:fill="EFEFEF"/>
          </w:tcPr>
          <w:p>
            <w:pPr>
              <w:ind w:left="140"/>
              <w:spacing w:after="0" w:line="200" w:lineRule="exact"/>
              <w:rPr>
                <w:sz w:val="20"/>
                <w:szCs w:val="20"/>
                <w:color w:val="auto"/>
              </w:rPr>
            </w:pPr>
            <w:r>
              <w:rPr>
                <w:rFonts w:ascii="Times New Roman" w:cs="Times New Roman" w:eastAsia="Times New Roman" w:hAnsi="Times New Roman"/>
                <w:sz w:val="20"/>
                <w:szCs w:val="20"/>
                <w:color w:val="auto"/>
              </w:rPr>
              <w:t>Adoption (August 5,</w:t>
            </w:r>
          </w:p>
        </w:tc>
        <w:tc>
          <w:tcPr>
            <w:tcW w:w="2280" w:type="dxa"/>
            <w:vAlign w:val="bottom"/>
            <w:gridSpan w:val="2"/>
            <w:shd w:val="clear" w:color="auto" w:fill="EFEFEF"/>
          </w:tcPr>
          <w:p>
            <w:pPr>
              <w:ind w:left="160"/>
              <w:spacing w:after="0" w:line="200" w:lineRule="exact"/>
              <w:rPr>
                <w:sz w:val="20"/>
                <w:szCs w:val="20"/>
                <w:color w:val="auto"/>
              </w:rPr>
            </w:pPr>
            <w:r>
              <w:rPr>
                <w:rFonts w:ascii="Times New Roman" w:cs="Times New Roman" w:eastAsia="Times New Roman" w:hAnsi="Times New Roman"/>
                <w:sz w:val="20"/>
                <w:szCs w:val="20"/>
                <w:color w:val="auto"/>
              </w:rPr>
              <w:t>Rule 10b5-1 trading</w:t>
            </w:r>
          </w:p>
        </w:tc>
        <w:tc>
          <w:tcPr>
            <w:tcW w:w="2280" w:type="dxa"/>
            <w:vAlign w:val="bottom"/>
            <w:gridSpan w:val="2"/>
            <w:shd w:val="clear" w:color="auto" w:fill="EFEFEF"/>
          </w:tcPr>
          <w:p>
            <w:pPr>
              <w:ind w:left="140"/>
              <w:spacing w:after="0" w:line="200" w:lineRule="exact"/>
              <w:rPr>
                <w:sz w:val="20"/>
                <w:szCs w:val="20"/>
                <w:color w:val="auto"/>
              </w:rPr>
            </w:pPr>
            <w:r>
              <w:rPr>
                <w:rFonts w:ascii="Times New Roman" w:cs="Times New Roman" w:eastAsia="Times New Roman" w:hAnsi="Times New Roman"/>
                <w:sz w:val="20"/>
                <w:szCs w:val="20"/>
                <w:color w:val="auto"/>
              </w:rPr>
              <w:t>Until August 5, 2027, or</w:t>
            </w:r>
          </w:p>
        </w:tc>
        <w:tc>
          <w:tcPr>
            <w:tcW w:w="140" w:type="dxa"/>
            <w:vAlign w:val="bottom"/>
            <w:shd w:val="clear" w:color="auto" w:fill="EFEFEF"/>
          </w:tcPr>
          <w:p>
            <w:pPr>
              <w:spacing w:after="0"/>
              <w:rPr>
                <w:sz w:val="17"/>
                <w:szCs w:val="17"/>
                <w:color w:val="auto"/>
              </w:rPr>
            </w:pPr>
          </w:p>
        </w:tc>
        <w:tc>
          <w:tcPr>
            <w:tcW w:w="2140" w:type="dxa"/>
            <w:vAlign w:val="bottom"/>
            <w:shd w:val="clear" w:color="auto" w:fill="EFEFEF"/>
          </w:tcPr>
          <w:p>
            <w:pPr>
              <w:spacing w:after="0" w:line="200" w:lineRule="exact"/>
              <w:rPr>
                <w:sz w:val="20"/>
                <w:szCs w:val="20"/>
                <w:color w:val="auto"/>
              </w:rPr>
            </w:pPr>
            <w:r>
              <w:rPr>
                <w:rFonts w:ascii="Times New Roman" w:cs="Times New Roman" w:eastAsia="Times New Roman" w:hAnsi="Times New Roman"/>
                <w:sz w:val="20"/>
                <w:szCs w:val="20"/>
                <w:color w:val="auto"/>
              </w:rPr>
              <w:t>Up to 37,306 shares of</w:t>
            </w:r>
          </w:p>
        </w:tc>
      </w:tr>
      <w:tr>
        <w:trPr>
          <w:trHeight w:val="229"/>
        </w:trPr>
        <w:tc>
          <w:tcPr>
            <w:tcW w:w="21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Felton (Executive Vice</w:t>
            </w:r>
          </w:p>
        </w:tc>
        <w:tc>
          <w:tcPr>
            <w:tcW w:w="2260" w:type="dxa"/>
            <w:vAlign w:val="bottom"/>
            <w:gridSpan w:val="2"/>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2026)</w:t>
            </w:r>
          </w:p>
        </w:tc>
        <w:tc>
          <w:tcPr>
            <w:tcW w:w="2280" w:type="dxa"/>
            <w:vAlign w:val="bottom"/>
            <w:gridSpan w:val="2"/>
            <w:shd w:val="clear" w:color="auto" w:fill="EFEFEF"/>
          </w:tcPr>
          <w:p>
            <w:pPr>
              <w:ind w:left="160"/>
              <w:spacing w:after="0"/>
              <w:rPr>
                <w:sz w:val="20"/>
                <w:szCs w:val="20"/>
                <w:color w:val="auto"/>
              </w:rPr>
            </w:pPr>
            <w:r>
              <w:rPr>
                <w:rFonts w:ascii="Times New Roman" w:cs="Times New Roman" w:eastAsia="Times New Roman" w:hAnsi="Times New Roman"/>
                <w:sz w:val="20"/>
                <w:szCs w:val="20"/>
                <w:color w:val="auto"/>
              </w:rPr>
              <w:t>arrangement</w:t>
            </w:r>
          </w:p>
        </w:tc>
        <w:tc>
          <w:tcPr>
            <w:tcW w:w="2280" w:type="dxa"/>
            <w:vAlign w:val="bottom"/>
            <w:gridSpan w:val="2"/>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such earlier date upon</w:t>
            </w:r>
          </w:p>
        </w:tc>
        <w:tc>
          <w:tcPr>
            <w:tcW w:w="140" w:type="dxa"/>
            <w:vAlign w:val="bottom"/>
            <w:shd w:val="clear" w:color="auto" w:fill="EFEFEF"/>
          </w:tcPr>
          <w:p>
            <w:pPr>
              <w:spacing w:after="0"/>
              <w:rPr>
                <w:sz w:val="19"/>
                <w:szCs w:val="19"/>
                <w:color w:val="auto"/>
              </w:rPr>
            </w:pPr>
          </w:p>
        </w:tc>
        <w:tc>
          <w:tcPr>
            <w:tcW w:w="21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common stock</w:t>
            </w:r>
          </w:p>
        </w:tc>
      </w:tr>
      <w:tr>
        <w:trPr>
          <w:trHeight w:val="230"/>
        </w:trPr>
        <w:tc>
          <w:tcPr>
            <w:tcW w:w="21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President Chief Operating</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2120" w:type="dxa"/>
            <w:vAlign w:val="bottom"/>
            <w:shd w:val="clear" w:color="auto" w:fill="EFEFEF"/>
          </w:tcPr>
          <w:p>
            <w:pPr>
              <w:spacing w:after="0"/>
              <w:rPr>
                <w:sz w:val="19"/>
                <w:szCs w:val="19"/>
                <w:color w:val="auto"/>
              </w:rPr>
            </w:pPr>
          </w:p>
        </w:tc>
        <w:tc>
          <w:tcPr>
            <w:tcW w:w="2280" w:type="dxa"/>
            <w:vAlign w:val="bottom"/>
            <w:gridSpan w:val="2"/>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which all transactions are</w:t>
            </w:r>
          </w:p>
        </w:tc>
        <w:tc>
          <w:tcPr>
            <w:tcW w:w="140" w:type="dxa"/>
            <w:vAlign w:val="bottom"/>
            <w:shd w:val="clear" w:color="auto" w:fill="EFEFEF"/>
          </w:tcPr>
          <w:p>
            <w:pPr>
              <w:spacing w:after="0"/>
              <w:rPr>
                <w:sz w:val="19"/>
                <w:szCs w:val="19"/>
                <w:color w:val="auto"/>
              </w:rPr>
            </w:pPr>
          </w:p>
        </w:tc>
        <w:tc>
          <w:tcPr>
            <w:tcW w:w="2140" w:type="dxa"/>
            <w:vAlign w:val="bottom"/>
            <w:shd w:val="clear" w:color="auto" w:fill="EFEFEF"/>
          </w:tcPr>
          <w:p>
            <w:pPr>
              <w:spacing w:after="0"/>
              <w:rPr>
                <w:sz w:val="19"/>
                <w:szCs w:val="19"/>
                <w:color w:val="auto"/>
              </w:rPr>
            </w:pPr>
          </w:p>
        </w:tc>
      </w:tr>
      <w:tr>
        <w:trPr>
          <w:trHeight w:val="229"/>
        </w:trPr>
        <w:tc>
          <w:tcPr>
            <w:tcW w:w="2140" w:type="dxa"/>
            <w:vAlign w:val="bottom"/>
            <w:shd w:val="clear" w:color="auto" w:fill="EFEFEF"/>
          </w:tcPr>
          <w:p>
            <w:pPr>
              <w:spacing w:after="0"/>
              <w:rPr>
                <w:sz w:val="20"/>
                <w:szCs w:val="20"/>
                <w:color w:val="auto"/>
              </w:rPr>
            </w:pPr>
            <w:r>
              <w:rPr>
                <w:rFonts w:ascii="Times New Roman" w:cs="Times New Roman" w:eastAsia="Times New Roman" w:hAnsi="Times New Roman"/>
                <w:sz w:val="20"/>
                <w:szCs w:val="20"/>
                <w:color w:val="auto"/>
              </w:rPr>
              <w:t>Officer)</w:t>
            </w:r>
          </w:p>
        </w:tc>
        <w:tc>
          <w:tcPr>
            <w:tcW w:w="140" w:type="dxa"/>
            <w:vAlign w:val="bottom"/>
            <w:shd w:val="clear" w:color="auto" w:fill="EFEFEF"/>
          </w:tcPr>
          <w:p>
            <w:pPr>
              <w:spacing w:after="0"/>
              <w:rPr>
                <w:sz w:val="19"/>
                <w:szCs w:val="19"/>
                <w:color w:val="auto"/>
              </w:rPr>
            </w:pPr>
          </w:p>
        </w:tc>
        <w:tc>
          <w:tcPr>
            <w:tcW w:w="2120" w:type="dxa"/>
            <w:vAlign w:val="bottom"/>
            <w:shd w:val="clear" w:color="auto" w:fill="EFEFEF"/>
          </w:tcPr>
          <w:p>
            <w:pPr>
              <w:spacing w:after="0"/>
              <w:rPr>
                <w:sz w:val="19"/>
                <w:szCs w:val="19"/>
                <w:color w:val="auto"/>
              </w:rPr>
            </w:pPr>
          </w:p>
        </w:tc>
        <w:tc>
          <w:tcPr>
            <w:tcW w:w="160" w:type="dxa"/>
            <w:vAlign w:val="bottom"/>
            <w:shd w:val="clear" w:color="auto" w:fill="EFEFEF"/>
          </w:tcPr>
          <w:p>
            <w:pPr>
              <w:spacing w:after="0"/>
              <w:rPr>
                <w:sz w:val="19"/>
                <w:szCs w:val="19"/>
                <w:color w:val="auto"/>
              </w:rPr>
            </w:pPr>
          </w:p>
        </w:tc>
        <w:tc>
          <w:tcPr>
            <w:tcW w:w="2120" w:type="dxa"/>
            <w:vAlign w:val="bottom"/>
            <w:shd w:val="clear" w:color="auto" w:fill="EFEFEF"/>
          </w:tcPr>
          <w:p>
            <w:pPr>
              <w:spacing w:after="0"/>
              <w:rPr>
                <w:sz w:val="19"/>
                <w:szCs w:val="19"/>
                <w:color w:val="auto"/>
              </w:rPr>
            </w:pPr>
          </w:p>
        </w:tc>
        <w:tc>
          <w:tcPr>
            <w:tcW w:w="2280" w:type="dxa"/>
            <w:vAlign w:val="bottom"/>
            <w:gridSpan w:val="2"/>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completed or expire</w:t>
            </w:r>
          </w:p>
        </w:tc>
        <w:tc>
          <w:tcPr>
            <w:tcW w:w="140" w:type="dxa"/>
            <w:vAlign w:val="bottom"/>
            <w:shd w:val="clear" w:color="auto" w:fill="EFEFEF"/>
          </w:tcPr>
          <w:p>
            <w:pPr>
              <w:spacing w:after="0"/>
              <w:rPr>
                <w:sz w:val="19"/>
                <w:szCs w:val="19"/>
                <w:color w:val="auto"/>
              </w:rPr>
            </w:pPr>
          </w:p>
        </w:tc>
        <w:tc>
          <w:tcPr>
            <w:tcW w:w="2140" w:type="dxa"/>
            <w:vAlign w:val="bottom"/>
            <w:shd w:val="clear" w:color="auto" w:fill="EFEFEF"/>
          </w:tcPr>
          <w:p>
            <w:pPr>
              <w:spacing w:after="0"/>
              <w:rPr>
                <w:sz w:val="19"/>
                <w:szCs w:val="19"/>
                <w:color w:val="auto"/>
              </w:rPr>
            </w:pPr>
          </w:p>
        </w:tc>
      </w:tr>
      <w:tr>
        <w:trPr>
          <w:trHeight w:val="252"/>
        </w:trPr>
        <w:tc>
          <w:tcPr>
            <w:tcW w:w="2140" w:type="dxa"/>
            <w:vAlign w:val="bottom"/>
            <w:shd w:val="clear" w:color="auto" w:fill="EFEFEF"/>
          </w:tcPr>
          <w:p>
            <w:pPr>
              <w:spacing w:after="0"/>
              <w:rPr>
                <w:sz w:val="21"/>
                <w:szCs w:val="21"/>
                <w:color w:val="auto"/>
              </w:rPr>
            </w:pPr>
          </w:p>
        </w:tc>
        <w:tc>
          <w:tcPr>
            <w:tcW w:w="140" w:type="dxa"/>
            <w:vAlign w:val="bottom"/>
            <w:shd w:val="clear" w:color="auto" w:fill="EFEFEF"/>
          </w:tcPr>
          <w:p>
            <w:pPr>
              <w:spacing w:after="0"/>
              <w:rPr>
                <w:sz w:val="21"/>
                <w:szCs w:val="21"/>
                <w:color w:val="auto"/>
              </w:rPr>
            </w:pPr>
          </w:p>
        </w:tc>
        <w:tc>
          <w:tcPr>
            <w:tcW w:w="2120" w:type="dxa"/>
            <w:vAlign w:val="bottom"/>
            <w:shd w:val="clear" w:color="auto" w:fill="EFEFEF"/>
          </w:tcPr>
          <w:p>
            <w:pPr>
              <w:spacing w:after="0"/>
              <w:rPr>
                <w:sz w:val="21"/>
                <w:szCs w:val="21"/>
                <w:color w:val="auto"/>
              </w:rPr>
            </w:pPr>
          </w:p>
        </w:tc>
        <w:tc>
          <w:tcPr>
            <w:tcW w:w="160" w:type="dxa"/>
            <w:vAlign w:val="bottom"/>
            <w:shd w:val="clear" w:color="auto" w:fill="EFEFEF"/>
          </w:tcPr>
          <w:p>
            <w:pPr>
              <w:spacing w:after="0"/>
              <w:rPr>
                <w:sz w:val="21"/>
                <w:szCs w:val="21"/>
                <w:color w:val="auto"/>
              </w:rPr>
            </w:pPr>
          </w:p>
        </w:tc>
        <w:tc>
          <w:tcPr>
            <w:tcW w:w="2120" w:type="dxa"/>
            <w:vAlign w:val="bottom"/>
            <w:shd w:val="clear" w:color="auto" w:fill="EFEFEF"/>
          </w:tcPr>
          <w:p>
            <w:pPr>
              <w:spacing w:after="0"/>
              <w:rPr>
                <w:sz w:val="21"/>
                <w:szCs w:val="21"/>
                <w:color w:val="auto"/>
              </w:rPr>
            </w:pPr>
          </w:p>
        </w:tc>
        <w:tc>
          <w:tcPr>
            <w:tcW w:w="2280" w:type="dxa"/>
            <w:vAlign w:val="bottom"/>
            <w:gridSpan w:val="2"/>
            <w:shd w:val="clear" w:color="auto" w:fill="EFEFEF"/>
          </w:tcPr>
          <w:p>
            <w:pPr>
              <w:ind w:left="140"/>
              <w:spacing w:after="0"/>
              <w:rPr>
                <w:sz w:val="20"/>
                <w:szCs w:val="20"/>
                <w:color w:val="auto"/>
              </w:rPr>
            </w:pPr>
            <w:r>
              <w:rPr>
                <w:rFonts w:ascii="Times New Roman" w:cs="Times New Roman" w:eastAsia="Times New Roman" w:hAnsi="Times New Roman"/>
                <w:sz w:val="20"/>
                <w:szCs w:val="20"/>
                <w:color w:val="auto"/>
              </w:rPr>
              <w:t>without execution</w:t>
            </w:r>
          </w:p>
        </w:tc>
        <w:tc>
          <w:tcPr>
            <w:tcW w:w="140" w:type="dxa"/>
            <w:vAlign w:val="bottom"/>
            <w:shd w:val="clear" w:color="auto" w:fill="EFEFEF"/>
          </w:tcPr>
          <w:p>
            <w:pPr>
              <w:spacing w:after="0"/>
              <w:rPr>
                <w:sz w:val="21"/>
                <w:szCs w:val="21"/>
                <w:color w:val="auto"/>
              </w:rPr>
            </w:pPr>
          </w:p>
        </w:tc>
        <w:tc>
          <w:tcPr>
            <w:tcW w:w="2140" w:type="dxa"/>
            <w:vAlign w:val="bottom"/>
            <w:shd w:val="clear" w:color="auto" w:fill="EFEFEF"/>
          </w:tcPr>
          <w:p>
            <w:pPr>
              <w:spacing w:after="0"/>
              <w:rPr>
                <w:sz w:val="21"/>
                <w:szCs w:val="2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5CAB"/>
        </w:rPr>
        <w:t>Item 6. Exhibits.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155CAB"/>
        </w:rPr>
        <w:t>Exhibit</w:t>
      </w:r>
    </w:p>
    <w:p>
      <w:pPr>
        <w:spacing w:after="0" w:line="26" w:lineRule="exact"/>
        <w:rPr>
          <w:sz w:val="20"/>
          <w:szCs w:val="20"/>
          <w:color w:val="auto"/>
        </w:rPr>
      </w:pPr>
    </w:p>
    <w:p>
      <w:pPr>
        <w:ind w:left="320"/>
        <w:spacing w:after="0"/>
        <w:tabs>
          <w:tab w:leader="none" w:pos="1360" w:val="left"/>
        </w:tabs>
        <w:rPr>
          <w:sz w:val="20"/>
          <w:szCs w:val="20"/>
          <w:color w:val="auto"/>
        </w:rPr>
      </w:pPr>
      <w:r>
        <w:rPr>
          <w:rFonts w:ascii="Times New Roman" w:cs="Times New Roman" w:eastAsia="Times New Roman" w:hAnsi="Times New Roman"/>
          <w:sz w:val="20"/>
          <w:szCs w:val="20"/>
          <w:b w:val="1"/>
          <w:bCs w:val="1"/>
          <w:u w:val="single" w:color="auto"/>
          <w:color w:val="155CAB"/>
        </w:rPr>
        <w:t>Number</w:t>
      </w:r>
      <w:r>
        <w:rPr>
          <w:sz w:val="20"/>
          <w:szCs w:val="20"/>
          <w:color w:val="auto"/>
        </w:rPr>
        <w:tab/>
      </w:r>
      <w:r>
        <w:rPr>
          <w:rFonts w:ascii="Times New Roman" w:cs="Times New Roman" w:eastAsia="Times New Roman" w:hAnsi="Times New Roman"/>
          <w:sz w:val="20"/>
          <w:szCs w:val="20"/>
          <w:b w:val="1"/>
          <w:bCs w:val="1"/>
          <w:u w:val="single" w:color="auto"/>
          <w:color w:val="155CAB"/>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00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2" w:lineRule="exact"/>
        <w:rPr>
          <w:sz w:val="20"/>
          <w:szCs w:val="20"/>
          <w:color w:val="auto"/>
        </w:rPr>
      </w:pPr>
    </w:p>
    <w:p>
      <w:pPr>
        <w:ind w:left="1380" w:right="80" w:hanging="836"/>
        <w:spacing w:after="0" w:line="269" w:lineRule="auto"/>
        <w:tabs>
          <w:tab w:leader="none" w:pos="136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3.1</w:t>
      </w:r>
      <w:r>
        <w:rPr>
          <w:sz w:val="20"/>
          <w:szCs w:val="20"/>
          <w:color w:val="auto"/>
        </w:rPr>
        <w:tab/>
      </w:r>
      <w:hyperlink r:id="rId429">
        <w:r>
          <w:rPr>
            <w:rFonts w:ascii="Times New Roman" w:cs="Times New Roman" w:eastAsia="Times New Roman" w:hAnsi="Times New Roman"/>
            <w:sz w:val="20"/>
            <w:szCs w:val="20"/>
            <w:u w:val="single" w:color="auto"/>
            <w:color w:val="0000FF"/>
          </w:rPr>
          <w:t>Third Amended and Restated Articles of Incorporation of Portland General Electric Company (incorporated by reference to</w:t>
        </w:r>
      </w:hyperlink>
      <w:r>
        <w:rPr>
          <w:rFonts w:ascii="Times New Roman" w:cs="Times New Roman" w:eastAsia="Times New Roman" w:hAnsi="Times New Roman"/>
          <w:sz w:val="20"/>
          <w:szCs w:val="20"/>
          <w:u w:val="single" w:color="auto"/>
          <w:color w:val="0000FF"/>
        </w:rPr>
        <w:t xml:space="preserve"> </w:t>
      </w:r>
      <w:hyperlink r:id="rId429">
        <w:r>
          <w:rPr>
            <w:rFonts w:ascii="Times New Roman" w:cs="Times New Roman" w:eastAsia="Times New Roman" w:hAnsi="Times New Roman"/>
            <w:sz w:val="20"/>
            <w:szCs w:val="20"/>
            <w:u w:val="single" w:color="auto"/>
            <w:color w:val="0000FF"/>
          </w:rPr>
          <w:t>Exhibit 3.1 to the Company’s Current Report on Form 8-K filed May 9, 2014).</w:t>
        </w:r>
      </w:hyperlink>
    </w:p>
    <w:p>
      <w:pPr>
        <w:spacing w:after="0" w:line="51" w:lineRule="exact"/>
        <w:rPr>
          <w:sz w:val="20"/>
          <w:szCs w:val="20"/>
          <w:color w:val="auto"/>
        </w:rPr>
      </w:pPr>
    </w:p>
    <w:p>
      <w:pPr>
        <w:ind w:left="1380" w:right="120" w:hanging="836"/>
        <w:spacing w:after="0" w:line="269" w:lineRule="auto"/>
        <w:tabs>
          <w:tab w:leader="none" w:pos="136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3.2</w:t>
      </w:r>
      <w:r>
        <w:rPr>
          <w:sz w:val="20"/>
          <w:szCs w:val="20"/>
          <w:color w:val="auto"/>
        </w:rPr>
        <w:tab/>
      </w:r>
      <w:hyperlink r:id="rId430">
        <w:r>
          <w:rPr>
            <w:rFonts w:ascii="Times New Roman" w:cs="Times New Roman" w:eastAsia="Times New Roman" w:hAnsi="Times New Roman"/>
            <w:sz w:val="20"/>
            <w:szCs w:val="20"/>
            <w:u w:val="single" w:color="auto"/>
            <w:color w:val="0000FF"/>
          </w:rPr>
          <w:t>Twelfth Amended and Restated Bylaws of Portland General Electric Company (incorporated by reference to Exhibit 3.2 to</w:t>
        </w:r>
      </w:hyperlink>
      <w:r>
        <w:rPr>
          <w:rFonts w:ascii="Times New Roman" w:cs="Times New Roman" w:eastAsia="Times New Roman" w:hAnsi="Times New Roman"/>
          <w:sz w:val="20"/>
          <w:szCs w:val="20"/>
          <w:u w:val="single" w:color="auto"/>
          <w:color w:val="0000FF"/>
        </w:rPr>
        <w:t xml:space="preserve"> </w:t>
      </w:r>
      <w:hyperlink r:id="rId430">
        <w:r>
          <w:rPr>
            <w:rFonts w:ascii="Times New Roman" w:cs="Times New Roman" w:eastAsia="Times New Roman" w:hAnsi="Times New Roman"/>
            <w:sz w:val="20"/>
            <w:szCs w:val="20"/>
            <w:u w:val="single" w:color="auto"/>
            <w:color w:val="0000FF"/>
          </w:rPr>
          <w:t>the Company’s Quarterly Report on Form 10-Q filed October 27,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-192405</wp:posOffset>
            </wp:positionV>
            <wp:extent cx="62103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6210300" cy="889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-46355</wp:posOffset>
            </wp:positionV>
            <wp:extent cx="364299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36429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2146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1" w:lineRule="exact"/>
        <w:rPr>
          <w:sz w:val="20"/>
          <w:szCs w:val="20"/>
          <w:color w:val="auto"/>
        </w:rPr>
      </w:pPr>
    </w:p>
    <w:p>
      <w:pPr>
        <w:ind w:left="500"/>
        <w:spacing w:after="0"/>
        <w:tabs>
          <w:tab w:leader="none" w:pos="13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w:t>
      </w:r>
    </w:p>
    <w:p>
      <w:pPr>
        <w:spacing w:after="0" w:line="108" w:lineRule="exact"/>
        <w:rPr>
          <w:sz w:val="20"/>
          <w:szCs w:val="20"/>
          <w:color w:val="auto"/>
        </w:rPr>
      </w:pPr>
    </w:p>
    <w:p>
      <w:pPr>
        <w:ind w:left="500"/>
        <w:spacing w:after="0"/>
        <w:tabs>
          <w:tab w:leader="none" w:pos="136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-10795</wp:posOffset>
            </wp:positionV>
            <wp:extent cx="20059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2146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8" w:lineRule="exact"/>
        <w:rPr>
          <w:sz w:val="20"/>
          <w:szCs w:val="20"/>
          <w:color w:val="auto"/>
        </w:rPr>
      </w:pPr>
    </w:p>
    <w:p>
      <w:pPr>
        <w:ind w:left="1380" w:hanging="809"/>
        <w:spacing w:after="0"/>
        <w:tabs>
          <w:tab w:leader="none" w:pos="13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Certifications of Chief Executive Officer and Chief Financial Officer.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8"/>
              </w:rPr>
              <w:t>101.INS</w:t>
            </w:r>
          </w:p>
        </w:tc>
        <w:tc>
          <w:tcPr>
            <w:tcW w:w="10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Instance Document. The instance document does not appear in the interactive data file because its XBRL tags are</w:t>
            </w:r>
          </w:p>
        </w:tc>
      </w:tr>
      <w:tr>
        <w:trPr>
          <w:trHeight w:val="258"/>
        </w:trPr>
        <w:tc>
          <w:tcPr>
            <w:tcW w:w="1200" w:type="dxa"/>
            <w:vAlign w:val="bottom"/>
          </w:tcPr>
          <w:p>
            <w:pPr>
              <w:spacing w:after="0"/>
              <w:rPr>
                <w:sz w:val="22"/>
                <w:szCs w:val="22"/>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r>
      <w:tr>
        <w:trPr>
          <w:trHeight w:val="48"/>
        </w:trPr>
        <w:tc>
          <w:tcPr>
            <w:tcW w:w="1200" w:type="dxa"/>
            <w:vAlign w:val="bottom"/>
          </w:tcPr>
          <w:p>
            <w:pPr>
              <w:spacing w:after="0"/>
              <w:rPr>
                <w:sz w:val="4"/>
                <w:szCs w:val="4"/>
                <w:color w:val="auto"/>
              </w:rPr>
            </w:pPr>
          </w:p>
        </w:tc>
        <w:tc>
          <w:tcPr>
            <w:tcW w:w="10040" w:type="dxa"/>
            <w:vAlign w:val="bottom"/>
          </w:tcPr>
          <w:p>
            <w:pPr>
              <w:spacing w:after="0"/>
              <w:rPr>
                <w:sz w:val="4"/>
                <w:szCs w:val="4"/>
                <w:color w:val="auto"/>
              </w:rPr>
            </w:pPr>
          </w:p>
        </w:tc>
      </w:tr>
      <w:tr>
        <w:trPr>
          <w:trHeight w:val="290"/>
        </w:trPr>
        <w:tc>
          <w:tcPr>
            <w:tcW w:w="1200" w:type="dxa"/>
            <w:vAlign w:val="bottom"/>
            <w:shd w:val="clear" w:color="auto" w:fill="EFEFEF"/>
          </w:tcPr>
          <w:p>
            <w:pPr>
              <w:jc w:val="center"/>
              <w:ind w:left="41"/>
              <w:spacing w:after="0"/>
              <w:rPr>
                <w:sz w:val="20"/>
                <w:szCs w:val="20"/>
                <w:color w:val="auto"/>
              </w:rPr>
            </w:pPr>
            <w:r>
              <w:rPr>
                <w:rFonts w:ascii="Times New Roman" w:cs="Times New Roman" w:eastAsia="Times New Roman" w:hAnsi="Times New Roman"/>
                <w:sz w:val="20"/>
                <w:szCs w:val="20"/>
                <w:color w:val="auto"/>
              </w:rPr>
              <w:t>101.SCH</w:t>
            </w:r>
          </w:p>
        </w:tc>
        <w:tc>
          <w:tcPr>
            <w:tcW w:w="100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20"/>
                <w:szCs w:val="20"/>
                <w:color w:val="auto"/>
              </w:rPr>
              <w:t>XBRL Taxonomy Extension Schema With Embedded Linkbase Documents.</w:t>
            </w:r>
          </w:p>
        </w:tc>
      </w:tr>
      <w:tr>
        <w:trPr>
          <w:trHeight w:val="48"/>
        </w:trPr>
        <w:tc>
          <w:tcPr>
            <w:tcW w:w="1200" w:type="dxa"/>
            <w:vAlign w:val="bottom"/>
            <w:shd w:val="clear" w:color="auto" w:fill="EFEFEF"/>
          </w:tcPr>
          <w:p>
            <w:pPr>
              <w:spacing w:after="0"/>
              <w:rPr>
                <w:sz w:val="4"/>
                <w:szCs w:val="4"/>
                <w:color w:val="auto"/>
              </w:rPr>
            </w:pPr>
          </w:p>
        </w:tc>
        <w:tc>
          <w:tcPr>
            <w:tcW w:w="10040" w:type="dxa"/>
            <w:vAlign w:val="bottom"/>
            <w:shd w:val="clear" w:color="auto" w:fill="EFEFEF"/>
          </w:tcPr>
          <w:p>
            <w:pPr>
              <w:spacing w:after="0"/>
              <w:rPr>
                <w:sz w:val="4"/>
                <w:szCs w:val="4"/>
                <w:color w:val="auto"/>
              </w:rPr>
            </w:pPr>
          </w:p>
        </w:tc>
      </w:tr>
    </w:tbl>
    <w:p>
      <w:pPr>
        <w:spacing w:after="0" w:line="31" w:lineRule="exact"/>
        <w:rPr>
          <w:sz w:val="20"/>
          <w:szCs w:val="20"/>
          <w:color w:val="auto"/>
        </w:rPr>
      </w:pPr>
    </w:p>
    <w:p>
      <w:pPr>
        <w:ind w:left="1380" w:right="320" w:hanging="859"/>
        <w:spacing w:after="0" w:line="269" w:lineRule="auto"/>
        <w:tabs>
          <w:tab w:leader="none" w:pos="1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 page for the Company’s Quarterly Report on Form 10-Q has been formatted in Inline XBRL and contained in Exhibit 101.</w:t>
      </w:r>
    </w:p>
    <w:p>
      <w:pPr>
        <w:spacing w:after="0" w:line="21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Certain instruments defining the rights of holders of other long-term debt of the Company are omitted pursuant to Item 601(b)(4)(iii)(A) of Regulation S-K because the total amount of securities authorized under each such omitted instrument does not exceed 10% of the total consolidated assets of the Company and its subsidiaries. The Company hereby agrees to furnish a copy of any such instrument to the SEC upon request.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PORTLAND GENERAL ELECTRIC COMPANY</w:t>
      </w:r>
    </w:p>
    <w:p>
      <w:pPr>
        <w:spacing w:after="0" w:line="6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(Registrant)</w:t>
      </w:r>
    </w:p>
    <w:p>
      <w:pPr>
        <w:spacing w:after="0" w:line="200" w:lineRule="exact"/>
        <w:rPr>
          <w:sz w:val="20"/>
          <w:szCs w:val="20"/>
          <w:color w:val="auto"/>
        </w:rPr>
      </w:pPr>
    </w:p>
    <w:p>
      <w:pPr>
        <w:spacing w:after="0" w:line="259" w:lineRule="exact"/>
        <w:rPr>
          <w:sz w:val="20"/>
          <w:szCs w:val="20"/>
          <w:color w:val="auto"/>
        </w:rPr>
      </w:pPr>
    </w:p>
    <w:p>
      <w:pPr>
        <w:spacing w:after="0"/>
        <w:tabs>
          <w:tab w:leader="none" w:pos="1820" w:val="left"/>
          <w:tab w:leader="none" w:pos="5280" w:val="left"/>
          <w:tab w:leader="none" w:pos="7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October 28,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Joseph R. Trpik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wp:posOffset>
            </wp:positionV>
            <wp:extent cx="671195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6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0"/>
          <w:szCs w:val="20"/>
          <w:color w:val="auto"/>
        </w:rPr>
        <w:t>Joseph R. Trpik</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i w:val="1"/>
          <w:iCs w:val="1"/>
          <w:color w:val="auto"/>
        </w:rPr>
        <w:t>Senior Vice President, Finance</w:t>
      </w:r>
    </w:p>
    <w:p>
      <w:pPr>
        <w:spacing w:after="0" w:line="2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20"/>
          <w:szCs w:val="20"/>
          <w:i w:val="1"/>
          <w:iCs w:val="1"/>
          <w:color w:val="auto"/>
        </w:rPr>
        <w:t>and Chief Financial Officer</w:t>
      </w:r>
    </w:p>
    <w:p>
      <w:pPr>
        <w:spacing w:after="0" w:line="4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20"/>
          <w:szCs w:val="20"/>
          <w:color w:val="auto"/>
        </w:rPr>
        <w:t>(duly authorized officer and principal financial officer)</w:t>
      </w: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71" w:name="page72"/>
    <w:bookmarkEnd w:id="71"/>
    <w:p>
      <w:pPr>
        <w:ind w:left="99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Maria M. Pope, certify that:</w:t>
      </w:r>
    </w:p>
    <w:p>
      <w:pPr>
        <w:spacing w:after="0" w:line="108"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Portland General Electric Company;</w:t>
      </w:r>
    </w:p>
    <w:p>
      <w:pPr>
        <w:spacing w:after="0" w:line="107" w:lineRule="exact"/>
        <w:rPr>
          <w:rFonts w:ascii="Times New Roman" w:cs="Times New Roman" w:eastAsia="Times New Roman" w:hAnsi="Times New Roman"/>
          <w:sz w:val="20"/>
          <w:szCs w:val="20"/>
          <w:color w:val="auto"/>
        </w:rPr>
      </w:pPr>
    </w:p>
    <w:p>
      <w:pPr>
        <w:ind w:left="760" w:right="100" w:hanging="378"/>
        <w:spacing w:after="0" w:line="254"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760" w:hanging="378"/>
        <w:spacing w:after="0" w:line="254"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ind w:left="760" w:hanging="378"/>
        <w:spacing w:after="0" w:line="254"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ind w:left="1500" w:right="20" w:hanging="369"/>
        <w:spacing w:after="0" w:line="274" w:lineRule="auto"/>
        <w:tabs>
          <w:tab w:leader="none" w:pos="150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9"/>
          <w:szCs w:val="19"/>
          <w:color w:val="auto"/>
        </w:rPr>
      </w:pPr>
    </w:p>
    <w:p>
      <w:pPr>
        <w:ind w:left="1500" w:right="340" w:hanging="369"/>
        <w:spacing w:after="0" w:line="274" w:lineRule="auto"/>
        <w:tabs>
          <w:tab w:leader="none" w:pos="150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9"/>
          <w:szCs w:val="19"/>
          <w:color w:val="auto"/>
        </w:rPr>
      </w:pPr>
    </w:p>
    <w:p>
      <w:pPr>
        <w:ind w:left="1500" w:right="200" w:hanging="369"/>
        <w:spacing w:after="0" w:line="254" w:lineRule="auto"/>
        <w:tabs>
          <w:tab w:leader="none" w:pos="15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500" w:right="300" w:hanging="369"/>
        <w:spacing w:after="0" w:line="249" w:lineRule="auto"/>
        <w:tabs>
          <w:tab w:leader="none" w:pos="15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ind w:left="760" w:right="100" w:hanging="378"/>
        <w:spacing w:after="0" w:line="254"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500" w:right="120" w:hanging="369"/>
        <w:spacing w:after="0" w:line="254" w:lineRule="auto"/>
        <w:tabs>
          <w:tab w:leader="none" w:pos="15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right="520" w:hanging="369"/>
        <w:spacing w:after="0" w:line="269" w:lineRule="auto"/>
        <w:tabs>
          <w:tab w:leader="none" w:pos="15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ind w:left="1880"/>
        <w:spacing w:after="0"/>
        <w:tabs>
          <w:tab w:leader="none" w:pos="5660" w:val="left"/>
          <w:tab w:leader="none" w:pos="6980" w:val="left"/>
        </w:tabs>
        <w:rPr>
          <w:sz w:val="20"/>
          <w:szCs w:val="20"/>
          <w:color w:val="auto"/>
        </w:rPr>
      </w:pPr>
      <w:r>
        <w:rPr>
          <w:rFonts w:ascii="Times New Roman" w:cs="Times New Roman" w:eastAsia="Times New Roman" w:hAnsi="Times New Roman"/>
          <w:sz w:val="20"/>
          <w:szCs w:val="20"/>
          <w:u w:val="single" w:color="auto"/>
          <w:color w:val="auto"/>
        </w:rPr>
        <w:t>Date: October 28,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MARIA M.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0"/>
          <w:szCs w:val="20"/>
          <w:color w:val="auto"/>
        </w:rPr>
        <w:t>Maria M. Pope</w:t>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72" w:name="page73"/>
    <w:bookmarkEnd w:id="72"/>
    <w:p>
      <w:pPr>
        <w:ind w:left="99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Joseph R. Trpik, certify that:</w:t>
      </w:r>
    </w:p>
    <w:p>
      <w:pPr>
        <w:spacing w:after="0" w:line="108"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Portland General Electric Company;</w:t>
      </w:r>
    </w:p>
    <w:p>
      <w:pPr>
        <w:spacing w:after="0" w:line="107" w:lineRule="exact"/>
        <w:rPr>
          <w:rFonts w:ascii="Times New Roman" w:cs="Times New Roman" w:eastAsia="Times New Roman" w:hAnsi="Times New Roman"/>
          <w:sz w:val="20"/>
          <w:szCs w:val="20"/>
          <w:color w:val="auto"/>
        </w:rPr>
      </w:pPr>
    </w:p>
    <w:p>
      <w:pPr>
        <w:ind w:left="760" w:right="100" w:hanging="378"/>
        <w:spacing w:after="0" w:line="254"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760" w:hanging="378"/>
        <w:spacing w:after="0" w:line="254"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ind w:left="760" w:hanging="378"/>
        <w:spacing w:after="0" w:line="254"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ind w:left="1500" w:right="20" w:hanging="369"/>
        <w:spacing w:after="0" w:line="274" w:lineRule="auto"/>
        <w:tabs>
          <w:tab w:leader="none" w:pos="150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9"/>
          <w:szCs w:val="19"/>
          <w:color w:val="auto"/>
        </w:rPr>
      </w:pPr>
    </w:p>
    <w:p>
      <w:pPr>
        <w:ind w:left="1500" w:right="340" w:hanging="369"/>
        <w:spacing w:after="0" w:line="274" w:lineRule="auto"/>
        <w:tabs>
          <w:tab w:leader="none" w:pos="150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9"/>
          <w:szCs w:val="19"/>
          <w:color w:val="auto"/>
        </w:rPr>
      </w:pPr>
    </w:p>
    <w:p>
      <w:pPr>
        <w:ind w:left="1500" w:right="200" w:hanging="369"/>
        <w:spacing w:after="0" w:line="254" w:lineRule="auto"/>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500" w:right="300" w:hanging="369"/>
        <w:spacing w:after="0" w:line="249" w:lineRule="auto"/>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ind w:left="760" w:right="100" w:hanging="378"/>
        <w:spacing w:after="0" w:line="254"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500" w:right="120" w:hanging="369"/>
        <w:spacing w:after="0" w:line="254" w:lineRule="auto"/>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right="520" w:hanging="369"/>
        <w:spacing w:after="0" w:line="269" w:lineRule="auto"/>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1880"/>
        <w:spacing w:after="0"/>
        <w:tabs>
          <w:tab w:leader="none" w:pos="5660" w:val="left"/>
          <w:tab w:leader="none" w:pos="6880" w:val="left"/>
        </w:tabs>
        <w:rPr>
          <w:sz w:val="20"/>
          <w:szCs w:val="20"/>
          <w:color w:val="auto"/>
        </w:rPr>
      </w:pPr>
      <w:r>
        <w:rPr>
          <w:rFonts w:ascii="Times New Roman" w:cs="Times New Roman" w:eastAsia="Times New Roman" w:hAnsi="Times New Roman"/>
          <w:sz w:val="20"/>
          <w:szCs w:val="20"/>
          <w:u w:val="single" w:color="auto"/>
          <w:color w:val="auto"/>
        </w:rPr>
        <w:t>Date: October 28,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JOSEPH R. TRPIK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35661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6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0"/>
          <w:szCs w:val="20"/>
          <w:color w:val="auto"/>
        </w:rPr>
        <w:t>Joseph R. Trpik</w:t>
      </w:r>
    </w:p>
    <w:p>
      <w:pPr>
        <w:spacing w:after="0" w:line="3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i w:val="1"/>
          <w:iCs w:val="1"/>
          <w:color w:val="auto"/>
        </w:rPr>
        <w:t>Senior Vice President, Finance</w:t>
      </w:r>
    </w:p>
    <w:p>
      <w:pPr>
        <w:spacing w:after="0" w:line="2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0"/>
          <w:szCs w:val="20"/>
          <w:i w:val="1"/>
          <w:iCs w:val="1"/>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73" w:name="page74"/>
    <w:bookmarkEnd w:id="73"/>
    <w:p>
      <w:pPr>
        <w:ind w:left="10100"/>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CERTIFICATIONS PURSUANT TO</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18 U.S.C. SECTION 1350, AS ADOPTED</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906 OF THE</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15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Maria M. Pope, President and Chief Executive Officer, and Joseph R. Trpik, Senior Vice President, Finance and Chief Financial Officer, of Portland General Electric Company (the “Company”), hereby certify that the Company’s Quarterly Report on Form 10-Q for the quarterly period ended September 30, 2026, as filed with the Securities and Exchange Commission on October 29, 2026 pursuant to Section 13(a) of the Securities Exchange Act of 1934 (the “Report”), fully complies with the requirements of that section.</w:t>
      </w:r>
    </w:p>
    <w:p>
      <w:pPr>
        <w:spacing w:after="0" w:line="15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We further certify that the information contained in the Report fairly presents, in all material respects, the financial condition and results of operations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60" w:type="dxa"/>
            <w:vAlign w:val="bottom"/>
          </w:tcPr>
          <w:p>
            <w:pPr>
              <w:spacing w:after="0"/>
              <w:rPr>
                <w:sz w:val="22"/>
                <w:szCs w:val="22"/>
                <w:color w:val="auto"/>
              </w:rPr>
            </w:pPr>
          </w:p>
        </w:tc>
        <w:tc>
          <w:tcPr>
            <w:tcW w:w="2880" w:type="dxa"/>
            <w:vAlign w:val="bottom"/>
            <w:gridSpan w:val="2"/>
          </w:tcPr>
          <w:p>
            <w:pPr>
              <w:jc w:val="center"/>
              <w:ind w:right="1040"/>
              <w:spacing w:after="0"/>
              <w:rPr>
                <w:sz w:val="20"/>
                <w:szCs w:val="20"/>
                <w:color w:val="auto"/>
              </w:rPr>
            </w:pPr>
            <w:r>
              <w:rPr>
                <w:rFonts w:ascii="Times New Roman" w:cs="Times New Roman" w:eastAsia="Times New Roman" w:hAnsi="Times New Roman"/>
                <w:sz w:val="20"/>
                <w:szCs w:val="20"/>
                <w:color w:val="auto"/>
                <w:w w:val="99"/>
              </w:rPr>
              <w:t>/s/ MARIA M. POPE</w:t>
            </w:r>
          </w:p>
        </w:tc>
        <w:tc>
          <w:tcPr>
            <w:tcW w:w="3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900" w:type="dxa"/>
            <w:vAlign w:val="bottom"/>
            <w:gridSpan w:val="2"/>
          </w:tcPr>
          <w:p>
            <w:pPr>
              <w:jc w:val="center"/>
              <w:ind w:right="1020"/>
              <w:spacing w:after="0"/>
              <w:rPr>
                <w:sz w:val="20"/>
                <w:szCs w:val="20"/>
                <w:color w:val="auto"/>
              </w:rPr>
            </w:pPr>
            <w:r>
              <w:rPr>
                <w:rFonts w:ascii="Times New Roman" w:cs="Times New Roman" w:eastAsia="Times New Roman" w:hAnsi="Times New Roman"/>
                <w:sz w:val="20"/>
                <w:szCs w:val="20"/>
                <w:color w:val="auto"/>
                <w:w w:val="99"/>
              </w:rPr>
              <w:t>/s/ JOSEPH R. TRPIK</w:t>
            </w: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9"/>
        </w:trPr>
        <w:tc>
          <w:tcPr>
            <w:tcW w:w="1060" w:type="dxa"/>
            <w:vAlign w:val="bottom"/>
          </w:tcPr>
          <w:p>
            <w:pPr>
              <w:spacing w:after="0"/>
              <w:rPr>
                <w:sz w:val="23"/>
                <w:szCs w:val="23"/>
                <w:color w:val="auto"/>
              </w:rPr>
            </w:pPr>
          </w:p>
        </w:tc>
        <w:tc>
          <w:tcPr>
            <w:tcW w:w="2880" w:type="dxa"/>
            <w:vAlign w:val="bottom"/>
            <w:gridSpan w:val="2"/>
          </w:tcPr>
          <w:p>
            <w:pPr>
              <w:jc w:val="center"/>
              <w:ind w:right="1040"/>
              <w:spacing w:after="0"/>
              <w:rPr>
                <w:sz w:val="20"/>
                <w:szCs w:val="20"/>
                <w:color w:val="auto"/>
              </w:rPr>
            </w:pPr>
            <w:r>
              <w:rPr>
                <w:rFonts w:ascii="Times New Roman" w:cs="Times New Roman" w:eastAsia="Times New Roman" w:hAnsi="Times New Roman"/>
                <w:sz w:val="20"/>
                <w:szCs w:val="20"/>
                <w:color w:val="auto"/>
                <w:w w:val="99"/>
              </w:rPr>
              <w:t>Maria M. Pope</w:t>
            </w:r>
          </w:p>
        </w:tc>
        <w:tc>
          <w:tcPr>
            <w:tcW w:w="3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900" w:type="dxa"/>
            <w:vAlign w:val="bottom"/>
            <w:gridSpan w:val="2"/>
          </w:tcPr>
          <w:p>
            <w:pPr>
              <w:jc w:val="center"/>
              <w:ind w:right="1040"/>
              <w:spacing w:after="0"/>
              <w:rPr>
                <w:sz w:val="20"/>
                <w:szCs w:val="20"/>
                <w:color w:val="auto"/>
              </w:rPr>
            </w:pPr>
            <w:r>
              <w:rPr>
                <w:rFonts w:ascii="Times New Roman" w:cs="Times New Roman" w:eastAsia="Times New Roman" w:hAnsi="Times New Roman"/>
                <w:sz w:val="20"/>
                <w:szCs w:val="20"/>
                <w:color w:val="auto"/>
                <w:w w:val="99"/>
              </w:rPr>
              <w:t>Joseph R. Trpik</w:t>
            </w:r>
          </w:p>
        </w:tc>
      </w:tr>
      <w:tr>
        <w:trPr>
          <w:trHeight w:val="278"/>
        </w:trPr>
        <w:tc>
          <w:tcPr>
            <w:tcW w:w="1060" w:type="dxa"/>
            <w:vAlign w:val="bottom"/>
          </w:tcPr>
          <w:p>
            <w:pPr>
              <w:spacing w:after="0"/>
              <w:rPr>
                <w:sz w:val="24"/>
                <w:szCs w:val="24"/>
                <w:color w:val="auto"/>
              </w:rPr>
            </w:pPr>
          </w:p>
        </w:tc>
        <w:tc>
          <w:tcPr>
            <w:tcW w:w="2880" w:type="dxa"/>
            <w:vAlign w:val="bottom"/>
            <w:gridSpan w:val="2"/>
          </w:tcPr>
          <w:p>
            <w:pPr>
              <w:jc w:val="center"/>
              <w:ind w:right="1100"/>
              <w:spacing w:after="0"/>
              <w:rPr>
                <w:sz w:val="20"/>
                <w:szCs w:val="20"/>
                <w:color w:val="auto"/>
              </w:rPr>
            </w:pPr>
            <w:r>
              <w:rPr>
                <w:rFonts w:ascii="Times New Roman" w:cs="Times New Roman" w:eastAsia="Times New Roman" w:hAnsi="Times New Roman"/>
                <w:sz w:val="20"/>
                <w:szCs w:val="20"/>
                <w:i w:val="1"/>
                <w:iCs w:val="1"/>
                <w:color w:val="auto"/>
                <w:w w:val="98"/>
              </w:rPr>
              <w:t>President and</w:t>
            </w:r>
          </w:p>
        </w:tc>
        <w:tc>
          <w:tcPr>
            <w:tcW w:w="3380" w:type="dxa"/>
            <w:vAlign w:val="bottom"/>
          </w:tcPr>
          <w:p>
            <w:pPr>
              <w:spacing w:after="0"/>
              <w:rPr>
                <w:sz w:val="24"/>
                <w:szCs w:val="24"/>
                <w:color w:val="auto"/>
              </w:rPr>
            </w:pPr>
          </w:p>
        </w:tc>
        <w:tc>
          <w:tcPr>
            <w:tcW w:w="392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Senior Vice President, Finance and Chief</w:t>
            </w:r>
          </w:p>
        </w:tc>
      </w:tr>
      <w:tr>
        <w:trPr>
          <w:trHeight w:val="289"/>
        </w:trPr>
        <w:tc>
          <w:tcPr>
            <w:tcW w:w="1060" w:type="dxa"/>
            <w:vAlign w:val="bottom"/>
          </w:tcPr>
          <w:p>
            <w:pPr>
              <w:spacing w:after="0"/>
              <w:rPr>
                <w:sz w:val="24"/>
                <w:szCs w:val="24"/>
                <w:color w:val="auto"/>
              </w:rPr>
            </w:pPr>
          </w:p>
        </w:tc>
        <w:tc>
          <w:tcPr>
            <w:tcW w:w="2880" w:type="dxa"/>
            <w:vAlign w:val="bottom"/>
            <w:gridSpan w:val="2"/>
          </w:tcPr>
          <w:p>
            <w:pPr>
              <w:jc w:val="center"/>
              <w:ind w:right="1040"/>
              <w:spacing w:after="0"/>
              <w:rPr>
                <w:sz w:val="20"/>
                <w:szCs w:val="20"/>
                <w:color w:val="auto"/>
              </w:rPr>
            </w:pPr>
            <w:r>
              <w:rPr>
                <w:rFonts w:ascii="Times New Roman" w:cs="Times New Roman" w:eastAsia="Times New Roman" w:hAnsi="Times New Roman"/>
                <w:sz w:val="20"/>
                <w:szCs w:val="20"/>
                <w:i w:val="1"/>
                <w:iCs w:val="1"/>
                <w:color w:val="auto"/>
                <w:w w:val="97"/>
              </w:rPr>
              <w:t>Chief Executive Officer</w:t>
            </w: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gridSpan w:val="2"/>
          </w:tcPr>
          <w:p>
            <w:pPr>
              <w:jc w:val="center"/>
              <w:ind w:right="1040"/>
              <w:spacing w:after="0"/>
              <w:rPr>
                <w:sz w:val="20"/>
                <w:szCs w:val="20"/>
                <w:color w:val="auto"/>
              </w:rPr>
            </w:pPr>
            <w:r>
              <w:rPr>
                <w:rFonts w:ascii="Times New Roman" w:cs="Times New Roman" w:eastAsia="Times New Roman" w:hAnsi="Times New Roman"/>
                <w:sz w:val="20"/>
                <w:szCs w:val="20"/>
                <w:i w:val="1"/>
                <w:iCs w:val="1"/>
                <w:color w:val="auto"/>
                <w:w w:val="98"/>
              </w:rPr>
              <w:t>Financial Officer</w:t>
            </w:r>
          </w:p>
        </w:tc>
      </w:tr>
      <w:tr>
        <w:trPr>
          <w:trHeight w:val="521"/>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Date: October 28, 2026</w:t>
            </w:r>
          </w:p>
        </w:tc>
        <w:tc>
          <w:tcPr>
            <w:tcW w:w="3380" w:type="dxa"/>
            <w:vAlign w:val="bottom"/>
          </w:tcPr>
          <w:p>
            <w:pPr>
              <w:spacing w:after="0"/>
              <w:rPr>
                <w:sz w:val="24"/>
                <w:szCs w:val="24"/>
                <w:color w:val="auto"/>
              </w:rPr>
            </w:pPr>
          </w:p>
        </w:tc>
        <w:tc>
          <w:tcPr>
            <w:tcW w:w="392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Date: October 28, 2026</w:t>
            </w:r>
          </w:p>
        </w:tc>
      </w:tr>
      <w:tr>
        <w:trPr>
          <w:trHeight w:val="1135"/>
        </w:trPr>
        <w:tc>
          <w:tcPr>
            <w:tcW w:w="1060" w:type="dxa"/>
            <w:vAlign w:val="bottom"/>
            <w:tcBorders>
              <w:bottom w:val="single" w:sz="8" w:color="9A9A9A"/>
            </w:tcBorders>
          </w:tcPr>
          <w:p>
            <w:pPr>
              <w:spacing w:after="0"/>
              <w:rPr>
                <w:sz w:val="24"/>
                <w:szCs w:val="24"/>
                <w:color w:val="auto"/>
              </w:rPr>
            </w:pPr>
          </w:p>
        </w:tc>
        <w:tc>
          <w:tcPr>
            <w:tcW w:w="1840" w:type="dxa"/>
            <w:vAlign w:val="bottom"/>
            <w:tcBorders>
              <w:top w:val="single" w:sz="8" w:color="auto"/>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60" w:type="dxa"/>
            <w:vAlign w:val="bottom"/>
            <w:tcBorders>
              <w:top w:val="single" w:sz="8" w:color="auto"/>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32"/>
    </w:lvl>
  </w:abstractNum>
  <w:abstractNum w:abstractNumId="33">
    <w:nsid w:val="5577F8E1"/>
    <w:multiLevelType w:val="hybridMultilevel"/>
    <w:lvl w:ilvl="0">
      <w:lvlJc w:val="left"/>
      <w:lvlText w:val="%1"/>
      <w:numFmt w:val="decimal"/>
      <w:start w:val="104"/>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29" Type="http://schemas.openxmlformats.org/officeDocument/2006/relationships/hyperlink" Target="https://www.sec.gov/Archives/edgar/data/784977/000078497714000033/exhibit31.htm" TargetMode="External"/><Relationship Id="rId430" Type="http://schemas.openxmlformats.org/officeDocument/2006/relationships/hyperlink" Target="https://www.sec.gov/Archives/edgar/data/784977/000078497723000142/exh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2026-10-29T05:32:12Z</dcterms:created>
  <dcterms:modified xsi:type="dcterms:W3CDTF">2026-10-29T05:32:12Z</dcterms:modified>
</cp:coreProperties>
</file>