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jc w:val="center"/>
        <w:ind w:right="29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19"/>
        <w:spacing w:after="0"/>
        <w:tabs>
          <w:tab w:leader="none" w:pos="180" w:val="left"/>
        </w:tabs>
        <w:rPr>
          <w:sz w:val="20"/>
          <w:szCs w:val="20"/>
          <w:color w:val="auto"/>
        </w:rPr>
      </w:pPr>
      <w:r>
        <w:rPr>
          <w:rFonts w:ascii="Courier New" w:cs="Courier New" w:eastAsia="Courier New" w:hAnsi="Courier New"/>
          <w:sz w:val="15"/>
          <w:szCs w:val="15"/>
          <w:color w:val="auto"/>
        </w:rPr>
        <w:t>Washington, D.C.</w:t>
        <w:tab/>
        <w:t>20549</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FORM 10-K</w:t>
      </w:r>
    </w:p>
    <w:p>
      <w:pPr>
        <w:spacing w:after="0" w:line="185" w:lineRule="exact"/>
        <w:rPr>
          <w:sz w:val="24"/>
          <w:szCs w:val="24"/>
          <w:color w:val="auto"/>
        </w:rPr>
      </w:pPr>
    </w:p>
    <w:p>
      <w:pPr>
        <w:ind w:left="1200" w:hanging="824"/>
        <w:spacing w:after="0"/>
        <w:tabs>
          <w:tab w:leader="none" w:pos="12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SECURITIES EXCHANGE ACT OF 1934</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For the fiscal year ended DECEMBER 31, 1995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1720" w:type="dxa"/>
            <w:vAlign w:val="bottom"/>
          </w:tcPr>
          <w:p>
            <w:pPr>
              <w:ind w:left="100"/>
              <w:spacing w:after="0"/>
              <w:rPr>
                <w:sz w:val="20"/>
                <w:szCs w:val="20"/>
                <w:color w:val="auto"/>
              </w:rPr>
            </w:pPr>
            <w:r>
              <w:rPr>
                <w:rFonts w:ascii="Courier New" w:cs="Courier New" w:eastAsia="Courier New" w:hAnsi="Courier New"/>
                <w:sz w:val="15"/>
                <w:szCs w:val="15"/>
                <w:color w:val="auto"/>
              </w:rPr>
              <w:t>Registrant; State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of Incorporation;</w:t>
            </w:r>
          </w:p>
        </w:tc>
        <w:tc>
          <w:tcPr>
            <w:tcW w:w="1840" w:type="dxa"/>
            <w:vAlign w:val="bottom"/>
          </w:tcPr>
          <w:p>
            <w:pPr>
              <w:ind w:left="100"/>
              <w:spacing w:after="0"/>
              <w:rPr>
                <w:sz w:val="20"/>
                <w:szCs w:val="20"/>
                <w:color w:val="auto"/>
              </w:rPr>
            </w:pPr>
            <w:r>
              <w:rPr>
                <w:rFonts w:ascii="Courier New" w:cs="Courier New" w:eastAsia="Courier New" w:hAnsi="Courier New"/>
                <w:sz w:val="15"/>
                <w:szCs w:val="15"/>
                <w:color w:val="auto"/>
              </w:rPr>
              <w:t>IRS Employer</w:t>
            </w:r>
          </w:p>
        </w:tc>
      </w:tr>
      <w:tr>
        <w:trPr>
          <w:trHeight w:val="177"/>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COMMISSION FILE NUMBER</w:t>
            </w:r>
          </w:p>
        </w:tc>
        <w:tc>
          <w:tcPr>
            <w:tcW w:w="34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ADDRESS; AND TELEPHONE NUMBER</w:t>
            </w:r>
          </w:p>
        </w:tc>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IDENTIFICATION NO.</w:t>
            </w:r>
          </w:p>
        </w:tc>
      </w:tr>
      <w:tr>
        <w:trPr>
          <w:trHeight w:val="710"/>
        </w:trPr>
        <w:tc>
          <w:tcPr>
            <w:tcW w:w="2120" w:type="dxa"/>
            <w:vAlign w:val="bottom"/>
          </w:tcPr>
          <w:p>
            <w:pPr>
              <w:spacing w:after="0"/>
              <w:rPr>
                <w:sz w:val="20"/>
                <w:szCs w:val="20"/>
                <w:color w:val="auto"/>
              </w:rPr>
            </w:pPr>
            <w:r>
              <w:rPr>
                <w:rFonts w:ascii="Courier New" w:cs="Courier New" w:eastAsia="Courier New" w:hAnsi="Courier New"/>
                <w:sz w:val="15"/>
                <w:szCs w:val="15"/>
                <w:color w:val="auto"/>
              </w:rPr>
              <w:t>1-5532</w:t>
            </w:r>
          </w:p>
        </w:tc>
        <w:tc>
          <w:tcPr>
            <w:tcW w:w="1720" w:type="dxa"/>
            <w:vAlign w:val="bottom"/>
          </w:tcPr>
          <w:p>
            <w:pPr>
              <w:ind w:left="200"/>
              <w:spacing w:after="0"/>
              <w:rPr>
                <w:sz w:val="20"/>
                <w:szCs w:val="20"/>
                <w:color w:val="auto"/>
              </w:rPr>
            </w:pPr>
            <w:r>
              <w:rPr>
                <w:rFonts w:ascii="Courier New" w:cs="Courier New" w:eastAsia="Courier New" w:hAnsi="Courier New"/>
                <w:sz w:val="15"/>
                <w:szCs w:val="15"/>
                <w:color w:val="auto"/>
              </w:rPr>
              <w:t>PORTLAND GENERAL</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CORPORATION</w:t>
            </w:r>
          </w:p>
        </w:tc>
        <w:tc>
          <w:tcPr>
            <w:tcW w:w="1840" w:type="dxa"/>
            <w:vAlign w:val="bottom"/>
          </w:tcPr>
          <w:p>
            <w:pPr>
              <w:ind w:left="100"/>
              <w:spacing w:after="0"/>
              <w:rPr>
                <w:sz w:val="20"/>
                <w:szCs w:val="20"/>
                <w:color w:val="auto"/>
              </w:rPr>
            </w:pPr>
            <w:r>
              <w:rPr>
                <w:rFonts w:ascii="Courier New" w:cs="Courier New" w:eastAsia="Courier New" w:hAnsi="Courier New"/>
                <w:sz w:val="15"/>
                <w:szCs w:val="15"/>
                <w:color w:val="auto"/>
              </w:rPr>
              <w:t>93-0909442</w:t>
            </w:r>
          </w:p>
        </w:tc>
      </w:tr>
      <w:tr>
        <w:trPr>
          <w:trHeight w:val="177"/>
        </w:trPr>
        <w:tc>
          <w:tcPr>
            <w:tcW w:w="2120" w:type="dxa"/>
            <w:vAlign w:val="bottom"/>
          </w:tcPr>
          <w:p>
            <w:pPr>
              <w:spacing w:after="0"/>
              <w:rPr>
                <w:sz w:val="15"/>
                <w:szCs w:val="15"/>
                <w:color w:val="auto"/>
              </w:rPr>
            </w:pPr>
          </w:p>
        </w:tc>
        <w:tc>
          <w:tcPr>
            <w:tcW w:w="34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(an Oregon Corporation)</w:t>
            </w:r>
          </w:p>
        </w:tc>
        <w:tc>
          <w:tcPr>
            <w:tcW w:w="184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34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121 SW Salmon Street</w:t>
            </w:r>
          </w:p>
        </w:tc>
        <w:tc>
          <w:tcPr>
            <w:tcW w:w="184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720" w:type="dxa"/>
            <w:vAlign w:val="bottom"/>
          </w:tcPr>
          <w:p>
            <w:pPr>
              <w:ind w:left="200"/>
              <w:spacing w:after="0"/>
              <w:rPr>
                <w:sz w:val="20"/>
                <w:szCs w:val="20"/>
                <w:color w:val="auto"/>
              </w:rPr>
            </w:pPr>
            <w:r>
              <w:rPr>
                <w:rFonts w:ascii="Courier New" w:cs="Courier New" w:eastAsia="Courier New" w:hAnsi="Courier New"/>
                <w:sz w:val="15"/>
                <w:szCs w:val="15"/>
                <w:color w:val="auto"/>
              </w:rPr>
              <w:t>Portland, Oregon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97204</w:t>
            </w:r>
          </w:p>
        </w:tc>
        <w:tc>
          <w:tcPr>
            <w:tcW w:w="184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720" w:type="dxa"/>
            <w:vAlign w:val="bottom"/>
          </w:tcPr>
          <w:p>
            <w:pPr>
              <w:ind w:left="200"/>
              <w:spacing w:after="0"/>
              <w:rPr>
                <w:sz w:val="20"/>
                <w:szCs w:val="20"/>
                <w:color w:val="auto"/>
              </w:rPr>
            </w:pPr>
            <w:r>
              <w:rPr>
                <w:rFonts w:ascii="Courier New" w:cs="Courier New" w:eastAsia="Courier New" w:hAnsi="Courier New"/>
                <w:sz w:val="15"/>
                <w:szCs w:val="15"/>
                <w:color w:val="auto"/>
              </w:rPr>
              <w:t>(503) 464-8820</w:t>
            </w:r>
          </w:p>
        </w:tc>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55"/>
        </w:trPr>
        <w:tc>
          <w:tcPr>
            <w:tcW w:w="2120" w:type="dxa"/>
            <w:vAlign w:val="bottom"/>
          </w:tcPr>
          <w:p>
            <w:pPr>
              <w:spacing w:after="0"/>
              <w:rPr>
                <w:sz w:val="20"/>
                <w:szCs w:val="20"/>
                <w:color w:val="auto"/>
              </w:rPr>
            </w:pPr>
            <w:r>
              <w:rPr>
                <w:rFonts w:ascii="Courier New" w:cs="Courier New" w:eastAsia="Courier New" w:hAnsi="Courier New"/>
                <w:sz w:val="15"/>
                <w:szCs w:val="15"/>
                <w:color w:val="auto"/>
              </w:rPr>
              <w:t>1-5532-99</w:t>
            </w:r>
          </w:p>
        </w:tc>
        <w:tc>
          <w:tcPr>
            <w:tcW w:w="1720" w:type="dxa"/>
            <w:vAlign w:val="bottom"/>
          </w:tcPr>
          <w:p>
            <w:pPr>
              <w:ind w:left="200"/>
              <w:spacing w:after="0"/>
              <w:rPr>
                <w:sz w:val="20"/>
                <w:szCs w:val="20"/>
                <w:color w:val="auto"/>
              </w:rPr>
            </w:pPr>
            <w:r>
              <w:rPr>
                <w:rFonts w:ascii="Courier New" w:cs="Courier New" w:eastAsia="Courier New" w:hAnsi="Courier New"/>
                <w:sz w:val="15"/>
                <w:szCs w:val="15"/>
                <w:color w:val="auto"/>
              </w:rPr>
              <w:t>PORTLAND GENERAL</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ELECTRIC COMPANY</w:t>
            </w:r>
          </w:p>
        </w:tc>
        <w:tc>
          <w:tcPr>
            <w:tcW w:w="1840" w:type="dxa"/>
            <w:vAlign w:val="bottom"/>
          </w:tcPr>
          <w:p>
            <w:pPr>
              <w:ind w:left="100"/>
              <w:spacing w:after="0"/>
              <w:rPr>
                <w:sz w:val="20"/>
                <w:szCs w:val="20"/>
                <w:color w:val="auto"/>
              </w:rPr>
            </w:pPr>
            <w:r>
              <w:rPr>
                <w:rFonts w:ascii="Courier New" w:cs="Courier New" w:eastAsia="Courier New" w:hAnsi="Courier New"/>
                <w:sz w:val="15"/>
                <w:szCs w:val="15"/>
                <w:color w:val="auto"/>
              </w:rPr>
              <w:t>93-0256820</w:t>
            </w:r>
          </w:p>
        </w:tc>
      </w:tr>
      <w:tr>
        <w:trPr>
          <w:trHeight w:val="177"/>
        </w:trPr>
        <w:tc>
          <w:tcPr>
            <w:tcW w:w="2120" w:type="dxa"/>
            <w:vAlign w:val="bottom"/>
          </w:tcPr>
          <w:p>
            <w:pPr>
              <w:spacing w:after="0"/>
              <w:rPr>
                <w:sz w:val="15"/>
                <w:szCs w:val="15"/>
                <w:color w:val="auto"/>
              </w:rPr>
            </w:pPr>
          </w:p>
        </w:tc>
        <w:tc>
          <w:tcPr>
            <w:tcW w:w="34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(an Oregon Corporation)</w:t>
            </w:r>
          </w:p>
        </w:tc>
        <w:tc>
          <w:tcPr>
            <w:tcW w:w="184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34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121 SW Salmon Street</w:t>
            </w:r>
          </w:p>
        </w:tc>
        <w:tc>
          <w:tcPr>
            <w:tcW w:w="184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720" w:type="dxa"/>
            <w:vAlign w:val="bottom"/>
          </w:tcPr>
          <w:p>
            <w:pPr>
              <w:ind w:left="200"/>
              <w:spacing w:after="0"/>
              <w:rPr>
                <w:sz w:val="20"/>
                <w:szCs w:val="20"/>
                <w:color w:val="auto"/>
              </w:rPr>
            </w:pPr>
            <w:r>
              <w:rPr>
                <w:rFonts w:ascii="Courier New" w:cs="Courier New" w:eastAsia="Courier New" w:hAnsi="Courier New"/>
                <w:sz w:val="15"/>
                <w:szCs w:val="15"/>
                <w:color w:val="auto"/>
              </w:rPr>
              <w:t>Portland, Oregon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97204</w:t>
            </w:r>
          </w:p>
        </w:tc>
        <w:tc>
          <w:tcPr>
            <w:tcW w:w="1840" w:type="dxa"/>
            <w:vAlign w:val="bottom"/>
          </w:tcPr>
          <w:p>
            <w:pPr>
              <w:spacing w:after="0"/>
              <w:rPr>
                <w:sz w:val="15"/>
                <w:szCs w:val="15"/>
                <w:color w:val="auto"/>
              </w:rPr>
            </w:pPr>
          </w:p>
        </w:tc>
      </w:tr>
      <w:tr>
        <w:trPr>
          <w:trHeight w:val="177"/>
        </w:trPr>
        <w:tc>
          <w:tcPr>
            <w:tcW w:w="2120" w:type="dxa"/>
            <w:vAlign w:val="bottom"/>
          </w:tcPr>
          <w:p>
            <w:pPr>
              <w:spacing w:after="0"/>
              <w:rPr>
                <w:sz w:val="15"/>
                <w:szCs w:val="15"/>
                <w:color w:val="auto"/>
              </w:rPr>
            </w:pPr>
          </w:p>
        </w:tc>
        <w:tc>
          <w:tcPr>
            <w:tcW w:w="1720" w:type="dxa"/>
            <w:vAlign w:val="bottom"/>
          </w:tcPr>
          <w:p>
            <w:pPr>
              <w:ind w:left="200"/>
              <w:spacing w:after="0"/>
              <w:rPr>
                <w:sz w:val="20"/>
                <w:szCs w:val="20"/>
                <w:color w:val="auto"/>
              </w:rPr>
            </w:pPr>
            <w:r>
              <w:rPr>
                <w:rFonts w:ascii="Courier New" w:cs="Courier New" w:eastAsia="Courier New" w:hAnsi="Courier New"/>
                <w:sz w:val="15"/>
                <w:szCs w:val="15"/>
                <w:color w:val="auto"/>
              </w:rPr>
              <w:t>(503) 464-8000</w:t>
            </w:r>
          </w:p>
        </w:tc>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r>
    </w:tbl>
    <w:p>
      <w:pPr>
        <w:spacing w:after="0" w:line="3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907" w:orient="portrait"/>
          <w:cols w:equalWidth="0" w:num="1">
            <w:col w:w="10139"/>
          </w:cols>
          <w:pgMar w:left="320" w:top="1123"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1020"/>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5"/>
          <w:szCs w:val="15"/>
          <w:color w:val="auto"/>
        </w:rPr>
        <w:t>Name of each exchange</w:t>
      </w:r>
    </w:p>
    <w:p>
      <w:pPr>
        <w:spacing w:after="0" w:line="8"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5"/>
          <w:szCs w:val="15"/>
          <w:color w:val="auto"/>
        </w:rPr>
        <w:t>on which registered</w:t>
      </w:r>
    </w:p>
    <w:p>
      <w:pPr>
        <w:spacing w:after="0" w:line="8" w:lineRule="exact"/>
        <w:rPr>
          <w:sz w:val="24"/>
          <w:szCs w:val="24"/>
          <w:color w:val="auto"/>
        </w:rPr>
      </w:pPr>
    </w:p>
    <w:p>
      <w:pPr>
        <w:sectPr>
          <w:pgSz w:w="11900" w:h="16907" w:orient="portrait"/>
          <w:cols w:equalWidth="0" w:num="2">
            <w:col w:w="6660" w:space="720"/>
            <w:col w:w="2759"/>
          </w:cols>
          <w:pgMar w:left="320" w:top="1123" w:right="1440" w:bottom="0" w:gutter="0" w:footer="0" w:header="0"/>
          <w:type w:val="continuous"/>
        </w:sectPr>
      </w:pPr>
    </w:p>
    <w:p>
      <w:pPr>
        <w:ind w:left="200"/>
        <w:spacing w:after="0"/>
        <w:rPr>
          <w:sz w:val="20"/>
          <w:szCs w:val="20"/>
          <w:color w:val="auto"/>
        </w:rPr>
      </w:pPr>
      <w:r>
        <w:rPr>
          <w:rFonts w:ascii="Courier New" w:cs="Courier New" w:eastAsia="Courier New" w:hAnsi="Courier New"/>
          <w:sz w:val="15"/>
          <w:szCs w:val="15"/>
          <w:color w:val="auto"/>
        </w:rPr>
        <w:t>Portland General Corporation</w:t>
      </w:r>
    </w:p>
    <w:p>
      <w:pPr>
        <w:sectPr>
          <w:pgSz w:w="11900" w:h="16907" w:orient="portrait"/>
          <w:cols w:equalWidth="0" w:num="1">
            <w:col w:w="10139"/>
          </w:cols>
          <w:pgMar w:left="320" w:top="1123" w:right="1440" w:bottom="0" w:gutter="0" w:footer="0" w:header="0"/>
          <w:type w:val="continuous"/>
        </w:sectPr>
      </w:pPr>
    </w:p>
    <w:p>
      <w:pPr>
        <w:spacing w:after="0" w:line="8"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Common Stock, $3.75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Pacific Stock Exchange</w:t>
      </w:r>
    </w:p>
    <w:p>
      <w:pPr>
        <w:spacing w:after="0" w:line="185" w:lineRule="exact"/>
        <w:rPr>
          <w:sz w:val="24"/>
          <w:szCs w:val="24"/>
          <w:color w:val="auto"/>
        </w:rPr>
      </w:pPr>
    </w:p>
    <w:p>
      <w:pPr>
        <w:sectPr>
          <w:pgSz w:w="11900" w:h="16907" w:orient="portrait"/>
          <w:cols w:equalWidth="0" w:num="2">
            <w:col w:w="6480" w:space="720"/>
            <w:col w:w="2939"/>
          </w:cols>
          <w:pgMar w:left="320" w:top="1123" w:right="1440" w:bottom="0" w:gutter="0" w:footer="0" w:header="0"/>
          <w:type w:val="continuous"/>
        </w:sectPr>
      </w:pPr>
    </w:p>
    <w:p>
      <w:pPr>
        <w:ind w:left="200"/>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8"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8.25% Quarterly Income Debt Securities</w:t>
      </w:r>
    </w:p>
    <w:p>
      <w:pPr>
        <w:spacing w:after="0" w:line="8"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(Junior Subordinated Deferrable Interest Debentures, Series A)</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185" w:lineRule="exact"/>
        <w:rPr>
          <w:sz w:val="24"/>
          <w:szCs w:val="24"/>
          <w:color w:val="auto"/>
        </w:rPr>
      </w:pPr>
    </w:p>
    <w:p>
      <w:pPr>
        <w:sectPr>
          <w:pgSz w:w="11900" w:h="16907" w:orient="portrait"/>
          <w:cols w:equalWidth="0" w:num="2">
            <w:col w:w="6480" w:space="720"/>
            <w:col w:w="2939"/>
          </w:cols>
          <w:pgMar w:left="320" w:top="1123" w:right="1440" w:bottom="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Portland General Corporation</w:t>
      </w:r>
    </w:p>
    <w:p>
      <w:pPr>
        <w:spacing w:after="0" w:line="8"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8"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8.10% Series, Cumulative Preferred Stock, $100 par value per share</w:t>
      </w:r>
    </w:p>
    <w:p>
      <w:pPr>
        <w:spacing w:after="0" w:line="8"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7.75% Series, Cumulative Preferred Stock, no par value</w:t>
      </w:r>
    </w:p>
    <w:p>
      <w:pPr>
        <w:spacing w:after="0" w:line="362" w:lineRule="exact"/>
        <w:rPr>
          <w:sz w:val="24"/>
          <w:szCs w:val="24"/>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907" w:orient="portrait"/>
          <w:cols w:equalWidth="0" w:num="1">
            <w:col w:w="10139"/>
          </w:cols>
          <w:pgMar w:left="320" w:top="1123"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w:t>
      </w:r>
    </w:p>
    <w:p>
      <w:pPr>
        <w:spacing w:after="0" w:line="2"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this Form 10-K.</w:t>
        <w:tab/>
        <w:t>[ X ]</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Indicate by</w:t>
            </w:r>
          </w:p>
        </w:tc>
        <w:tc>
          <w:tcPr>
            <w:tcW w:w="1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check mark whether</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the</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registrant</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has</w:t>
            </w:r>
          </w:p>
        </w:tc>
        <w:tc>
          <w:tcPr>
            <w:tcW w:w="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filed</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all  reports</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required to</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be</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w w:val="99"/>
              </w:rPr>
              <w:t>filed by Section</w:t>
            </w:r>
          </w:p>
        </w:tc>
        <w:tc>
          <w:tcPr>
            <w:tcW w:w="39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13 or 15(d) of the Securities Exchange Act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r>
      <w:tr>
        <w:trPr>
          <w:trHeight w:val="177"/>
        </w:trPr>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1934  during</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the  preceding</w:t>
            </w:r>
          </w:p>
        </w:tc>
        <w:tc>
          <w:tcPr>
            <w:tcW w:w="2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12  months (or for such shorter</w:t>
            </w:r>
          </w:p>
        </w:tc>
        <w:tc>
          <w:tcPr>
            <w:tcW w:w="1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period that the</w:t>
            </w:r>
          </w:p>
        </w:tc>
      </w:tr>
      <w:tr>
        <w:trPr>
          <w:trHeight w:val="177"/>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registrant was</w:t>
            </w:r>
          </w:p>
        </w:tc>
        <w:tc>
          <w:tcPr>
            <w:tcW w:w="2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required to file such</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reports),</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has</w:t>
            </w:r>
          </w:p>
        </w:tc>
        <w:tc>
          <w:tcPr>
            <w:tcW w:w="1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been subject to</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such filing</w:t>
            </w:r>
          </w:p>
        </w:tc>
        <w:tc>
          <w:tcPr>
            <w:tcW w:w="23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requirements for the past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90 days.</w:t>
            </w:r>
          </w:p>
        </w:tc>
        <w:tc>
          <w:tcPr>
            <w:tcW w:w="460" w:type="dxa"/>
            <w:vAlign w:val="bottom"/>
          </w:tcPr>
          <w:p>
            <w:pPr>
              <w:spacing w:after="0"/>
              <w:rPr>
                <w:sz w:val="15"/>
                <w:szCs w:val="15"/>
                <w:color w:val="auto"/>
              </w:rPr>
            </w:pP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Yes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X</w:t>
            </w:r>
          </w:p>
        </w:tc>
        <w:tc>
          <w:tcPr>
            <w:tcW w:w="280" w:type="dxa"/>
            <w:vAlign w:val="bottom"/>
          </w:tcPr>
          <w:p>
            <w:pPr>
              <w:spacing w:after="0"/>
              <w:rPr>
                <w:sz w:val="15"/>
                <w:szCs w:val="15"/>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No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400" w:type="dxa"/>
            <w:vAlign w:val="bottom"/>
            <w:gridSpan w:val="7"/>
          </w:tcPr>
          <w:p>
            <w:pPr>
              <w:spacing w:after="0"/>
              <w:rPr>
                <w:sz w:val="20"/>
                <w:szCs w:val="20"/>
                <w:color w:val="auto"/>
              </w:rPr>
            </w:pPr>
            <w:r>
              <w:rPr>
                <w:rFonts w:ascii="Courier New" w:cs="Courier New" w:eastAsia="Courier New" w:hAnsi="Courier New"/>
                <w:sz w:val="15"/>
                <w:szCs w:val="15"/>
                <w:color w:val="auto"/>
              </w:rPr>
              <w:t>The aggregate market value of Portland General Corporation</w:t>
            </w:r>
          </w:p>
        </w:tc>
        <w:tc>
          <w:tcPr>
            <w:tcW w:w="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voting</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held</w:t>
            </w:r>
          </w:p>
        </w:tc>
      </w:tr>
    </w:tbl>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by non-affiliates of the registrant as of January 31, 1996 (based on the last</w:t>
      </w:r>
    </w:p>
    <w:p>
      <w:pPr>
        <w:spacing w:after="0" w:line="8" w:lineRule="exact"/>
        <w:rPr>
          <w:sz w:val="24"/>
          <w:szCs w:val="24"/>
          <w:color w:val="auto"/>
        </w:rPr>
      </w:pPr>
    </w:p>
    <w:p>
      <w:pPr>
        <w:ind w:right="2939" w:firstLine="92"/>
        <w:spacing w:after="0" w:line="246" w:lineRule="auto"/>
        <w:rPr>
          <w:sz w:val="20"/>
          <w:szCs w:val="20"/>
          <w:color w:val="auto"/>
        </w:rPr>
      </w:pPr>
      <w:r>
        <w:rPr>
          <w:rFonts w:ascii="Courier New" w:cs="Courier New" w:eastAsia="Courier New" w:hAnsi="Courier New"/>
          <w:sz w:val="15"/>
          <w:szCs w:val="15"/>
          <w:color w:val="auto"/>
        </w:rPr>
        <w:t>sales price on the New York Stock Exchange as of such date) was $1.5 billion.</w:t>
      </w:r>
    </w:p>
    <w:p>
      <w:pPr>
        <w:sectPr>
          <w:pgSz w:w="11900" w:h="16907" w:orient="portrait"/>
          <w:cols w:equalWidth="0" w:num="1">
            <w:col w:w="10139"/>
          </w:cols>
          <w:pgMar w:left="320" w:top="1123" w:right="1440" w:bottom="0" w:gutter="0" w:footer="0" w:header="0"/>
          <w:type w:val="continuous"/>
        </w:sectPr>
      </w:pPr>
    </w:p>
    <w:p>
      <w:pPr>
        <w:spacing w:after="0" w:line="358" w:lineRule="exact"/>
        <w:rPr>
          <w:sz w:val="24"/>
          <w:szCs w:val="24"/>
          <w:color w:val="auto"/>
        </w:rPr>
      </w:pPr>
    </w:p>
    <w:p>
      <w:pPr>
        <w:spacing w:after="0"/>
        <w:tabs>
          <w:tab w:leader="none" w:pos="2020" w:val="left"/>
          <w:tab w:leader="none" w:pos="3220" w:val="left"/>
          <w:tab w:leader="none" w:pos="3580" w:val="left"/>
          <w:tab w:leader="none" w:pos="4040" w:val="left"/>
        </w:tabs>
        <w:rPr>
          <w:sz w:val="20"/>
          <w:szCs w:val="20"/>
          <w:color w:val="auto"/>
        </w:rPr>
      </w:pPr>
      <w:r>
        <w:rPr>
          <w:rFonts w:ascii="Courier New" w:cs="Courier New" w:eastAsia="Courier New" w:hAnsi="Courier New"/>
          <w:sz w:val="15"/>
          <w:szCs w:val="15"/>
          <w:color w:val="auto"/>
        </w:rPr>
        <w:t>The number of shares</w:t>
        <w:tab/>
        <w:t>outstanding</w:t>
        <w:tab/>
        <w:t>of</w:t>
        <w:tab/>
        <w:t>the</w:t>
        <w:tab/>
        <w:t>registrants'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January 31, 1996 was:</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Portland General Corporation</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8"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(owned by Portland General Corporation)</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common</w:t>
        <w:tab/>
        <w:t>stocks as of</w:t>
      </w:r>
    </w:p>
    <w:p>
      <w:pPr>
        <w:spacing w:after="0" w:line="18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51,024,810</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42,758,877</w:t>
      </w:r>
    </w:p>
    <w:p>
      <w:pPr>
        <w:spacing w:after="0" w:line="377" w:lineRule="exact"/>
        <w:rPr>
          <w:sz w:val="24"/>
          <w:szCs w:val="24"/>
          <w:color w:val="auto"/>
        </w:rPr>
      </w:pPr>
    </w:p>
    <w:p>
      <w:pPr>
        <w:sectPr>
          <w:pgSz w:w="11900" w:h="16907" w:orient="portrait"/>
          <w:cols w:equalWidth="0" w:num="2">
            <w:col w:w="5360" w:space="0"/>
            <w:col w:w="4779"/>
          </w:cols>
          <w:pgMar w:left="320" w:top="1123" w:right="1440" w:bottom="0" w:gutter="0" w:footer="0" w:header="0"/>
          <w:type w:val="continuous"/>
        </w:sectPr>
      </w:pPr>
    </w:p>
    <w:p>
      <w:pPr>
        <w:spacing w:after="0" w:line="16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DOCUMENT INCORPORATED BY REFERENCE</w:t>
      </w:r>
    </w:p>
    <w:p>
      <w:pPr>
        <w:sectPr>
          <w:pgSz w:w="11900" w:h="16907" w:orient="portrait"/>
          <w:cols w:equalWidth="0" w:num="1">
            <w:col w:w="10139"/>
          </w:cols>
          <w:pgMar w:left="320" w:top="1123" w:right="1440" w:bottom="0" w:gutter="0" w:footer="0" w:header="0"/>
          <w:type w:val="continuous"/>
        </w:sectPr>
      </w:pPr>
    </w:p>
    <w:bookmarkStart w:id="1" w:name="page2"/>
    <w:bookmarkEnd w:id="1"/>
    <w:p>
      <w:pPr>
        <w:jc w:val="both"/>
        <w:ind w:right="2939"/>
        <w:spacing w:after="0" w:line="252" w:lineRule="auto"/>
        <w:rPr>
          <w:sz w:val="20"/>
          <w:szCs w:val="20"/>
          <w:color w:val="auto"/>
        </w:rPr>
      </w:pPr>
      <w:r>
        <w:rPr>
          <w:rFonts w:ascii="Courier New" w:cs="Courier New" w:eastAsia="Courier New" w:hAnsi="Courier New"/>
          <w:sz w:val="15"/>
          <w:szCs w:val="15"/>
          <w:color w:val="auto"/>
        </w:rPr>
        <w:t>The information required to be included in Part III hereof is incorporated by reference from Portland General Corporation's definitive proxy statement to be filed on or about March 27, 1996.</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319"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5"/>
          <w:szCs w:val="15"/>
          <w:color w:val="auto"/>
        </w:rPr>
        <w:t>DEFINITIONS</w:t>
      </w:r>
    </w:p>
    <w:p>
      <w:pPr>
        <w:spacing w:after="0" w:line="362"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following abbreviations or acronyms used in the text and notes are defined below:</w:t>
      </w:r>
    </w:p>
    <w:p>
      <w:pPr>
        <w:sectPr>
          <w:pgSz w:w="11900" w:h="16838" w:orient="portrait"/>
          <w:cols w:equalWidth="0" w:num="1">
            <w:col w:w="10139"/>
          </w:cols>
          <w:pgMar w:left="320" w:top="650" w:right="1440" w:bottom="1440" w:gutter="0" w:footer="0" w:header="0"/>
        </w:sectPr>
      </w:pPr>
    </w:p>
    <w:p>
      <w:pPr>
        <w:spacing w:after="0" w:line="174"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Abbreviations</w:t>
      </w:r>
    </w:p>
    <w:p>
      <w:pPr>
        <w:spacing w:after="0" w:line="8"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OR ACRONYMS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w:t>
      </w:r>
    </w:p>
    <w:p>
      <w:pPr>
        <w:spacing w:after="0" w:line="185" w:lineRule="exact"/>
        <w:rPr>
          <w:sz w:val="20"/>
          <w:szCs w:val="20"/>
          <w:color w:val="auto"/>
        </w:rPr>
      </w:pPr>
    </w:p>
    <w:p>
      <w:pPr>
        <w:sectPr>
          <w:pgSz w:w="11900" w:h="16838" w:orient="portrait"/>
          <w:cols w:equalWidth="0" w:num="2">
            <w:col w:w="2600" w:space="720"/>
            <w:col w:w="6819"/>
          </w:cols>
          <w:pgMar w:left="32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Beaver ............................Beaver Combustion Turbine Plant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Bethel ............................Bethel Combustion Turbine Plant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Boardman ..........................Boardman Coal Plant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Bonneville Pacific ................Bonneville Pacific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BPA ...............................Bonneville Power Administration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Centralia .........................Centralia Coal Plant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COB ...............................California/Oregon Border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Colstrip ..........................Colstrip Units 3 and 4 Coal Plant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Coyote Springs ....................Coyote Springs Generation Plant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CWL ...............................Columbia Willamette Leasing,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DEQ ...............................Oregon Department of Environmental Quality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EFSC ..............................Oregon Energy Facility Siting Counsel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EPA ...............................Environmental Protection Agency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FASB ..............................Financial Accounting Standards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FERC ..............................Federal Energy Regulatory Commission</w:t>
      </w:r>
    </w:p>
    <w:p>
      <w:pPr>
        <w:spacing w:after="0" w:line="8"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5"/>
          <w:szCs w:val="15"/>
          <w:color w:val="auto"/>
        </w:rPr>
        <w:t>Financial Statements ..............Refers</w:t>
        <w:tab/>
        <w:t>to Financial Statements of Portland</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 included in Part II, Item 8 of this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Holdings ..........................Portland General Holdings,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Intertie ..........................Pacific Northwest Intertie Transmission</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Line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IOUs ..............................Investor-Owned Utilities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 ...............................Internal Revenue 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kWh ...............................Kilowatt-Hour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MMBtu .............................Million British thermal units</w:t>
      </w:r>
    </w:p>
    <w:p>
      <w:pPr>
        <w:spacing w:after="0" w:line="8"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MW</w:t>
        <w:tab/>
        <w:t>...............................Megawatt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MWa ...............................Average megawatts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MWh ...............................Megawatt-hour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NRC ...............................Nuclear Regulatory Commission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NYMEX .............................New York Mercantile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OPUC or the Commission ............Oregon Public Utility Commission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or PGC ...........Portland General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PGE or the Company ................Portland General Electric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PUD ...............................Public Utility District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Regional Power Act ................Pacific Northwest Electric Power Planning</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and Conservation 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SFAS ..............................Statement of Financial Accounting Standards</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issued by the FASB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WPPSS or Supply System ............Washington Public Power Supply System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Trojan ............................Trojan Nuclear Plant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Tule ..............................Tule Hub Services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USDOE .............................United States Department of Energy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WAPA ..............................Western Area Power Authority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WNP-3 .............................Washington Public Power Supply System</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Unit 3 Nuclear Project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WSCC ..............................Western Systems Coordinating Council</w:t>
      </w:r>
    </w:p>
    <w:p>
      <w:pPr>
        <w:spacing w:after="0" w:line="36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50" w:right="1440" w:bottom="1440" w:gutter="0" w:footer="0" w:header="0"/>
          <w:type w:val="continuous"/>
        </w:sectPr>
      </w:pPr>
    </w:p>
    <w:bookmarkStart w:id="3" w:name="page4"/>
    <w:bookmarkEnd w:id="3"/>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PAGE</w:t>
            </w:r>
          </w:p>
        </w:tc>
      </w:tr>
      <w:tr>
        <w:trPr>
          <w:trHeight w:val="355"/>
        </w:trPr>
        <w:tc>
          <w:tcPr>
            <w:tcW w:w="1120" w:type="dxa"/>
            <w:vAlign w:val="bottom"/>
          </w:tcPr>
          <w:p>
            <w:pPr>
              <w:spacing w:after="0"/>
              <w:rPr>
                <w:sz w:val="20"/>
                <w:szCs w:val="20"/>
                <w:color w:val="auto"/>
              </w:rPr>
            </w:pPr>
            <w:r>
              <w:rPr>
                <w:rFonts w:ascii="Courier New" w:cs="Courier New" w:eastAsia="Courier New" w:hAnsi="Courier New"/>
                <w:sz w:val="15"/>
                <w:szCs w:val="15"/>
                <w:color w:val="auto"/>
              </w:rPr>
              <w:t>Definitions</w:t>
            </w: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5"/>
        </w:trPr>
        <w:tc>
          <w:tcPr>
            <w:tcW w:w="11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7"/>
        </w:trPr>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Item 1.</w:t>
            </w: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Business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7"/>
        </w:trPr>
        <w:tc>
          <w:tcPr>
            <w:tcW w:w="1120" w:type="dxa"/>
            <w:vAlign w:val="bottom"/>
          </w:tcPr>
          <w:p>
            <w:pPr>
              <w:spacing w:after="0"/>
              <w:rPr>
                <w:sz w:val="15"/>
                <w:szCs w:val="15"/>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Portland General Corporation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7"/>
        </w:trPr>
        <w:tc>
          <w:tcPr>
            <w:tcW w:w="1120" w:type="dxa"/>
            <w:vAlign w:val="bottom"/>
          </w:tcPr>
          <w:p>
            <w:pPr>
              <w:spacing w:after="0"/>
              <w:rPr>
                <w:sz w:val="15"/>
                <w:szCs w:val="15"/>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Portland General Electric Company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7"/>
        </w:trPr>
        <w:tc>
          <w:tcPr>
            <w:tcW w:w="1120" w:type="dxa"/>
            <w:vAlign w:val="bottom"/>
          </w:tcPr>
          <w:p>
            <w:pPr>
              <w:spacing w:after="0"/>
              <w:rPr>
                <w:sz w:val="15"/>
                <w:szCs w:val="15"/>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Portland General Holdings, Inc.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5"/>
        </w:trPr>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Item 2.</w:t>
            </w: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Properties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55"/>
        </w:trPr>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Item 3.</w:t>
            </w: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Legal Proceedings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55"/>
        </w:trPr>
        <w:tc>
          <w:tcPr>
            <w:tcW w:w="67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Item 4.  Submission of Matters to a Vote of Security</w:t>
            </w:r>
          </w:p>
        </w:tc>
        <w:tc>
          <w:tcPr>
            <w:tcW w:w="380" w:type="dxa"/>
            <w:vAlign w:val="bottom"/>
          </w:tcPr>
          <w:p>
            <w:pPr>
              <w:spacing w:after="0"/>
              <w:rPr>
                <w:sz w:val="24"/>
                <w:szCs w:val="24"/>
                <w:color w:val="auto"/>
              </w:rPr>
            </w:pPr>
          </w:p>
        </w:tc>
      </w:tr>
      <w:tr>
        <w:trPr>
          <w:trHeight w:val="177"/>
        </w:trPr>
        <w:tc>
          <w:tcPr>
            <w:tcW w:w="1120" w:type="dxa"/>
            <w:vAlign w:val="bottom"/>
          </w:tcPr>
          <w:p>
            <w:pPr>
              <w:spacing w:after="0"/>
              <w:rPr>
                <w:sz w:val="15"/>
                <w:szCs w:val="15"/>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Holders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5"/>
        </w:trPr>
        <w:tc>
          <w:tcPr>
            <w:tcW w:w="1120" w:type="dxa"/>
            <w:vAlign w:val="bottom"/>
          </w:tcPr>
          <w:p>
            <w:pPr>
              <w:spacing w:after="0"/>
              <w:rPr>
                <w:sz w:val="24"/>
                <w:szCs w:val="24"/>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Executive Officers of the Registrant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5"/>
        </w:trPr>
        <w:tc>
          <w:tcPr>
            <w:tcW w:w="11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7"/>
        </w:trPr>
        <w:tc>
          <w:tcPr>
            <w:tcW w:w="67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Item 5.  Market for Registrant's Common Equity and</w:t>
            </w:r>
          </w:p>
        </w:tc>
        <w:tc>
          <w:tcPr>
            <w:tcW w:w="380" w:type="dxa"/>
            <w:vAlign w:val="bottom"/>
          </w:tcPr>
          <w:p>
            <w:pPr>
              <w:spacing w:after="0"/>
              <w:rPr>
                <w:sz w:val="15"/>
                <w:szCs w:val="15"/>
                <w:color w:val="auto"/>
              </w:rPr>
            </w:pPr>
          </w:p>
        </w:tc>
      </w:tr>
      <w:tr>
        <w:trPr>
          <w:trHeight w:val="177"/>
        </w:trPr>
        <w:tc>
          <w:tcPr>
            <w:tcW w:w="1120" w:type="dxa"/>
            <w:vAlign w:val="bottom"/>
          </w:tcPr>
          <w:p>
            <w:pPr>
              <w:spacing w:after="0"/>
              <w:rPr>
                <w:sz w:val="15"/>
                <w:szCs w:val="15"/>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Related Stockholder Matters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55"/>
        </w:trPr>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Item 6.</w:t>
            </w: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Selected Financial Data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55"/>
        </w:trPr>
        <w:tc>
          <w:tcPr>
            <w:tcW w:w="67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Item 7.  Management's Discussion and Analysis of Financial</w:t>
            </w:r>
          </w:p>
        </w:tc>
        <w:tc>
          <w:tcPr>
            <w:tcW w:w="380" w:type="dxa"/>
            <w:vAlign w:val="bottom"/>
          </w:tcPr>
          <w:p>
            <w:pPr>
              <w:spacing w:after="0"/>
              <w:rPr>
                <w:sz w:val="24"/>
                <w:szCs w:val="24"/>
                <w:color w:val="auto"/>
              </w:rPr>
            </w:pPr>
          </w:p>
        </w:tc>
      </w:tr>
      <w:tr>
        <w:trPr>
          <w:trHeight w:val="177"/>
        </w:trPr>
        <w:tc>
          <w:tcPr>
            <w:tcW w:w="1120" w:type="dxa"/>
            <w:vAlign w:val="bottom"/>
          </w:tcPr>
          <w:p>
            <w:pPr>
              <w:spacing w:after="0"/>
              <w:rPr>
                <w:sz w:val="15"/>
                <w:szCs w:val="15"/>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Condition and Results of Operations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55"/>
        </w:trPr>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Item 8.</w:t>
            </w: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Financial Statements and Supplementary Data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55"/>
        </w:trPr>
        <w:tc>
          <w:tcPr>
            <w:tcW w:w="67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Item 9.  Changes in and Disagreements with Accountants on</w:t>
            </w:r>
          </w:p>
        </w:tc>
        <w:tc>
          <w:tcPr>
            <w:tcW w:w="380" w:type="dxa"/>
            <w:vAlign w:val="bottom"/>
          </w:tcPr>
          <w:p>
            <w:pPr>
              <w:spacing w:after="0"/>
              <w:rPr>
                <w:sz w:val="24"/>
                <w:szCs w:val="24"/>
                <w:color w:val="auto"/>
              </w:rPr>
            </w:pPr>
          </w:p>
        </w:tc>
      </w:tr>
      <w:tr>
        <w:trPr>
          <w:trHeight w:val="177"/>
        </w:trPr>
        <w:tc>
          <w:tcPr>
            <w:tcW w:w="1120" w:type="dxa"/>
            <w:vAlign w:val="bottom"/>
          </w:tcPr>
          <w:p>
            <w:pPr>
              <w:spacing w:after="0"/>
              <w:rPr>
                <w:sz w:val="15"/>
                <w:szCs w:val="15"/>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Accounting and Financial Disclosure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Item 10.</w:t>
            </w:r>
          </w:p>
        </w:tc>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Directors and Executive Officers of the Registrant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55"/>
        </w:trPr>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Item 11.</w:t>
            </w:r>
          </w:p>
        </w:tc>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Executive Compensation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55"/>
        </w:trPr>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Item 12.</w:t>
            </w:r>
          </w:p>
        </w:tc>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Security Ownership of Certain Beneficial Owners</w:t>
            </w:r>
          </w:p>
        </w:tc>
        <w:tc>
          <w:tcPr>
            <w:tcW w:w="240" w:type="dxa"/>
            <w:vAlign w:val="bottom"/>
          </w:tcPr>
          <w:p>
            <w:pPr>
              <w:spacing w:after="0"/>
              <w:rPr>
                <w:sz w:val="24"/>
                <w:szCs w:val="24"/>
                <w:color w:val="auto"/>
              </w:rPr>
            </w:pPr>
          </w:p>
        </w:tc>
      </w:tr>
      <w:tr>
        <w:trPr>
          <w:trHeight w:val="177"/>
        </w:trPr>
        <w:tc>
          <w:tcPr>
            <w:tcW w:w="13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and Management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55"/>
        </w:trPr>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Item 13.</w:t>
            </w:r>
          </w:p>
        </w:tc>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Certain Relationships and Related Transactions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7"/>
        </w:trPr>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Item 14.</w:t>
            </w:r>
          </w:p>
        </w:tc>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Exhibits, Financial Statement Schedules and</w:t>
            </w:r>
          </w:p>
        </w:tc>
        <w:tc>
          <w:tcPr>
            <w:tcW w:w="240" w:type="dxa"/>
            <w:vAlign w:val="bottom"/>
          </w:tcPr>
          <w:p>
            <w:pPr>
              <w:spacing w:after="0"/>
              <w:rPr>
                <w:sz w:val="15"/>
                <w:szCs w:val="15"/>
                <w:color w:val="auto"/>
              </w:rPr>
            </w:pPr>
          </w:p>
        </w:tc>
      </w:tr>
      <w:tr>
        <w:trPr>
          <w:trHeight w:val="177"/>
        </w:trPr>
        <w:tc>
          <w:tcPr>
            <w:tcW w:w="13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Reports on Form 8-K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55"/>
        </w:trPr>
        <w:tc>
          <w:tcPr>
            <w:tcW w:w="6880" w:type="dxa"/>
            <w:vAlign w:val="bottom"/>
            <w:gridSpan w:val="2"/>
          </w:tcPr>
          <w:p>
            <w:pPr>
              <w:spacing w:after="0"/>
              <w:rPr>
                <w:sz w:val="20"/>
                <w:szCs w:val="20"/>
                <w:color w:val="auto"/>
              </w:rPr>
            </w:pPr>
            <w:r>
              <w:rPr>
                <w:rFonts w:ascii="Courier New" w:cs="Courier New" w:eastAsia="Courier New" w:hAnsi="Courier New"/>
                <w:sz w:val="15"/>
                <w:szCs w:val="15"/>
                <w:color w:val="auto"/>
              </w:rPr>
              <w:t>Signatures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355"/>
        </w:trPr>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Exhibit Index</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Appendix - PGE</w:t>
            </w:r>
          </w:p>
        </w:tc>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532"/>
        </w:trPr>
        <w:tc>
          <w:tcPr>
            <w:tcW w:w="1300" w:type="dxa"/>
            <w:vAlign w:val="bottom"/>
          </w:tcPr>
          <w:p>
            <w:pPr>
              <w:spacing w:after="0"/>
              <w:rPr>
                <w:sz w:val="24"/>
                <w:szCs w:val="24"/>
                <w:color w:val="auto"/>
              </w:rPr>
            </w:pPr>
          </w:p>
        </w:tc>
        <w:tc>
          <w:tcPr>
            <w:tcW w:w="5580" w:type="dxa"/>
            <w:vAlign w:val="bottom"/>
          </w:tcPr>
          <w:p>
            <w:pPr>
              <w:ind w:left="2220"/>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spacing w:after="0"/>
              <w:rPr>
                <w:sz w:val="24"/>
                <w:szCs w:val="24"/>
                <w:color w:val="auto"/>
              </w:rPr>
            </w:pPr>
          </w:p>
        </w:tc>
      </w:tr>
    </w:tbl>
    <w:p>
      <w:pPr>
        <w:sectPr>
          <w:pgSz w:w="11900" w:h="16838" w:orient="portrait"/>
          <w:cols w:equalWidth="0" w:num="1">
            <w:col w:w="10139"/>
          </w:cols>
          <w:pgMar w:left="320" w:top="650" w:right="1440" w:bottom="1440" w:gutter="0" w:footer="0" w:header="0"/>
        </w:sectPr>
      </w:pPr>
    </w:p>
    <w:bookmarkStart w:id="4" w:name="page5"/>
    <w:bookmarkEnd w:id="4"/>
    <w:p>
      <w:pPr>
        <w:ind w:left="3240"/>
        <w:spacing w:after="0"/>
        <w:rPr>
          <w:sz w:val="20"/>
          <w:szCs w:val="20"/>
          <w:color w:val="auto"/>
        </w:rPr>
      </w:pPr>
      <w:r>
        <w:rPr>
          <w:rFonts w:ascii="Courier New" w:cs="Courier New" w:eastAsia="Courier New" w:hAnsi="Courier New"/>
          <w:sz w:val="15"/>
          <w:szCs w:val="15"/>
          <w:color w:val="auto"/>
        </w:rPr>
        <w:t>Part I</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CORPORATION - HOLDING COMPANY</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Portland  General  Corporation,  an  electric  utility  holding company,  was organized in December 1985.  Portland General Electric Company,  an  electric utility  company  and  Portland  General's  principal  operating  subsidiary, accounts  for substantially all of Portland General's assets, revenues and net income.  Portland  General  is  also  the  parent  company of Portland General Holdings,  Inc.,  which  provides  organizational  separation   for  Portland General's  nonutility  businesses (see page 17).  Portland General is  exempt from regulation under the  Public  Utility Holding Company Act of 1935, except Section 9(a)(2) thereof relating to  the  acquisition  of  securities of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utility companies.</w:t>
      </w:r>
    </w:p>
    <w:p>
      <w:pPr>
        <w:spacing w:after="0" w:line="185" w:lineRule="exact"/>
        <w:rPr>
          <w:sz w:val="20"/>
          <w:szCs w:val="20"/>
          <w:color w:val="auto"/>
        </w:rPr>
      </w:pPr>
    </w:p>
    <w:p>
      <w:pPr>
        <w:jc w:val="both"/>
        <w:ind w:right="2939" w:firstLine="92"/>
        <w:spacing w:after="0" w:line="252" w:lineRule="auto"/>
        <w:rPr>
          <w:sz w:val="20"/>
          <w:szCs w:val="20"/>
          <w:color w:val="auto"/>
        </w:rPr>
      </w:pPr>
      <w:r>
        <w:rPr>
          <w:rFonts w:ascii="Courier New" w:cs="Courier New" w:eastAsia="Courier New" w:hAnsi="Courier New"/>
          <w:sz w:val="15"/>
          <w:szCs w:val="15"/>
          <w:color w:val="auto"/>
        </w:rPr>
        <w:t>As of December 31, 1995, Portland General and its subsidiaries had 2,562 regular employees compared to 2,536 and 2,618 at December 31, 1994 and 1993, respectively.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ELECTRIC COMPANY - ELECTRIC UTILITY</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PGE, incorporated in 1930, is an  electric  utility engaged in the generation, purchase, transmission, distribution, and sale  of electricity in the State of Oregon.  PGE also sells energy to wholesale customers  throughout  the western United  States.   PGE's  Oregon service area is 3,170 square miles, including 54 incorporated cities of which  Portland  and Salem are the largest, within a state-approved service area allocation of 4,070  square  miles.  PGE estimates that  at  the  end  of  1995  its  service-area  population was approximately 1.4 million, constituting approximately 44% of the  state's  population.   At</w:t>
      </w:r>
    </w:p>
    <w:p>
      <w:pPr>
        <w:spacing w:after="0" w:line="4"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5"/>
          <w:szCs w:val="15"/>
          <w:color w:val="auto"/>
        </w:rPr>
        <w:t>December 31, 1995 PGE served approximately</w:t>
        <w:tab/>
        <w:t>650,000 customers.</w:t>
      </w:r>
    </w:p>
    <w:p>
      <w:pPr>
        <w:spacing w:after="0" w:line="185"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As  of  December  31, 1995, PGE had 2,533 regular employees.  This compares to 2,502  and 2,577 regular  PGE  employees  at  December  31,  1994  and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18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828" w:right="1440" w:bottom="1440" w:gutter="0" w:footer="0" w:header="0"/>
        </w:sectPr>
      </w:pPr>
    </w:p>
    <w:bookmarkStart w:id="5" w:name="page6"/>
    <w:bookmarkEnd w:id="5"/>
    <w:p>
      <w:pPr>
        <w:jc w:val="center"/>
        <w:ind w:right="3119"/>
        <w:spacing w:after="0"/>
        <w:rPr>
          <w:sz w:val="20"/>
          <w:szCs w:val="20"/>
          <w:color w:val="auto"/>
        </w:rPr>
      </w:pPr>
      <w:r>
        <w:rPr>
          <w:rFonts w:ascii="Courier New" w:cs="Courier New" w:eastAsia="Courier New" w:hAnsi="Courier New"/>
          <w:sz w:val="15"/>
          <w:szCs w:val="15"/>
          <w:color w:val="auto"/>
        </w:rPr>
        <w:t>OPERATING REVENUES</w:t>
      </w:r>
    </w:p>
    <w:p>
      <w:pPr>
        <w:spacing w:after="0" w:line="185" w:lineRule="exact"/>
        <w:rPr>
          <w:sz w:val="20"/>
          <w:szCs w:val="20"/>
          <w:color w:val="auto"/>
        </w:rPr>
      </w:pPr>
    </w:p>
    <w:p>
      <w:pPr>
        <w:jc w:val="both"/>
        <w:ind w:right="2939"/>
        <w:spacing w:after="0" w:line="250" w:lineRule="auto"/>
        <w:rPr>
          <w:sz w:val="20"/>
          <w:szCs w:val="20"/>
          <w:color w:val="auto"/>
        </w:rPr>
      </w:pPr>
      <w:r>
        <w:rPr>
          <w:rFonts w:ascii="Courier New" w:cs="Courier New" w:eastAsia="Courier New" w:hAnsi="Courier New"/>
          <w:sz w:val="15"/>
          <w:szCs w:val="15"/>
          <w:color w:val="auto"/>
        </w:rPr>
        <w:t>PGE serves a diverse retail customer base. Residential customers constitute the largest customer class and accounted for 39% of the retail demand and 43%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gridSpan w:val="5"/>
          </w:tcPr>
          <w:p>
            <w:pPr>
              <w:spacing w:after="0"/>
              <w:rPr>
                <w:sz w:val="20"/>
                <w:szCs w:val="20"/>
                <w:color w:val="auto"/>
              </w:rPr>
            </w:pPr>
            <w:r>
              <w:rPr>
                <w:rFonts w:ascii="Courier New" w:cs="Courier New" w:eastAsia="Courier New" w:hAnsi="Courier New"/>
                <w:sz w:val="15"/>
                <w:szCs w:val="15"/>
                <w:color w:val="auto"/>
              </w:rPr>
              <w:t>of retail revenues during 1995.</w:t>
            </w: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Residential demand is highly sensitive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to the</w:t>
            </w:r>
          </w:p>
        </w:tc>
      </w:tr>
      <w:tr>
        <w:trPr>
          <w:trHeight w:val="177"/>
        </w:trPr>
        <w:tc>
          <w:tcPr>
            <w:tcW w:w="2000" w:type="dxa"/>
            <w:vAlign w:val="bottom"/>
            <w:gridSpan w:val="3"/>
          </w:tcPr>
          <w:p>
            <w:pPr>
              <w:spacing w:after="0"/>
              <w:rPr>
                <w:sz w:val="20"/>
                <w:szCs w:val="20"/>
                <w:color w:val="auto"/>
              </w:rPr>
            </w:pPr>
            <w:r>
              <w:rPr>
                <w:rFonts w:ascii="Courier New" w:cs="Courier New" w:eastAsia="Courier New" w:hAnsi="Courier New"/>
                <w:sz w:val="15"/>
                <w:szCs w:val="15"/>
                <w:color w:val="auto"/>
              </w:rPr>
              <w:t>effects of weather.</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Commercial</w:t>
            </w: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customers consumed 37% and industrial</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 of</w:t>
            </w:r>
          </w:p>
        </w:tc>
      </w:tr>
      <w:tr>
        <w:trPr>
          <w:trHeight w:val="177"/>
        </w:trPr>
        <w:tc>
          <w:tcPr>
            <w:tcW w:w="3060" w:type="dxa"/>
            <w:vAlign w:val="bottom"/>
            <w:gridSpan w:val="5"/>
          </w:tcPr>
          <w:p>
            <w:pPr>
              <w:spacing w:after="0"/>
              <w:rPr>
                <w:sz w:val="20"/>
                <w:szCs w:val="20"/>
                <w:color w:val="auto"/>
              </w:rPr>
            </w:pPr>
            <w:r>
              <w:rPr>
                <w:rFonts w:ascii="Courier New" w:cs="Courier New" w:eastAsia="Courier New" w:hAnsi="Courier New"/>
                <w:sz w:val="15"/>
                <w:szCs w:val="15"/>
                <w:color w:val="auto"/>
              </w:rPr>
              <w:t>retail energy sales for the year.</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Since  1993</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industrial</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demand  has grown</w:t>
            </w:r>
          </w:p>
        </w:tc>
      </w:tr>
      <w:tr>
        <w:trPr>
          <w:trHeight w:val="177"/>
        </w:trPr>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nearly</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making</w:t>
            </w: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this</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the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Company's most</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rapidly growing customer class</w:t>
            </w:r>
          </w:p>
        </w:tc>
      </w:tr>
      <w:tr>
        <w:trPr>
          <w:trHeight w:val="177"/>
        </w:trPr>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followed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commercial</w:t>
            </w:r>
          </w:p>
        </w:tc>
        <w:tc>
          <w:tcPr>
            <w:tcW w:w="1740" w:type="dxa"/>
            <w:vAlign w:val="bottom"/>
            <w:gridSpan w:val="2"/>
          </w:tcPr>
          <w:p>
            <w:pPr>
              <w:jc w:val="right"/>
              <w:ind w:right="43"/>
              <w:spacing w:after="0"/>
              <w:rPr>
                <w:sz w:val="20"/>
                <w:szCs w:val="20"/>
                <w:color w:val="auto"/>
              </w:rPr>
            </w:pPr>
            <w:r>
              <w:rPr>
                <w:rFonts w:ascii="Courier New" w:cs="Courier New" w:eastAsia="Courier New" w:hAnsi="Courier New"/>
                <w:sz w:val="15"/>
                <w:szCs w:val="15"/>
                <w:color w:val="auto"/>
              </w:rPr>
              <w:t>segment  with  7%</w:t>
            </w:r>
          </w:p>
        </w:tc>
        <w:tc>
          <w:tcPr>
            <w:tcW w:w="1260" w:type="dxa"/>
            <w:vAlign w:val="bottom"/>
          </w:tcPr>
          <w:p>
            <w:pPr>
              <w:ind w:left="60"/>
              <w:spacing w:after="0"/>
              <w:rPr>
                <w:sz w:val="20"/>
                <w:szCs w:val="20"/>
                <w:color w:val="auto"/>
              </w:rPr>
            </w:pPr>
            <w:r>
              <w:rPr>
                <w:rFonts w:ascii="Courier New" w:cs="Courier New" w:eastAsia="Courier New" w:hAnsi="Courier New"/>
                <w:sz w:val="15"/>
                <w:szCs w:val="15"/>
                <w:color w:val="auto"/>
              </w:rPr>
              <w:t>growth.   The</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commercial  and</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60" w:type="dxa"/>
            <w:vAlign w:val="bottom"/>
          </w:tcPr>
          <w:p>
            <w:pPr>
              <w:spacing w:after="0"/>
              <w:rPr>
                <w:sz w:val="20"/>
                <w:szCs w:val="20"/>
                <w:color w:val="auto"/>
              </w:rPr>
            </w:pPr>
            <w:r>
              <w:rPr>
                <w:rFonts w:ascii="Courier New" w:cs="Courier New" w:eastAsia="Courier New" w:hAnsi="Courier New"/>
                <w:sz w:val="15"/>
                <w:szCs w:val="15"/>
                <w:color w:val="auto"/>
              </w:rPr>
              <w:t>industrial classes</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are  not</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dominated</w:t>
            </w:r>
          </w:p>
        </w:tc>
        <w:tc>
          <w:tcPr>
            <w:tcW w:w="23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by any single industry.</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While the 20</w:t>
            </w:r>
          </w:p>
        </w:tc>
      </w:tr>
      <w:tr>
        <w:trPr>
          <w:trHeight w:val="177"/>
        </w:trPr>
        <w:tc>
          <w:tcPr>
            <w:tcW w:w="1860" w:type="dxa"/>
            <w:vAlign w:val="bottom"/>
          </w:tcPr>
          <w:p>
            <w:pPr>
              <w:ind w:left="100"/>
              <w:spacing w:after="0"/>
              <w:rPr>
                <w:sz w:val="20"/>
                <w:szCs w:val="20"/>
                <w:color w:val="auto"/>
              </w:rPr>
            </w:pPr>
            <w:r>
              <w:rPr>
                <w:rFonts w:ascii="Courier New" w:cs="Courier New" w:eastAsia="Courier New" w:hAnsi="Courier New"/>
                <w:sz w:val="15"/>
                <w:szCs w:val="15"/>
                <w:color w:val="auto"/>
              </w:rPr>
              <w:t>largest  customers</w:t>
            </w:r>
          </w:p>
        </w:tc>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constituted 21% of retail</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demand,</w:t>
            </w:r>
          </w:p>
        </w:tc>
        <w:tc>
          <w:tcPr>
            <w:tcW w:w="20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they  represented  10</w:t>
            </w:r>
          </w:p>
        </w:tc>
      </w:tr>
      <w:tr>
        <w:trPr>
          <w:trHeight w:val="177"/>
        </w:trPr>
        <w:tc>
          <w:tcPr>
            <w:tcW w:w="1860" w:type="dxa"/>
            <w:vAlign w:val="bottom"/>
          </w:tcPr>
          <w:p>
            <w:pPr>
              <w:spacing w:after="0"/>
              <w:rPr>
                <w:sz w:val="20"/>
                <w:szCs w:val="20"/>
                <w:color w:val="auto"/>
              </w:rPr>
            </w:pPr>
            <w:r>
              <w:rPr>
                <w:rFonts w:ascii="Courier New" w:cs="Courier New" w:eastAsia="Courier New" w:hAnsi="Courier New"/>
                <w:sz w:val="15"/>
                <w:szCs w:val="15"/>
                <w:color w:val="auto"/>
              </w:rPr>
              <w:t>different industrial</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groups</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including</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paper</w:t>
            </w:r>
          </w:p>
        </w:tc>
        <w:tc>
          <w:tcPr>
            <w:tcW w:w="2940" w:type="dxa"/>
            <w:vAlign w:val="bottom"/>
            <w:gridSpan w:val="3"/>
          </w:tcPr>
          <w:p>
            <w:pPr>
              <w:jc w:val="right"/>
              <w:ind w:right="943"/>
              <w:spacing w:after="0"/>
              <w:rPr>
                <w:sz w:val="20"/>
                <w:szCs w:val="20"/>
                <w:color w:val="auto"/>
              </w:rPr>
            </w:pPr>
            <w:r>
              <w:rPr>
                <w:rFonts w:ascii="Courier New" w:cs="Courier New" w:eastAsia="Courier New" w:hAnsi="Courier New"/>
                <w:sz w:val="15"/>
                <w:szCs w:val="15"/>
                <w:color w:val="auto"/>
              </w:rPr>
              <w:t>manufacturing, high</w:t>
            </w:r>
          </w:p>
        </w:tc>
      </w:tr>
      <w:tr>
        <w:trPr>
          <w:trHeight w:val="177"/>
        </w:trPr>
        <w:tc>
          <w:tcPr>
            <w:tcW w:w="4260" w:type="dxa"/>
            <w:vAlign w:val="bottom"/>
            <w:gridSpan w:val="4"/>
          </w:tcPr>
          <w:p>
            <w:pPr>
              <w:spacing w:after="0"/>
              <w:rPr>
                <w:sz w:val="20"/>
                <w:szCs w:val="20"/>
                <w:color w:val="auto"/>
              </w:rPr>
            </w:pPr>
            <w:r>
              <w:rPr>
                <w:rFonts w:ascii="Courier New" w:cs="Courier New" w:eastAsia="Courier New" w:hAnsi="Courier New"/>
                <w:sz w:val="15"/>
                <w:szCs w:val="15"/>
                <w:color w:val="auto"/>
              </w:rPr>
              <w:t>technology, metal fabrication, transportation</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equipment,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health services.</w:t>
            </w:r>
          </w:p>
        </w:tc>
      </w:tr>
      <w:tr>
        <w:trPr>
          <w:trHeight w:val="177"/>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No single customer represents</w:t>
            </w:r>
          </w:p>
        </w:tc>
        <w:tc>
          <w:tcPr>
            <w:tcW w:w="1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more than 6% of</w:t>
            </w:r>
          </w:p>
        </w:tc>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PGE's retail load.</w:t>
            </w:r>
          </w:p>
        </w:tc>
        <w:tc>
          <w:tcPr>
            <w:tcW w:w="1200" w:type="dxa"/>
            <w:vAlign w:val="bottom"/>
          </w:tcPr>
          <w:p>
            <w:pPr>
              <w:spacing w:after="0"/>
              <w:rPr>
                <w:sz w:val="15"/>
                <w:szCs w:val="15"/>
                <w:color w:val="auto"/>
              </w:rPr>
            </w:pPr>
          </w:p>
        </w:tc>
      </w:tr>
    </w:tbl>
    <w:p>
      <w:pPr>
        <w:spacing w:after="0" w:line="183"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Wholesale  revenues  continue to make a significant contribution  to  Company revenues providing nearly  10%  of  total  operating  revenues  for 1995.  PGE actively markets wholesale power throughout the western United States  and has more  than  doubled  its  level  of  sales  since  1993.  A majority of PGE's wholesale sales were to its traditional customers comprised of IOUs,  federal</w:t>
      </w:r>
    </w:p>
    <w:p>
      <w:pPr>
        <w:spacing w:after="0" w:line="2"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agencies, municipalities and PUDs.  However, most of the Company's wholesale growth  has  come  through  sales to marketers and brokers,  relatively  new entrants to the increasingly competitive  wholesale  electric  energy  market.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sales are predominantly of a short-term nature.</w:t>
      </w:r>
    </w:p>
    <w:p>
      <w:pPr>
        <w:spacing w:after="0" w:line="185" w:lineRule="exact"/>
        <w:rPr>
          <w:sz w:val="20"/>
          <w:szCs w:val="20"/>
          <w:color w:val="auto"/>
        </w:rPr>
      </w:pPr>
    </w:p>
    <w:p>
      <w:pPr>
        <w:jc w:val="both"/>
        <w:ind w:right="2939" w:firstLine="92"/>
        <w:spacing w:after="0" w:line="252" w:lineRule="auto"/>
        <w:rPr>
          <w:sz w:val="20"/>
          <w:szCs w:val="20"/>
          <w:color w:val="auto"/>
        </w:rPr>
      </w:pPr>
      <w:r>
        <w:rPr>
          <w:rFonts w:ascii="Courier New" w:cs="Courier New" w:eastAsia="Courier New" w:hAnsi="Courier New"/>
          <w:sz w:val="15"/>
          <w:szCs w:val="15"/>
          <w:color w:val="auto"/>
        </w:rPr>
        <w:t>PGE's operating revenues from customers peak during the winter season. The following table summarizes operating revenues and kWh sales for the years ended December 31:</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8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1995</w:t>
            </w:r>
          </w:p>
        </w:tc>
        <w:tc>
          <w:tcPr>
            <w:tcW w:w="16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1993</w:t>
            </w:r>
          </w:p>
        </w:tc>
      </w:tr>
      <w:tr>
        <w:trPr>
          <w:trHeight w:val="355"/>
        </w:trPr>
        <w:tc>
          <w:tcPr>
            <w:tcW w:w="3700" w:type="dxa"/>
            <w:vAlign w:val="bottom"/>
          </w:tcPr>
          <w:p>
            <w:pPr>
              <w:spacing w:after="0"/>
              <w:rPr>
                <w:sz w:val="20"/>
                <w:szCs w:val="20"/>
                <w:color w:val="auto"/>
              </w:rPr>
            </w:pPr>
            <w:r>
              <w:rPr>
                <w:rFonts w:ascii="Courier New" w:cs="Courier New" w:eastAsia="Courier New" w:hAnsi="Courier New"/>
                <w:sz w:val="15"/>
                <w:szCs w:val="15"/>
                <w:color w:val="auto"/>
              </w:rPr>
              <w:t>Operating Revenues (thousands)</w:t>
            </w: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Residential</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$379,485</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$360,651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$339,174</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Commercial</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335,607</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315,156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303,783</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Industrial</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153,347</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147,347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147,274</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Public Street Lighting</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11,311</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11,205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11,002</w:t>
            </w:r>
          </w:p>
        </w:tc>
      </w:tr>
      <w:tr>
        <w:trPr>
          <w:trHeight w:val="177"/>
        </w:trPr>
        <w:tc>
          <w:tcPr>
            <w:tcW w:w="3700" w:type="dxa"/>
            <w:vAlign w:val="bottom"/>
          </w:tcPr>
          <w:p>
            <w:pPr>
              <w:ind w:left="840"/>
              <w:spacing w:after="0"/>
              <w:rPr>
                <w:sz w:val="20"/>
                <w:szCs w:val="20"/>
                <w:color w:val="auto"/>
              </w:rPr>
            </w:pPr>
            <w:r>
              <w:rPr>
                <w:rFonts w:ascii="Courier New" w:cs="Courier New" w:eastAsia="Courier New" w:hAnsi="Courier New"/>
                <w:sz w:val="15"/>
                <w:szCs w:val="15"/>
                <w:color w:val="auto"/>
              </w:rPr>
              <w:t>Tariff Revenues</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879,750</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834,359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801,233</w:t>
            </w:r>
          </w:p>
        </w:tc>
      </w:tr>
      <w:tr>
        <w:trPr>
          <w:trHeight w:val="177"/>
        </w:trPr>
        <w:tc>
          <w:tcPr>
            <w:tcW w:w="3700" w:type="dxa"/>
            <w:vAlign w:val="bottom"/>
          </w:tcPr>
          <w:p>
            <w:pPr>
              <w:ind w:left="840"/>
              <w:spacing w:after="0"/>
              <w:rPr>
                <w:sz w:val="20"/>
                <w:szCs w:val="20"/>
                <w:color w:val="auto"/>
              </w:rPr>
            </w:pPr>
            <w:r>
              <w:rPr>
                <w:rFonts w:ascii="Courier New" w:cs="Courier New" w:eastAsia="Courier New" w:hAnsi="Courier New"/>
                <w:sz w:val="15"/>
                <w:szCs w:val="15"/>
                <w:color w:val="auto"/>
              </w:rPr>
              <w:t>Accrued Revenues</w:t>
            </w:r>
          </w:p>
        </w:tc>
        <w:tc>
          <w:tcPr>
            <w:tcW w:w="18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(2,973)</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10,644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57,160</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Retail</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876,777</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845,003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858,393</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Wholesale</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94,967</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105,911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79,035</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Other</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9,884</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8,041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7,103</w:t>
            </w:r>
          </w:p>
        </w:tc>
      </w:tr>
      <w:tr>
        <w:trPr>
          <w:trHeight w:val="177"/>
        </w:trPr>
        <w:tc>
          <w:tcPr>
            <w:tcW w:w="3700" w:type="dxa"/>
            <w:vAlign w:val="bottom"/>
          </w:tcPr>
          <w:p>
            <w:pPr>
              <w:ind w:left="840"/>
              <w:spacing w:after="0"/>
              <w:rPr>
                <w:sz w:val="20"/>
                <w:szCs w:val="20"/>
                <w:color w:val="auto"/>
              </w:rPr>
            </w:pPr>
            <w:r>
              <w:rPr>
                <w:rFonts w:ascii="Courier New" w:cs="Courier New" w:eastAsia="Courier New" w:hAnsi="Courier New"/>
                <w:sz w:val="15"/>
                <w:szCs w:val="15"/>
                <w:color w:val="auto"/>
              </w:rPr>
              <w:t>Total Operating Revenues</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$981,628</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$958,955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$944,531</w:t>
            </w:r>
          </w:p>
        </w:tc>
      </w:tr>
      <w:tr>
        <w:trPr>
          <w:trHeight w:val="177"/>
        </w:trPr>
        <w:tc>
          <w:tcPr>
            <w:tcW w:w="3700" w:type="dxa"/>
            <w:vAlign w:val="bottom"/>
          </w:tcPr>
          <w:p>
            <w:pPr>
              <w:spacing w:after="0"/>
              <w:rPr>
                <w:sz w:val="20"/>
                <w:szCs w:val="20"/>
                <w:color w:val="auto"/>
              </w:rPr>
            </w:pPr>
            <w:r>
              <w:rPr>
                <w:rFonts w:ascii="Courier New" w:cs="Courier New" w:eastAsia="Courier New" w:hAnsi="Courier New"/>
                <w:sz w:val="15"/>
                <w:szCs w:val="15"/>
                <w:color w:val="auto"/>
              </w:rPr>
              <w:t>Kilowatt-Hours Sold (millions)</w:t>
            </w:r>
          </w:p>
        </w:tc>
        <w:tc>
          <w:tcPr>
            <w:tcW w:w="1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Residential</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6,622</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6,704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6,760</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Commercial</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6,285</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6,142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5,885</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Industrial</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4,056</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3,863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3,764</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Public Street Lighting</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102</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7"/>
        </w:trPr>
        <w:tc>
          <w:tcPr>
            <w:tcW w:w="3700" w:type="dxa"/>
            <w:vAlign w:val="bottom"/>
          </w:tcPr>
          <w:p>
            <w:pPr>
              <w:ind w:left="740"/>
              <w:spacing w:after="0"/>
              <w:rPr>
                <w:sz w:val="20"/>
                <w:szCs w:val="20"/>
                <w:color w:val="auto"/>
              </w:rPr>
            </w:pPr>
            <w:r>
              <w:rPr>
                <w:rFonts w:ascii="Courier New" w:cs="Courier New" w:eastAsia="Courier New" w:hAnsi="Courier New"/>
                <w:sz w:val="15"/>
                <w:szCs w:val="15"/>
                <w:color w:val="auto"/>
              </w:rPr>
              <w:t>Retail</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17,065</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16,802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16,507</w:t>
            </w:r>
          </w:p>
        </w:tc>
      </w:tr>
      <w:tr>
        <w:trPr>
          <w:trHeight w:val="177"/>
        </w:trPr>
        <w:tc>
          <w:tcPr>
            <w:tcW w:w="3700" w:type="dxa"/>
            <w:vAlign w:val="bottom"/>
          </w:tcPr>
          <w:p>
            <w:pPr>
              <w:ind w:left="740"/>
              <w:spacing w:after="0"/>
              <w:rPr>
                <w:sz w:val="20"/>
                <w:szCs w:val="20"/>
                <w:color w:val="auto"/>
              </w:rPr>
            </w:pPr>
            <w:r>
              <w:rPr>
                <w:rFonts w:ascii="Courier New" w:cs="Courier New" w:eastAsia="Courier New" w:hAnsi="Courier New"/>
                <w:sz w:val="15"/>
                <w:szCs w:val="15"/>
                <w:color w:val="auto"/>
              </w:rPr>
              <w:t>Wholesale</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3,383</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2,701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1,599</w:t>
            </w:r>
          </w:p>
        </w:tc>
      </w:tr>
      <w:tr>
        <w:trPr>
          <w:trHeight w:val="177"/>
        </w:trPr>
        <w:tc>
          <w:tcPr>
            <w:tcW w:w="3700" w:type="dxa"/>
            <w:vAlign w:val="bottom"/>
          </w:tcPr>
          <w:p>
            <w:pPr>
              <w:ind w:left="1020"/>
              <w:spacing w:after="0"/>
              <w:rPr>
                <w:sz w:val="20"/>
                <w:szCs w:val="20"/>
                <w:color w:val="auto"/>
              </w:rPr>
            </w:pPr>
            <w:r>
              <w:rPr>
                <w:rFonts w:ascii="Courier New" w:cs="Courier New" w:eastAsia="Courier New" w:hAnsi="Courier New"/>
                <w:sz w:val="15"/>
                <w:szCs w:val="15"/>
                <w:color w:val="auto"/>
              </w:rPr>
              <w:t>Total kWh Sold</w:t>
            </w:r>
          </w:p>
        </w:tc>
        <w:tc>
          <w:tcPr>
            <w:tcW w:w="18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20,448</w:t>
            </w:r>
          </w:p>
        </w:tc>
        <w:tc>
          <w:tcPr>
            <w:tcW w:w="16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19,503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18,106</w:t>
            </w:r>
          </w:p>
        </w:tc>
      </w:tr>
    </w:tbl>
    <w:p>
      <w:pPr>
        <w:spacing w:after="0" w:line="200" w:lineRule="exact"/>
        <w:rPr>
          <w:sz w:val="20"/>
          <w:szCs w:val="20"/>
          <w:color w:val="auto"/>
        </w:rPr>
      </w:pPr>
    </w:p>
    <w:p>
      <w:pPr>
        <w:spacing w:after="0" w:line="33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For an analysis of the year-to-year revenue trends, see Item 7, Management's Discussion and Analysis of Financial Condition and Results of Operations.</w:t>
      </w:r>
    </w:p>
    <w:p>
      <w:pPr>
        <w:spacing w:after="0" w:line="35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50" w:right="1440" w:bottom="1440" w:gutter="0" w:footer="0" w:header="0"/>
        </w:sectPr>
      </w:pPr>
    </w:p>
    <w:bookmarkStart w:id="6" w:name="page7"/>
    <w:bookmarkEnd w:id="6"/>
    <w:p>
      <w:pPr>
        <w:jc w:val="center"/>
        <w:ind w:right="3019"/>
        <w:spacing w:after="0"/>
        <w:rPr>
          <w:sz w:val="20"/>
          <w:szCs w:val="20"/>
          <w:color w:val="auto"/>
        </w:rPr>
      </w:pPr>
      <w:r>
        <w:rPr>
          <w:rFonts w:ascii="Courier New" w:cs="Courier New" w:eastAsia="Courier New" w:hAnsi="Courier New"/>
          <w:sz w:val="15"/>
          <w:szCs w:val="15"/>
          <w:color w:val="auto"/>
        </w:rPr>
        <w:t>REGULATION</w:t>
      </w:r>
    </w:p>
    <w:p>
      <w:pPr>
        <w:spacing w:after="0" w:line="185" w:lineRule="exact"/>
        <w:rPr>
          <w:sz w:val="20"/>
          <w:szCs w:val="20"/>
          <w:color w:val="auto"/>
        </w:rPr>
      </w:pPr>
    </w:p>
    <w:p>
      <w:pPr>
        <w:jc w:val="both"/>
        <w:ind w:left="80" w:right="2939" w:firstLine="92"/>
        <w:spacing w:after="0" w:line="250" w:lineRule="auto"/>
        <w:rPr>
          <w:sz w:val="20"/>
          <w:szCs w:val="20"/>
          <w:color w:val="auto"/>
        </w:rPr>
      </w:pPr>
      <w:r>
        <w:rPr>
          <w:rFonts w:ascii="Courier New" w:cs="Courier New" w:eastAsia="Courier New" w:hAnsi="Courier New"/>
          <w:sz w:val="15"/>
          <w:szCs w:val="15"/>
          <w:color w:val="auto"/>
        </w:rPr>
        <w:t>PGE is subject to regulation by the OPUC, which consists of a three-member commission appointed by the Governor. The OPUC approves PGE's retail rates and establishes conditions of utility service. The OPUC ensures that prices are fair and equitable and provides PGE an opportunity to earn a fair return on its investment. In addition, the OPUC regulates the issuance of securities and prescribes the system of accounts to be kept by Oregon utilities. PGE is</w:t>
      </w:r>
    </w:p>
    <w:p>
      <w:pPr>
        <w:spacing w:after="0" w:line="3" w:lineRule="exact"/>
        <w:rPr>
          <w:sz w:val="20"/>
          <w:szCs w:val="20"/>
          <w:color w:val="auto"/>
        </w:rPr>
      </w:pPr>
    </w:p>
    <w:p>
      <w:pPr>
        <w:jc w:val="both"/>
        <w:ind w:left="80" w:right="2939" w:firstLine="92"/>
        <w:spacing w:after="0" w:line="251" w:lineRule="auto"/>
        <w:rPr>
          <w:sz w:val="20"/>
          <w:szCs w:val="20"/>
          <w:color w:val="auto"/>
        </w:rPr>
      </w:pPr>
      <w:r>
        <w:rPr>
          <w:rFonts w:ascii="Courier New" w:cs="Courier New" w:eastAsia="Courier New" w:hAnsi="Courier New"/>
          <w:sz w:val="15"/>
          <w:szCs w:val="15"/>
          <w:color w:val="auto"/>
        </w:rPr>
        <w:t>also subject to the jurisdiction of FERC with regard to the transmission and sale of wholesale electric energy, licensing of hydroelectric projects and certain other matters. Construction of new generating facilities requires a permit from EFSC.</w:t>
      </w:r>
    </w:p>
    <w:p>
      <w:pPr>
        <w:spacing w:after="0" w:line="176" w:lineRule="exact"/>
        <w:rPr>
          <w:sz w:val="20"/>
          <w:szCs w:val="20"/>
          <w:color w:val="auto"/>
        </w:rPr>
      </w:pPr>
    </w:p>
    <w:p>
      <w:pPr>
        <w:jc w:val="center"/>
        <w:ind w:left="320"/>
        <w:spacing w:after="0" w:line="251" w:lineRule="auto"/>
        <w:rPr>
          <w:sz w:val="20"/>
          <w:szCs w:val="20"/>
          <w:color w:val="auto"/>
        </w:rPr>
      </w:pPr>
      <w:r>
        <w:rPr>
          <w:rFonts w:ascii="Courier New" w:cs="Courier New" w:eastAsia="Courier New" w:hAnsi="Courier New"/>
          <w:sz w:val="15"/>
          <w:szCs w:val="15"/>
          <w:color w:val="auto"/>
        </w:rPr>
        <w:t>The NRC regulates the licensing and decommissioning  of  nuclear power plants. In 1993 the NRC issued a possession-only license amendment  to  PGE's  Trojan operating  license.   Trojan will be subject to NRC regulation until Trojan is fully decommissioned, all  nuclear  fuel  is  removed  from  the  site and the license is terminated.  The Oregon Department of Energy also monitors Trojan.</w:t>
      </w:r>
    </w:p>
    <w:p>
      <w:pPr>
        <w:spacing w:after="0" w:line="17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OREGON REGULATORY MATTERS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REGULATORY ENVIRONMENT</w:t>
      </w:r>
    </w:p>
    <w:p>
      <w:pPr>
        <w:spacing w:after="0" w:line="8" w:lineRule="exact"/>
        <w:rPr>
          <w:sz w:val="20"/>
          <w:szCs w:val="20"/>
          <w:color w:val="auto"/>
        </w:rPr>
      </w:pPr>
    </w:p>
    <w:p>
      <w:pPr>
        <w:ind w:right="2939" w:firstLine="92"/>
        <w:spacing w:after="0" w:line="250" w:lineRule="auto"/>
        <w:rPr>
          <w:sz w:val="20"/>
          <w:szCs w:val="20"/>
          <w:color w:val="auto"/>
        </w:rPr>
      </w:pPr>
      <w:r>
        <w:rPr>
          <w:rFonts w:ascii="Courier New" w:cs="Courier New" w:eastAsia="Courier New" w:hAnsi="Courier New"/>
          <w:sz w:val="15"/>
          <w:szCs w:val="15"/>
          <w:color w:val="auto"/>
        </w:rPr>
        <w:t>The OPUC is presently approaching issues of retail competition on an informal, utility-by-utility basis, rather than through generic, broad-based proceedings such as other states are pursuing. The OPUC has long had a policy of allowing special contracts for customers that have competitive options, and many of PGE's largest customers receive power under such contracts. In addition, the OPUC last year approved an innovative rate schedule under which PGE is sharing some of the risks and rewards of a more competitive wholesale market with</w:t>
      </w:r>
    </w:p>
    <w:p>
      <w:pPr>
        <w:spacing w:after="0" w:line="3"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large industrial and commercial customers not already under special contract. The  OPUC  is  currently exploring performance-based ratemaking in a rate case for another Oregon  investor-owned  utility  and,  with  regard  to  PGE,  has expressed  interest  in  receiving  proposals  for  accelerated  recovery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regulatory assets.</w:t>
      </w:r>
    </w:p>
    <w:p>
      <w:pPr>
        <w:spacing w:after="0" w:line="185" w:lineRule="exact"/>
        <w:rPr>
          <w:sz w:val="20"/>
          <w:szCs w:val="20"/>
          <w:color w:val="auto"/>
        </w:rPr>
      </w:pPr>
    </w:p>
    <w:p>
      <w:pPr>
        <w:ind w:left="80" w:right="2939" w:firstLine="92"/>
        <w:spacing w:after="0" w:line="251" w:lineRule="auto"/>
        <w:rPr>
          <w:sz w:val="20"/>
          <w:szCs w:val="20"/>
          <w:color w:val="auto"/>
        </w:rPr>
      </w:pPr>
      <w:r>
        <w:rPr>
          <w:rFonts w:ascii="Courier New" w:cs="Courier New" w:eastAsia="Courier New" w:hAnsi="Courier New"/>
          <w:sz w:val="15"/>
          <w:szCs w:val="15"/>
          <w:color w:val="auto"/>
        </w:rPr>
        <w:t>Recent rate orders have significantly reduced the uncertainty associated with PGE's recovery of various regulatory assets, as well as reduced the overall total of such assets. The OPUC approved recovery of most of PGE's remaining investment in Trojan and full recovery of Trojan's decommissioning costs. The OPUC also authorized PGE to simultaneously reduce certain regulatory assets and liabilities (see discussion of recent rate orders below).</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120" w:type="dxa"/>
            <w:vAlign w:val="bottom"/>
            <w:gridSpan w:val="4"/>
          </w:tcPr>
          <w:p>
            <w:pPr>
              <w:spacing w:after="0"/>
              <w:rPr>
                <w:sz w:val="20"/>
                <w:szCs w:val="20"/>
                <w:color w:val="auto"/>
              </w:rPr>
            </w:pPr>
            <w:r>
              <w:rPr>
                <w:rFonts w:ascii="Courier New" w:cs="Courier New" w:eastAsia="Courier New" w:hAnsi="Courier New"/>
                <w:sz w:val="15"/>
                <w:szCs w:val="15"/>
                <w:color w:val="auto"/>
              </w:rPr>
              <w:t>1995 GENERAL RATE ORDER</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7"/>
        </w:trPr>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  March</w:t>
            </w:r>
          </w:p>
        </w:tc>
        <w:tc>
          <w:tcPr>
            <w:tcW w:w="200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1995 the OPUC issued</w:t>
            </w:r>
          </w:p>
        </w:tc>
        <w:tc>
          <w:tcPr>
            <w:tcW w:w="3500" w:type="dxa"/>
            <w:vAlign w:val="bottom"/>
            <w:gridSpan w:val="7"/>
          </w:tcPr>
          <w:p>
            <w:pPr>
              <w:spacing w:after="0"/>
              <w:rPr>
                <w:sz w:val="20"/>
                <w:szCs w:val="20"/>
                <w:color w:val="auto"/>
              </w:rPr>
            </w:pPr>
            <w:r>
              <w:rPr>
                <w:rFonts w:ascii="Courier New" w:cs="Courier New" w:eastAsia="Courier New" w:hAnsi="Courier New"/>
                <w:sz w:val="15"/>
                <w:szCs w:val="15"/>
                <w:color w:val="auto"/>
              </w:rPr>
              <w:t>an order on PGE's 1993 general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request</w:t>
            </w:r>
          </w:p>
        </w:tc>
      </w:tr>
      <w:tr>
        <w:trPr>
          <w:trHeight w:val="177"/>
        </w:trPr>
        <w:tc>
          <w:tcPr>
            <w:tcW w:w="2500" w:type="dxa"/>
            <w:vAlign w:val="bottom"/>
            <w:gridSpan w:val="5"/>
          </w:tcPr>
          <w:p>
            <w:pPr>
              <w:spacing w:after="0"/>
              <w:rPr>
                <w:sz w:val="20"/>
                <w:szCs w:val="20"/>
                <w:color w:val="auto"/>
              </w:rPr>
            </w:pPr>
            <w:r>
              <w:rPr>
                <w:rFonts w:ascii="Courier New" w:cs="Courier New" w:eastAsia="Courier New" w:hAnsi="Courier New"/>
                <w:sz w:val="15"/>
                <w:szCs w:val="15"/>
                <w:color w:val="auto"/>
              </w:rPr>
              <w:t>after an 18-month  process.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order,</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based</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on</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  two-year test period,</w:t>
            </w:r>
          </w:p>
        </w:tc>
      </w:tr>
      <w:tr>
        <w:trPr>
          <w:trHeight w:val="177"/>
        </w:trPr>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authorized</w:t>
            </w:r>
          </w:p>
        </w:tc>
        <w:tc>
          <w:tcPr>
            <w:tcW w:w="340" w:type="dxa"/>
            <w:vAlign w:val="bottom"/>
          </w:tcPr>
          <w:p>
            <w:pPr>
              <w:ind w:left="140"/>
              <w:spacing w:after="0"/>
              <w:rPr>
                <w:sz w:val="20"/>
                <w:szCs w:val="20"/>
                <w:color w:val="auto"/>
              </w:rPr>
            </w:pPr>
            <w:r>
              <w:rPr>
                <w:rFonts w:ascii="Courier New" w:cs="Courier New" w:eastAsia="Courier New" w:hAnsi="Courier New"/>
                <w:sz w:val="15"/>
                <w:szCs w:val="15"/>
                <w:color w:val="auto"/>
              </w:rPr>
              <w:t>a</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single</w:t>
            </w:r>
          </w:p>
        </w:tc>
        <w:tc>
          <w:tcPr>
            <w:tcW w:w="94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average</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rate</w:t>
            </w:r>
          </w:p>
        </w:tc>
        <w:tc>
          <w:tcPr>
            <w:tcW w:w="2580" w:type="dxa"/>
            <w:vAlign w:val="bottom"/>
            <w:gridSpan w:val="5"/>
          </w:tcPr>
          <w:p>
            <w:pPr>
              <w:spacing w:after="0"/>
              <w:rPr>
                <w:sz w:val="20"/>
                <w:szCs w:val="20"/>
                <w:color w:val="auto"/>
              </w:rPr>
            </w:pPr>
            <w:r>
              <w:rPr>
                <w:rFonts w:ascii="Courier New" w:cs="Courier New" w:eastAsia="Courier New" w:hAnsi="Courier New"/>
                <w:sz w:val="15"/>
                <w:szCs w:val="15"/>
                <w:color w:val="auto"/>
              </w:rPr>
              <w:t>increase of 5% representing</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w:t>
            </w:r>
          </w:p>
        </w:tc>
      </w:tr>
      <w:tr>
        <w:trPr>
          <w:trHeight w:val="177"/>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revenues of $51</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million in</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1995 and $52</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million</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in 1996.</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tariff change,</w:t>
            </w:r>
          </w:p>
        </w:tc>
      </w:tr>
      <w:tr>
        <w:trPr>
          <w:trHeight w:val="177"/>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which increased</w:t>
            </w:r>
          </w:p>
        </w:tc>
        <w:tc>
          <w:tcPr>
            <w:tcW w:w="322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residential rates 7.7%, commercial</w:t>
            </w:r>
          </w:p>
        </w:tc>
        <w:tc>
          <w:tcPr>
            <w:tcW w:w="7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rates</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5.6% and industrial</w:t>
            </w:r>
          </w:p>
        </w:tc>
      </w:tr>
      <w:tr>
        <w:trPr>
          <w:trHeight w:val="177"/>
        </w:trPr>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rates</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became</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effective</w:t>
            </w:r>
          </w:p>
        </w:tc>
        <w:tc>
          <w:tcPr>
            <w:tcW w:w="156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April 1, 1995.</w:t>
            </w:r>
          </w:p>
        </w:tc>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The order established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PGE's</w:t>
            </w:r>
          </w:p>
        </w:tc>
      </w:tr>
      <w:tr>
        <w:trPr>
          <w:trHeight w:val="177"/>
        </w:trPr>
        <w:tc>
          <w:tcPr>
            <w:tcW w:w="2500" w:type="dxa"/>
            <w:vAlign w:val="bottom"/>
            <w:gridSpan w:val="5"/>
          </w:tcPr>
          <w:p>
            <w:pPr>
              <w:spacing w:after="0"/>
              <w:rPr>
                <w:sz w:val="20"/>
                <w:szCs w:val="20"/>
                <w:color w:val="auto"/>
              </w:rPr>
            </w:pPr>
            <w:r>
              <w:rPr>
                <w:rFonts w:ascii="Courier New" w:cs="Courier New" w:eastAsia="Courier New" w:hAnsi="Courier New"/>
                <w:sz w:val="15"/>
                <w:szCs w:val="15"/>
                <w:color w:val="auto"/>
              </w:rPr>
              <w:t>return on equity at 11.6%,</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a decrease</w:t>
            </w:r>
          </w:p>
        </w:tc>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from</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the</w:t>
            </w:r>
          </w:p>
        </w:tc>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previously authorized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7"/>
        </w:trPr>
        <w:tc>
          <w:tcPr>
            <w:tcW w:w="660" w:type="dxa"/>
            <w:vAlign w:val="bottom"/>
          </w:tcPr>
          <w:p>
            <w:pPr>
              <w:ind w:left="200"/>
              <w:spacing w:after="0"/>
              <w:rPr>
                <w:sz w:val="20"/>
                <w:szCs w:val="20"/>
                <w:color w:val="auto"/>
              </w:rPr>
            </w:pPr>
            <w:r>
              <w:rPr>
                <w:rFonts w:ascii="Courier New" w:cs="Courier New" w:eastAsia="Courier New" w:hAnsi="Courier New"/>
                <w:sz w:val="15"/>
                <w:szCs w:val="15"/>
                <w:color w:val="auto"/>
              </w:rPr>
              <w:t>The</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order</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authorized</w:t>
            </w:r>
          </w:p>
        </w:tc>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PGE</w:t>
            </w:r>
          </w:p>
        </w:tc>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to  recover  all</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estimated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Trojan</w:t>
            </w:r>
          </w:p>
        </w:tc>
      </w:tr>
      <w:tr>
        <w:trPr>
          <w:trHeight w:val="177"/>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decommissioning</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costs</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87%</w:t>
            </w:r>
          </w:p>
        </w:tc>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of its remaining</w:t>
            </w:r>
          </w:p>
        </w:tc>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investment in Trojan.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These</w:t>
            </w:r>
          </w:p>
        </w:tc>
      </w:tr>
      <w:tr>
        <w:trPr>
          <w:trHeight w:val="177"/>
        </w:trPr>
        <w:tc>
          <w:tcPr>
            <w:tcW w:w="3600" w:type="dxa"/>
            <w:vAlign w:val="bottom"/>
            <w:gridSpan w:val="7"/>
          </w:tcPr>
          <w:p>
            <w:pPr>
              <w:spacing w:after="0"/>
              <w:rPr>
                <w:sz w:val="20"/>
                <w:szCs w:val="20"/>
                <w:color w:val="auto"/>
              </w:rPr>
            </w:pPr>
            <w:r>
              <w:rPr>
                <w:rFonts w:ascii="Courier New" w:cs="Courier New" w:eastAsia="Courier New" w:hAnsi="Courier New"/>
                <w:sz w:val="15"/>
                <w:szCs w:val="15"/>
                <w:color w:val="auto"/>
              </w:rPr>
              <w:t>amounts will be collected over Trojan's</w:t>
            </w:r>
          </w:p>
        </w:tc>
        <w:tc>
          <w:tcPr>
            <w:tcW w:w="10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original</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license</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period</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ending  in</w:t>
            </w:r>
          </w:p>
        </w:tc>
      </w:tr>
      <w:tr>
        <w:trPr>
          <w:trHeight w:val="177"/>
        </w:trPr>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2011.</w:t>
            </w:r>
          </w:p>
        </w:tc>
        <w:tc>
          <w:tcPr>
            <w:tcW w:w="240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The order also adopted a</w:t>
            </w:r>
          </w:p>
        </w:tc>
        <w:tc>
          <w:tcPr>
            <w:tcW w:w="4140" w:type="dxa"/>
            <w:vAlign w:val="bottom"/>
            <w:gridSpan w:val="8"/>
          </w:tcPr>
          <w:p>
            <w:pPr>
              <w:spacing w:after="0"/>
              <w:rPr>
                <w:sz w:val="20"/>
                <w:szCs w:val="20"/>
                <w:color w:val="auto"/>
              </w:rPr>
            </w:pPr>
            <w:r>
              <w:rPr>
                <w:rFonts w:ascii="Courier New" w:cs="Courier New" w:eastAsia="Courier New" w:hAnsi="Courier New"/>
                <w:sz w:val="15"/>
                <w:szCs w:val="15"/>
                <w:color w:val="auto"/>
              </w:rPr>
              <w:t>mechanism to decouple short-term profits from</w:t>
            </w:r>
          </w:p>
        </w:tc>
      </w:tr>
      <w:tr>
        <w:trPr>
          <w:trHeight w:val="177"/>
        </w:trPr>
        <w:tc>
          <w:tcPr>
            <w:tcW w:w="2500" w:type="dxa"/>
            <w:vAlign w:val="bottom"/>
            <w:gridSpan w:val="5"/>
          </w:tcPr>
          <w:p>
            <w:pPr>
              <w:spacing w:after="0"/>
              <w:rPr>
                <w:sz w:val="20"/>
                <w:szCs w:val="20"/>
                <w:color w:val="auto"/>
              </w:rPr>
            </w:pPr>
            <w:r>
              <w:rPr>
                <w:rFonts w:ascii="Courier New" w:cs="Courier New" w:eastAsia="Courier New" w:hAnsi="Courier New"/>
                <w:sz w:val="15"/>
                <w:szCs w:val="15"/>
                <w:color w:val="auto"/>
              </w:rPr>
              <w:t>retail kilowatt-hour sales</w:t>
            </w:r>
          </w:p>
        </w:tc>
        <w:tc>
          <w:tcPr>
            <w:tcW w:w="4700" w:type="dxa"/>
            <w:vAlign w:val="bottom"/>
            <w:gridSpan w:val="9"/>
          </w:tcPr>
          <w:p>
            <w:pPr>
              <w:spacing w:after="0"/>
              <w:rPr>
                <w:sz w:val="20"/>
                <w:szCs w:val="20"/>
                <w:color w:val="auto"/>
              </w:rPr>
            </w:pPr>
            <w:r>
              <w:rPr>
                <w:rFonts w:ascii="Courier New" w:cs="Courier New" w:eastAsia="Courier New" w:hAnsi="Courier New"/>
                <w:sz w:val="15"/>
                <w:szCs w:val="15"/>
                <w:color w:val="auto"/>
              </w:rPr>
              <w:t>during the two-year test period (decoupling).</w:t>
            </w:r>
          </w:p>
        </w:tc>
      </w:tr>
    </w:tbl>
    <w:p>
      <w:pPr>
        <w:spacing w:after="0" w:line="183" w:lineRule="exact"/>
        <w:rPr>
          <w:sz w:val="20"/>
          <w:szCs w:val="20"/>
          <w:color w:val="auto"/>
        </w:rPr>
      </w:pPr>
    </w:p>
    <w:p>
      <w:pPr>
        <w:ind w:left="80" w:right="3119"/>
        <w:spacing w:after="0" w:line="252" w:lineRule="auto"/>
        <w:rPr>
          <w:sz w:val="20"/>
          <w:szCs w:val="20"/>
          <w:color w:val="auto"/>
        </w:rPr>
      </w:pPr>
      <w:r>
        <w:rPr>
          <w:rFonts w:ascii="Courier New" w:cs="Courier New" w:eastAsia="Courier New" w:hAnsi="Courier New"/>
          <w:sz w:val="15"/>
          <w:szCs w:val="15"/>
          <w:color w:val="auto"/>
        </w:rPr>
        <w:t>The disallowed portion of the Trojan investment, on a net of tax basis, is comprised of $17 million of post-1991 capital expenditures, primarily related to steam generator repair activities,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7" w:name="page8"/>
    <w:bookmarkEnd w:id="7"/>
    <w:p>
      <w:pPr>
        <w:ind w:left="80"/>
        <w:spacing w:after="0"/>
        <w:rPr>
          <w:sz w:val="20"/>
          <w:szCs w:val="20"/>
          <w:color w:val="auto"/>
        </w:rPr>
      </w:pPr>
      <w:r>
        <w:rPr>
          <w:rFonts w:ascii="Courier New" w:cs="Courier New" w:eastAsia="Courier New" w:hAnsi="Courier New"/>
          <w:sz w:val="15"/>
          <w:szCs w:val="15"/>
          <w:color w:val="auto"/>
        </w:rPr>
        <w:t>and $20 million of general</w:t>
      </w:r>
    </w:p>
    <w:p>
      <w:pPr>
        <w:spacing w:after="0" w:line="8" w:lineRule="exact"/>
        <w:rPr>
          <w:sz w:val="20"/>
          <w:szCs w:val="20"/>
          <w:color w:val="auto"/>
        </w:rPr>
      </w:pPr>
    </w:p>
    <w:p>
      <w:pPr>
        <w:ind w:left="80" w:right="3299"/>
        <w:spacing w:after="0" w:line="253" w:lineRule="auto"/>
        <w:rPr>
          <w:sz w:val="20"/>
          <w:szCs w:val="20"/>
          <w:color w:val="auto"/>
        </w:rPr>
      </w:pPr>
      <w:r>
        <w:rPr>
          <w:rFonts w:ascii="Courier New" w:cs="Courier New" w:eastAsia="Courier New" w:hAnsi="Courier New"/>
          <w:sz w:val="15"/>
          <w:szCs w:val="15"/>
          <w:color w:val="auto"/>
        </w:rPr>
        <w:t>Trojan investment. As a result of this disallowance, PGE recorded a first quarter 1995 after-tax charge to income of $37 million.</w:t>
      </w:r>
    </w:p>
    <w:p>
      <w:pPr>
        <w:spacing w:after="0" w:line="174" w:lineRule="exact"/>
        <w:rPr>
          <w:sz w:val="20"/>
          <w:szCs w:val="20"/>
          <w:color w:val="auto"/>
        </w:rPr>
      </w:pPr>
    </w:p>
    <w:p>
      <w:pPr>
        <w:jc w:val="both"/>
        <w:ind w:left="80" w:right="2939"/>
        <w:spacing w:after="0" w:line="250" w:lineRule="auto"/>
        <w:rPr>
          <w:sz w:val="20"/>
          <w:szCs w:val="20"/>
          <w:color w:val="auto"/>
        </w:rPr>
      </w:pPr>
      <w:r>
        <w:rPr>
          <w:rFonts w:ascii="Courier New" w:cs="Courier New" w:eastAsia="Courier New" w:hAnsi="Courier New"/>
          <w:sz w:val="15"/>
          <w:szCs w:val="15"/>
          <w:color w:val="auto"/>
        </w:rPr>
        <w:t>The decoupling mechanism adopted by the OPUC set revenue targets associated with retail loads for each month beginning April 1995 through December 1996.</w:t>
      </w:r>
    </w:p>
    <w:p>
      <w:pPr>
        <w:spacing w:after="0" w:line="1" w:lineRule="exact"/>
        <w:rPr>
          <w:sz w:val="20"/>
          <w:szCs w:val="20"/>
          <w:color w:val="auto"/>
        </w:rPr>
      </w:pPr>
    </w:p>
    <w:p>
      <w:pPr>
        <w:ind w:left="180" w:right="3299"/>
        <w:spacing w:after="0" w:line="250" w:lineRule="auto"/>
        <w:rPr>
          <w:sz w:val="20"/>
          <w:szCs w:val="20"/>
          <w:color w:val="auto"/>
        </w:rPr>
      </w:pPr>
      <w:r>
        <w:rPr>
          <w:rFonts w:ascii="Courier New" w:cs="Courier New" w:eastAsia="Courier New" w:hAnsi="Courier New"/>
          <w:sz w:val="15"/>
          <w:szCs w:val="15"/>
          <w:color w:val="auto"/>
        </w:rPr>
        <w:t>If actual weather-adjusted retail revenues exceed or fall short of target revenues,</w:t>
      </w:r>
    </w:p>
    <w:p>
      <w:pPr>
        <w:spacing w:after="0" w:line="1"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PGE  will  refund  or  collect  the difference from customers over an 18-month period.  The adjustment at any time during  the two-year period cannot result in an overall increase or decrease in rates, due solely to decoupling, of more than 3% in total.  Adjustments to rates, if necessary, can be  made every six months.   Large  commercial  and  industrial customers are excluded from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decoupling mechanism.</w:t>
      </w:r>
    </w:p>
    <w:p>
      <w:pPr>
        <w:spacing w:after="0" w:line="185" w:lineRule="exact"/>
        <w:rPr>
          <w:sz w:val="20"/>
          <w:szCs w:val="20"/>
          <w:color w:val="auto"/>
        </w:rPr>
      </w:pPr>
    </w:p>
    <w:p>
      <w:pPr>
        <w:ind w:left="80" w:right="3119"/>
        <w:spacing w:after="0" w:line="251" w:lineRule="auto"/>
        <w:rPr>
          <w:sz w:val="20"/>
          <w:szCs w:val="20"/>
          <w:color w:val="auto"/>
        </w:rPr>
      </w:pPr>
      <w:r>
        <w:rPr>
          <w:rFonts w:ascii="Courier New" w:cs="Courier New" w:eastAsia="Courier New" w:hAnsi="Courier New"/>
          <w:sz w:val="15"/>
          <w:szCs w:val="15"/>
          <w:color w:val="auto"/>
        </w:rPr>
        <w:t>New rates, effective April 1, included approximately $16 million of variable power cost savings expected from the future commercial operation of Coyote Springs. The order did not include projected capital and fixed costs associated with Coyote Springs nor the collection of PGE's power cost deferrals which were addressed in a subsequent rate proceeding discussed below.</w:t>
      </w:r>
    </w:p>
    <w:p>
      <w:pPr>
        <w:spacing w:after="0" w:line="176" w:lineRule="exact"/>
        <w:rPr>
          <w:sz w:val="20"/>
          <w:szCs w:val="20"/>
          <w:color w:val="auto"/>
        </w:rPr>
      </w:pPr>
    </w:p>
    <w:p>
      <w:pPr>
        <w:ind w:left="80" w:right="2939"/>
        <w:spacing w:after="0" w:line="253" w:lineRule="auto"/>
        <w:rPr>
          <w:sz w:val="20"/>
          <w:szCs w:val="20"/>
          <w:color w:val="auto"/>
        </w:rPr>
      </w:pPr>
      <w:r>
        <w:rPr>
          <w:rFonts w:ascii="Courier New" w:cs="Courier New" w:eastAsia="Courier New" w:hAnsi="Courier New"/>
          <w:sz w:val="15"/>
          <w:szCs w:val="15"/>
          <w:color w:val="auto"/>
        </w:rPr>
        <w:t>Legal challenges have been filed against the OPUC's rate order (see Item 3, Legal Proceedings, for further discussion).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POWER COST RECOVERY AND COYOTE SPRINGS ORDER</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In November 1995 the OPUC issued an order authorizing PGE to increase rates by an average 2.7%  to recover the capital and fixed costs associated with Coyote Springs and an October 1995 BPA price increase.   The  order resulted in a $40 million  increase  in  annual  revenues for the Company.  New  prices  became effective in late November 1995 concurrent  with  the  commercial operation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Coyote Springs.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order addressed recovery of approximately $60 million of</w:t>
      </w:r>
    </w:p>
    <w:p>
      <w:pPr>
        <w:spacing w:after="0" w:line="8" w:lineRule="exact"/>
        <w:rPr>
          <w:sz w:val="20"/>
          <w:szCs w:val="20"/>
          <w:color w:val="auto"/>
        </w:rPr>
      </w:pPr>
    </w:p>
    <w:p>
      <w:pPr>
        <w:spacing w:after="0"/>
        <w:tabs>
          <w:tab w:leader="none" w:pos="6240" w:val="left"/>
        </w:tabs>
        <w:rPr>
          <w:sz w:val="20"/>
          <w:szCs w:val="20"/>
          <w:color w:val="auto"/>
        </w:rPr>
      </w:pPr>
      <w:r>
        <w:rPr>
          <w:rFonts w:ascii="Courier New" w:cs="Courier New" w:eastAsia="Courier New" w:hAnsi="Courier New"/>
          <w:sz w:val="15"/>
          <w:szCs w:val="15"/>
          <w:color w:val="auto"/>
        </w:rPr>
        <w:t>incremental power costs incurred after the 1993 closure of Trojan.</w:t>
        <w:tab/>
        <w:t>While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order authorized full recovery of $11 million of power costs</w:t>
      </w:r>
    </w:p>
    <w:p>
      <w:pPr>
        <w:spacing w:after="0" w:line="8" w:lineRule="exact"/>
        <w:rPr>
          <w:sz w:val="20"/>
          <w:szCs w:val="20"/>
          <w:color w:val="auto"/>
        </w:rPr>
      </w:pPr>
    </w:p>
    <w:p>
      <w:pPr>
        <w:ind w:left="180"/>
        <w:spacing w:after="0"/>
        <w:tabs>
          <w:tab w:leader="none" w:pos="1080" w:val="left"/>
          <w:tab w:leader="none" w:pos="3580" w:val="left"/>
          <w:tab w:leader="none" w:pos="4500" w:val="left"/>
          <w:tab w:leader="none" w:pos="4860" w:val="left"/>
          <w:tab w:leader="none" w:pos="5420" w:val="left"/>
        </w:tabs>
        <w:rPr>
          <w:sz w:val="20"/>
          <w:szCs w:val="20"/>
          <w:color w:val="auto"/>
        </w:rPr>
      </w:pPr>
      <w:r>
        <w:rPr>
          <w:rFonts w:ascii="Courier New" w:cs="Courier New" w:eastAsia="Courier New" w:hAnsi="Courier New"/>
          <w:sz w:val="15"/>
          <w:szCs w:val="15"/>
          <w:color w:val="auto"/>
        </w:rPr>
        <w:t>deferred</w:t>
        <w:tab/>
        <w:t>in early 1995, it allowed</w:t>
        <w:tab/>
        <w:t>recovery</w:t>
        <w:tab/>
        <w:t>of</w:t>
        <w:tab/>
        <w:t>only</w:t>
        <w:tab/>
        <w:t>$9 million</w:t>
      </w:r>
    </w:p>
    <w:p>
      <w:pPr>
        <w:spacing w:after="0" w:line="8" w:lineRule="exact"/>
        <w:rPr>
          <w:sz w:val="20"/>
          <w:szCs w:val="20"/>
          <w:color w:val="auto"/>
        </w:rPr>
      </w:pPr>
    </w:p>
    <w:p>
      <w:pPr>
        <w:ind w:left="180"/>
        <w:spacing w:after="0"/>
        <w:tabs>
          <w:tab w:leader="none" w:pos="900" w:val="left"/>
          <w:tab w:leader="none" w:pos="1360" w:val="left"/>
          <w:tab w:leader="none" w:pos="2180" w:val="left"/>
        </w:tabs>
        <w:rPr>
          <w:sz w:val="20"/>
          <w:szCs w:val="20"/>
          <w:color w:val="auto"/>
        </w:rPr>
      </w:pPr>
      <w:r>
        <w:rPr>
          <w:rFonts w:ascii="Courier New" w:cs="Courier New" w:eastAsia="Courier New" w:hAnsi="Courier New"/>
          <w:sz w:val="15"/>
          <w:szCs w:val="15"/>
          <w:color w:val="auto"/>
        </w:rPr>
        <w:t>of the</w:t>
        <w:tab/>
        <w:t>$50</w:t>
        <w:tab/>
        <w:t>million</w:t>
        <w:tab/>
        <w:t>of excess power costs deferred from July 1993 through</w:t>
      </w:r>
    </w:p>
    <w:p>
      <w:pPr>
        <w:spacing w:after="0" w:line="8" w:lineRule="exact"/>
        <w:rPr>
          <w:sz w:val="20"/>
          <w:szCs w:val="20"/>
          <w:color w:val="auto"/>
        </w:rPr>
      </w:pPr>
    </w:p>
    <w:p>
      <w:pPr>
        <w:ind w:left="80" w:right="2939"/>
        <w:spacing w:after="0" w:line="251" w:lineRule="auto"/>
        <w:rPr>
          <w:sz w:val="20"/>
          <w:szCs w:val="20"/>
          <w:color w:val="auto"/>
        </w:rPr>
      </w:pPr>
      <w:r>
        <w:rPr>
          <w:rFonts w:ascii="Courier New" w:cs="Courier New" w:eastAsia="Courier New" w:hAnsi="Courier New"/>
          <w:sz w:val="15"/>
          <w:szCs w:val="15"/>
          <w:color w:val="auto"/>
        </w:rPr>
        <w:t>March 1994. The order also authorized the immediate recovery of approximately $29 million in incentive revenues associated with prior years' achievements of the Company's energy efficiency programs. PGE recorded a $13 million after-tax charge to income in the third quarter of 1995 to reflect the write-off of unrecoverable costs.</w:t>
      </w:r>
    </w:p>
    <w:p>
      <w:pPr>
        <w:spacing w:after="0" w:line="176"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order  implemented  the Company's proposal to offset certain  regulatory assets  including  the uncollected  balance  of  all  power  cost  deferrals, incentive revenues  and  a portion of the remaining Trojan investment, against PGE's unamortized gain on the prior sale of a portion of Boardman.  The offset allowed for recovery of the  deferred  power  costs and incentive revenues and the  elimination  of  approximately  $117 million of  regulatory  assets  and</w:t>
      </w:r>
    </w:p>
    <w:p>
      <w:pPr>
        <w:spacing w:after="0" w:line="3" w:lineRule="exact"/>
        <w:rPr>
          <w:sz w:val="20"/>
          <w:szCs w:val="20"/>
          <w:color w:val="auto"/>
        </w:rPr>
      </w:pPr>
    </w:p>
    <w:p>
      <w:pPr>
        <w:ind w:left="80" w:right="3399"/>
        <w:spacing w:after="0" w:line="253" w:lineRule="auto"/>
        <w:rPr>
          <w:sz w:val="20"/>
          <w:szCs w:val="20"/>
          <w:color w:val="auto"/>
        </w:rPr>
      </w:pPr>
      <w:r>
        <w:rPr>
          <w:rFonts w:ascii="Courier New" w:cs="Courier New" w:eastAsia="Courier New" w:hAnsi="Courier New"/>
          <w:sz w:val="15"/>
          <w:szCs w:val="15"/>
          <w:color w:val="auto"/>
        </w:rPr>
        <w:t>liabilities from the Company's Balance Sheets without increasing customer rates.</w:t>
      </w:r>
    </w:p>
    <w:p>
      <w:pPr>
        <w:spacing w:after="0" w:line="174" w:lineRule="exact"/>
        <w:rPr>
          <w:sz w:val="20"/>
          <w:szCs w:val="20"/>
          <w:color w:val="auto"/>
        </w:rPr>
      </w:pPr>
    </w:p>
    <w:p>
      <w:pPr>
        <w:ind w:left="80" w:right="3399"/>
        <w:spacing w:after="0" w:line="253" w:lineRule="auto"/>
        <w:rPr>
          <w:sz w:val="20"/>
          <w:szCs w:val="20"/>
          <w:color w:val="auto"/>
        </w:rPr>
      </w:pPr>
      <w:r>
        <w:rPr>
          <w:rFonts w:ascii="Courier New" w:cs="Courier New" w:eastAsia="Courier New" w:hAnsi="Courier New"/>
          <w:sz w:val="15"/>
          <w:szCs w:val="15"/>
          <w:color w:val="auto"/>
        </w:rPr>
        <w:t>A party to the rate proceeding has requested that the OPUC reconsider the order. A decision on the motion is pending from the OPUC.</w:t>
      </w:r>
    </w:p>
    <w:p>
      <w:pPr>
        <w:spacing w:after="0" w:line="174" w:lineRule="exact"/>
        <w:rPr>
          <w:sz w:val="20"/>
          <w:szCs w:val="20"/>
          <w:color w:val="auto"/>
        </w:rPr>
      </w:pPr>
    </w:p>
    <w:p>
      <w:pPr>
        <w:ind w:left="80" w:right="2939" w:hanging="91"/>
        <w:spacing w:after="0" w:line="250" w:lineRule="auto"/>
        <w:rPr>
          <w:sz w:val="20"/>
          <w:szCs w:val="20"/>
          <w:color w:val="auto"/>
        </w:rPr>
      </w:pPr>
      <w:r>
        <w:rPr>
          <w:rFonts w:ascii="Courier New" w:cs="Courier New" w:eastAsia="Courier New" w:hAnsi="Courier New"/>
          <w:sz w:val="15"/>
          <w:szCs w:val="15"/>
          <w:color w:val="auto"/>
        </w:rPr>
        <w:t>Under the terms adopted in the order, PGE withdrew its appeal of the Boardman gain issue in PGE V. RONALD EACHUS, MYRON KATZ, NANCY RYLES AND THE OPUC,</w:t>
      </w:r>
    </w:p>
    <w:p>
      <w:pPr>
        <w:spacing w:after="0" w:line="1" w:lineRule="exact"/>
        <w:rPr>
          <w:sz w:val="20"/>
          <w:szCs w:val="20"/>
          <w:color w:val="auto"/>
        </w:rPr>
      </w:pPr>
    </w:p>
    <w:p>
      <w:pPr>
        <w:ind w:left="80" w:right="3019" w:firstLine="92"/>
        <w:spacing w:after="0" w:line="253" w:lineRule="auto"/>
        <w:rPr>
          <w:sz w:val="20"/>
          <w:szCs w:val="20"/>
          <w:color w:val="auto"/>
        </w:rPr>
      </w:pPr>
      <w:r>
        <w:rPr>
          <w:rFonts w:ascii="Courier New" w:cs="Courier New" w:eastAsia="Courier New" w:hAnsi="Courier New"/>
          <w:sz w:val="15"/>
          <w:szCs w:val="15"/>
          <w:color w:val="auto"/>
        </w:rPr>
        <w:t>MARION COUNTY CIRCUIT COURT (see Item 3, Legal Proceedings, for further discussion).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RESIDENTIAL EXCHANGE PROGRAM</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RPA, passed in 1980, attempted to resolve  growing  power  supply and cost inequities between customers of government and publicly owned utilities,  who have  priority  access  to  the low-cost power from the federal hydroelectric system, and the customers of  IOUs.   The  RPA  residential  exchange  program exists  to ensure that all residential and farm customers in the region,  the vast majority  of  which are served by IOUs, receive similar benefits from the publicly funded federal  power  system.   Exchange program benefits are passed directly to residential and farm customers.   The  exchange  benefit  for  PGE residential  and  small  farm customers totaled $51 million for calendar year 1995.  In July 1995, the BPA released its 1996 rate proposal, which included a significant reduction in the  benefits to PGE's customers from the residential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exchange program under the RPA.</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8" w:name="page9"/>
    <w:bookmarkEnd w:id="8"/>
    <w:p>
      <w:pPr>
        <w:ind w:right="3119"/>
        <w:spacing w:after="0" w:line="251" w:lineRule="auto"/>
        <w:rPr>
          <w:sz w:val="20"/>
          <w:szCs w:val="20"/>
          <w:color w:val="auto"/>
        </w:rPr>
      </w:pPr>
      <w:r>
        <w:rPr>
          <w:rFonts w:ascii="Courier New" w:cs="Courier New" w:eastAsia="Courier New" w:hAnsi="Courier New"/>
          <w:sz w:val="15"/>
          <w:szCs w:val="15"/>
          <w:color w:val="auto"/>
        </w:rPr>
        <w:t>Under recent Congressional legislation, this exchange benefit will decline by $10 to $15 million, annually, on October 1, 1996. The amount of the residential exchange benefit beginning October 1, 1997 is among the subjects of current regional discussions regarding BPA's role in the region.</w:t>
      </w:r>
    </w:p>
    <w:p>
      <w:pPr>
        <w:spacing w:after="0" w:line="176" w:lineRule="exact"/>
        <w:rPr>
          <w:sz w:val="20"/>
          <w:szCs w:val="20"/>
          <w:color w:val="auto"/>
        </w:rPr>
      </w:pPr>
    </w:p>
    <w:p>
      <w:pPr>
        <w:ind w:left="80" w:right="2939" w:firstLine="92"/>
        <w:spacing w:after="0" w:line="252" w:lineRule="auto"/>
        <w:rPr>
          <w:sz w:val="20"/>
          <w:szCs w:val="20"/>
          <w:color w:val="auto"/>
        </w:rPr>
      </w:pPr>
      <w:r>
        <w:rPr>
          <w:rFonts w:ascii="Courier New" w:cs="Courier New" w:eastAsia="Courier New" w:hAnsi="Courier New"/>
          <w:sz w:val="15"/>
          <w:szCs w:val="15"/>
          <w:color w:val="auto"/>
        </w:rPr>
        <w:t>In 1993 the OPUC allowed PGE to pass through a BPA price increase which reduced exchange benefits $29 million, resulting in a corresponding increase in electricity prices to residential and small farm customers.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ENERGY EFFICIENCY</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PGE has promoted the efficient  use  of  electricity  for  over  two  decades. Jointly,  PGE  and  the  OPUC  have  worked  together  to provide appropriate financial incentives for PGE's energy efficiency programs.   In  1990, PGE and the OPUC first implemented the Share All Value Equitably (SAVE) program.   The program  was  designed to remove the financial disincentive to the Company of pursuing cost-effective  Demand  Side  Management  (DSM) measures.  During the four-year  program, which ended in 1994,  PGE invested  $61  million  in  DSM measures and  achieved  an annualized 55 MWa of saved energy.  PGE invested an additional $25 million during  1995 in DSM programs resulting in an additional 20 MWa in annual energy savings.   The  Company  is  allowed a return of and a</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return on its energy efficiency program expenditures.</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Current  DSM  programs  provide  a range of services to all  classes  of  PGE customers.  These programs seek to  capitalize  on  windows  of opportunity in which  DSM  measures  are  most  cost-effective, such as new residential  and commercial construction, and the replacement  and  renovation  markets.   PGE</w:t>
      </w:r>
    </w:p>
    <w:p>
      <w:pPr>
        <w:spacing w:after="0" w:line="2" w:lineRule="exact"/>
        <w:rPr>
          <w:sz w:val="20"/>
          <w:szCs w:val="20"/>
          <w:color w:val="auto"/>
        </w:rPr>
      </w:pPr>
    </w:p>
    <w:p>
      <w:pPr>
        <w:ind w:left="80" w:right="3119"/>
        <w:spacing w:after="0" w:line="253" w:lineRule="auto"/>
        <w:rPr>
          <w:sz w:val="20"/>
          <w:szCs w:val="20"/>
          <w:color w:val="auto"/>
        </w:rPr>
      </w:pPr>
      <w:r>
        <w:rPr>
          <w:rFonts w:ascii="Courier New" w:cs="Courier New" w:eastAsia="Courier New" w:hAnsi="Courier New"/>
          <w:sz w:val="15"/>
          <w:szCs w:val="15"/>
          <w:color w:val="auto"/>
        </w:rPr>
        <w:t>continues to provide a weatherization program for eligible low-income families.</w:t>
      </w:r>
    </w:p>
    <w:p>
      <w:pPr>
        <w:spacing w:after="0" w:line="174"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PGE recognizes the value of and remains committed to encouraging the efficient use  of  energy.   With  the  prospect  of increased competition and customer choice, PGE is focusing its DSM efforts more  toward customer needs and wants. The goal is to allow more customer choice in determining what amount of energy efficiency is appropriate to satisfy business and lifestyle choices.  PGE will meet these needs through cost-effective DSM services  to  its customers in the form of energy expertise and information, project facilitation  and  financing</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support.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LEAST COST ENERGY PLANNING</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OPUC adopted Least Cost Energy Planning for all energy utilities in Oregon with  the  goal  of selecting the mix of options that yields an adequate  and reliable supply of  energy  at  the least cost to the utilities and customers. "Demand side" options (ie, conservation  and  load  management)  as  well  as traditional  "supply  side" options (ie, generation and purchase of power) are evaluated.  Although utility  management continues to be fully responsible for decision making, the process allows  the OPUC and the public to participate in resource planning.  Ratemaking decisions are not made in the planning process. However, participation by the OPUC and  the  public may reduce the uncertainty regarding  the  ratemaking  treatment  of  actions  consistent  with  a  plan</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acknowledged by the OPUC.</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In November 1995, PGE's 1995-1997 Integrated Resource Plan (IRP) was submitted to the OPUC for review and acknowledgment in  fulfillment  of  its  least cost planning  obligation.   Under  the  IRP,  PGE  will  rely on the increasingly competitive energy marketplace to meet near-term load growth  and  reliability needs.  PGE will make economical use of existing assets and engage in  system efficiency  improvements.   PGE's "just in time" resource acquisition strategy calls for reducing the lead time  required  for  new  generating  capacity  by completing  the  siting  and  permitting  process  in  advance  of a need for additional  resources.   As  noted above, PGE will refocus DSM activities  to deliver customer value and choice  while emphasizing the economic viability of each program.  PGE anticipates acknowledgment  of  its IRP by the OPUC by mid-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1996.</w:t>
      </w:r>
    </w:p>
    <w:p>
      <w:pPr>
        <w:spacing w:after="0" w:line="36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COMPETITION AND MARKETING</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Progress toward greater customer choice and direct access  to customers by all competitors  has  been  dramatic in the last two years.  The National  Energy Policy Act of 1992 (Energy  Act)   allows the FERC to order wholesale wheeling between utilities.  The Energy Act reserved  the  right  to order true "retail wheeling"  to  the  individual  states.  Retail wheeling is the  movement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electric energy produced and sold by another entity over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9" w:name="page10"/>
    <w:bookmarkEnd w:id="9"/>
    <w:p>
      <w:pPr>
        <w:ind w:left="80"/>
        <w:spacing w:after="0"/>
        <w:rPr>
          <w:sz w:val="20"/>
          <w:szCs w:val="20"/>
          <w:color w:val="auto"/>
        </w:rPr>
      </w:pPr>
      <w:r>
        <w:rPr>
          <w:rFonts w:ascii="Courier New" w:cs="Courier New" w:eastAsia="Courier New" w:hAnsi="Courier New"/>
          <w:sz w:val="15"/>
          <w:szCs w:val="15"/>
          <w:color w:val="auto"/>
        </w:rPr>
        <w:t>an electric utility's</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transmission and distribution system,  to  a  retail customer in the utility's service territory.  Retail wheeling would permit  retail customers to purchase electric  capacity and energy from any electric utility  or  power  supplier. Recently, Michigan  ordered  utilities  in that state to test 150 MW of retail wheeling.  California has proposed a comprehensive  restructuring  of electric utility  regulation that would lead to intense competition for customers  and free choice  for  all  customers  by  2002.  Although  the  OPUC  has  not yet considered  similar  measures,  in the coming years the Company's growth will increasingly be influenced by competitive  factors  rather  than  within  the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traditional regulatory framework.</w:t>
      </w:r>
    </w:p>
    <w:p>
      <w:pPr>
        <w:spacing w:after="0" w:line="185" w:lineRule="exact"/>
        <w:rPr>
          <w:sz w:val="20"/>
          <w:szCs w:val="20"/>
          <w:color w:val="auto"/>
        </w:rPr>
      </w:pPr>
    </w:p>
    <w:p>
      <w:pPr>
        <w:ind w:left="80" w:right="2939"/>
        <w:spacing w:after="0" w:line="251" w:lineRule="auto"/>
        <w:rPr>
          <w:sz w:val="20"/>
          <w:szCs w:val="20"/>
          <w:color w:val="auto"/>
        </w:rPr>
      </w:pPr>
      <w:r>
        <w:rPr>
          <w:rFonts w:ascii="Courier New" w:cs="Courier New" w:eastAsia="Courier New" w:hAnsi="Courier New"/>
          <w:sz w:val="15"/>
          <w:szCs w:val="15"/>
          <w:color w:val="auto"/>
        </w:rPr>
        <w:t>The electric industry is in the early stages of an increasingly competitive climate that is already making dramatic differences in the way the Company produces, transmits, distributes and markets electric energy and associated services. During 1995 PGE aligned the Company along its major business lines: energy services encompassing retail sales, marketing and customer service; wholesale marketing; and power supply encompassing hydro and thermal power operations.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TRADING FLOOR OPERATIONS</w:t>
      </w:r>
    </w:p>
    <w:p>
      <w:pPr>
        <w:spacing w:after="0" w:line="8" w:lineRule="exact"/>
        <w:rPr>
          <w:sz w:val="20"/>
          <w:szCs w:val="20"/>
          <w:color w:val="auto"/>
        </w:rPr>
      </w:pPr>
    </w:p>
    <w:p>
      <w:pPr>
        <w:ind w:left="80" w:right="2939" w:firstLine="92"/>
        <w:spacing w:after="0" w:line="250" w:lineRule="auto"/>
        <w:rPr>
          <w:sz w:val="20"/>
          <w:szCs w:val="20"/>
          <w:color w:val="auto"/>
        </w:rPr>
      </w:pPr>
      <w:r>
        <w:rPr>
          <w:rFonts w:ascii="Courier New" w:cs="Courier New" w:eastAsia="Courier New" w:hAnsi="Courier New"/>
          <w:sz w:val="15"/>
          <w:szCs w:val="15"/>
          <w:color w:val="auto"/>
        </w:rPr>
        <w:t>In 1995 PGE established its trading floor operations which fully integrates the Company's wholesale marketing, energy supply, financial risk management and power operations functions. The trading floor activities seek to enhance PGE's competitive</w:t>
      </w:r>
    </w:p>
    <w:p>
      <w:pPr>
        <w:spacing w:after="0" w:line="2" w:lineRule="exact"/>
        <w:rPr>
          <w:sz w:val="20"/>
          <w:szCs w:val="20"/>
          <w:color w:val="auto"/>
        </w:rPr>
      </w:pPr>
    </w:p>
    <w:p>
      <w:pPr>
        <w:jc w:val="both"/>
        <w:ind w:left="80" w:right="2939" w:firstLine="92"/>
        <w:spacing w:after="0" w:line="252" w:lineRule="auto"/>
        <w:rPr>
          <w:sz w:val="20"/>
          <w:szCs w:val="20"/>
          <w:color w:val="auto"/>
        </w:rPr>
      </w:pPr>
      <w:r>
        <w:rPr>
          <w:rFonts w:ascii="Courier New" w:cs="Courier New" w:eastAsia="Courier New" w:hAnsi="Courier New"/>
          <w:sz w:val="15"/>
          <w:szCs w:val="15"/>
          <w:color w:val="auto"/>
        </w:rPr>
        <w:t>position in retail and wholesale markets by assuring a reliable, low-cost supply of energy to meet retail and wholesale loads and enhance the Company's ability to profitably market to current and emerging wholesale markets.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RETAIL COMPETITION AND MARKETING</w:t>
      </w:r>
    </w:p>
    <w:p>
      <w:pPr>
        <w:spacing w:after="0" w:line="8"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PGE operates within a state-approved service area and under current regulation is substantially free  from  direct  retail  competition  with  other electric utilities.   PGE's  competitors  within its Oregon service territory  include other fuel suppliers, such as the local natural gas company, which compete with PGE for the residential and commercial  space  and  water  heating market.  In addition  there  is the potential of a loss of PGE service territory  to  the creation of public  utility districts by voters.  In the near term much of the Company's  business is  likely  to  remain  regulated  with  progress  toward increased retail  competition  taking  place  in  stages.   For example, basic residential electric service is likely to remain highly regulated  with little competition,   while   industrial  service  may  see  rapid  development  of competition.  Deregulation  of other industries such as telecommunications has led to a host of new suppliers,  products and services.   The same is expected for the electric industry as more  and  more  groups  of  customers  will have</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increasing degrees of choice and alternative suppliers from whom to purchase.</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Increased  competition  presents  both a threat and  an opportunity.  PGE  is preparing to meet  varying levels of  competition  from  traditional  and non-traditional sources in the various retail markets within its service territory as well as throughout the western United States.  Much of the Company's growth potential  may  no  longer  be  limited by service territory boundaries.  The Company plans to look beyond traditional  boundaries at opportunities to serve customers with energy related products and  services  allowable in the current regulated markets and to be prepared to further expand  as  greater  access to</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these markets emerges.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Within</w:t>
            </w:r>
          </w:p>
        </w:tc>
        <w:tc>
          <w:tcPr>
            <w:tcW w:w="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core</w:t>
            </w:r>
          </w:p>
        </w:tc>
        <w:tc>
          <w:tcPr>
            <w:tcW w:w="5220" w:type="dxa"/>
            <w:vAlign w:val="bottom"/>
            <w:gridSpan w:val="6"/>
          </w:tcPr>
          <w:p>
            <w:pPr>
              <w:ind w:left="200"/>
              <w:spacing w:after="0"/>
              <w:rPr>
                <w:sz w:val="20"/>
                <w:szCs w:val="20"/>
                <w:color w:val="auto"/>
              </w:rPr>
            </w:pPr>
            <w:r>
              <w:rPr>
                <w:rFonts w:ascii="Courier New" w:cs="Courier New" w:eastAsia="Courier New" w:hAnsi="Courier New"/>
                <w:sz w:val="15"/>
                <w:szCs w:val="15"/>
                <w:color w:val="auto"/>
              </w:rPr>
              <w:t>markets that make up PGE's current service territory,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2460" w:type="dxa"/>
            <w:vAlign w:val="bottom"/>
            <w:gridSpan w:val="5"/>
          </w:tcPr>
          <w:p>
            <w:pPr>
              <w:spacing w:after="0"/>
              <w:rPr>
                <w:sz w:val="20"/>
                <w:szCs w:val="20"/>
                <w:color w:val="auto"/>
              </w:rPr>
            </w:pPr>
            <w:r>
              <w:rPr>
                <w:rFonts w:ascii="Courier New" w:cs="Courier New" w:eastAsia="Courier New" w:hAnsi="Courier New"/>
                <w:sz w:val="15"/>
                <w:szCs w:val="15"/>
                <w:color w:val="auto"/>
              </w:rPr>
              <w:t>will continue  to deliver</w:t>
            </w: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quality electric</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2460" w:type="dxa"/>
            <w:vAlign w:val="bottom"/>
            <w:gridSpan w:val="5"/>
          </w:tcPr>
          <w:p>
            <w:pPr>
              <w:spacing w:after="0"/>
              <w:rPr>
                <w:sz w:val="20"/>
                <w:szCs w:val="20"/>
                <w:color w:val="auto"/>
              </w:rPr>
            </w:pPr>
            <w:r>
              <w:rPr>
                <w:rFonts w:ascii="Courier New" w:cs="Courier New" w:eastAsia="Courier New" w:hAnsi="Courier New"/>
                <w:sz w:val="15"/>
                <w:szCs w:val="15"/>
                <w:color w:val="auto"/>
              </w:rPr>
              <w:t>by focusing on traditional</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values</w:t>
            </w: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like reliability, cost management,</w:t>
            </w: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resource</w:t>
            </w:r>
          </w:p>
        </w:tc>
        <w:tc>
          <w:tcPr>
            <w:tcW w:w="38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acquisition, effective energy efficiency</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services,  safe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operations</w:t>
            </w:r>
          </w:p>
        </w:tc>
      </w:tr>
      <w:tr>
        <w:trPr>
          <w:trHeight w:val="177"/>
        </w:trPr>
        <w:tc>
          <w:tcPr>
            <w:tcW w:w="39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and responsive customer-oriented service.</w:t>
            </w:r>
          </w:p>
        </w:tc>
        <w:tc>
          <w:tcPr>
            <w:tcW w:w="29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 addition, the Company plans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provide</w:t>
            </w:r>
          </w:p>
        </w:tc>
        <w:tc>
          <w:tcPr>
            <w:tcW w:w="9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an array</w:t>
            </w:r>
          </w:p>
        </w:tc>
        <w:tc>
          <w:tcPr>
            <w:tcW w:w="55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of new products and services to its existing and prospective</w:t>
            </w:r>
          </w:p>
        </w:tc>
      </w:tr>
      <w:tr>
        <w:trPr>
          <w:trHeight w:val="177"/>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customers.</w:t>
            </w:r>
          </w:p>
        </w:tc>
        <w:tc>
          <w:tcPr>
            <w:tcW w:w="6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For</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instance,</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PGE</w:t>
            </w:r>
          </w:p>
        </w:tc>
        <w:tc>
          <w:tcPr>
            <w:tcW w:w="3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launched its Power Smart marketing</w:t>
            </w:r>
          </w:p>
        </w:tc>
        <w:tc>
          <w:tcPr>
            <w:tcW w:w="320" w:type="dxa"/>
            <w:vAlign w:val="bottom"/>
          </w:tcPr>
          <w:p>
            <w:pPr>
              <w:spacing w:after="0"/>
              <w:rPr>
                <w:sz w:val="15"/>
                <w:szCs w:val="15"/>
                <w:color w:val="auto"/>
              </w:rPr>
            </w:pP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campaign</w:t>
            </w:r>
          </w:p>
        </w:tc>
        <w:tc>
          <w:tcPr>
            <w:tcW w:w="384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to encourage the wise use of beneficial</w:t>
            </w:r>
          </w:p>
        </w:tc>
        <w:tc>
          <w:tcPr>
            <w:tcW w:w="2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electro-technologies.  Other</w:t>
            </w:r>
          </w:p>
        </w:tc>
      </w:tr>
      <w:tr>
        <w:trPr>
          <w:trHeight w:val="177"/>
        </w:trPr>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services</w:t>
            </w:r>
          </w:p>
        </w:tc>
        <w:tc>
          <w:tcPr>
            <w:tcW w:w="15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currently being</w:t>
            </w:r>
          </w:p>
        </w:tc>
        <w:tc>
          <w:tcPr>
            <w:tcW w:w="3600" w:type="dxa"/>
            <w:vAlign w:val="bottom"/>
            <w:gridSpan w:val="4"/>
          </w:tcPr>
          <w:p>
            <w:pPr>
              <w:spacing w:after="0"/>
              <w:rPr>
                <w:sz w:val="20"/>
                <w:szCs w:val="20"/>
                <w:color w:val="auto"/>
              </w:rPr>
            </w:pPr>
            <w:r>
              <w:rPr>
                <w:rFonts w:ascii="Courier New" w:cs="Courier New" w:eastAsia="Courier New" w:hAnsi="Courier New"/>
                <w:sz w:val="15"/>
                <w:szCs w:val="15"/>
                <w:color w:val="auto"/>
              </w:rPr>
              <w:t>offered or under development  include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distribution</w:t>
            </w:r>
          </w:p>
        </w:tc>
      </w:tr>
      <w:tr>
        <w:trPr>
          <w:trHeight w:val="177"/>
        </w:trPr>
        <w:tc>
          <w:tcPr>
            <w:tcW w:w="1300" w:type="dxa"/>
            <w:vAlign w:val="bottom"/>
            <w:gridSpan w:val="3"/>
          </w:tcPr>
          <w:p>
            <w:pPr>
              <w:spacing w:after="0"/>
              <w:rPr>
                <w:sz w:val="20"/>
                <w:szCs w:val="20"/>
                <w:color w:val="auto"/>
              </w:rPr>
            </w:pPr>
            <w:r>
              <w:rPr>
                <w:rFonts w:ascii="Courier New" w:cs="Courier New" w:eastAsia="Courier New" w:hAnsi="Courier New"/>
                <w:sz w:val="15"/>
                <w:szCs w:val="15"/>
                <w:color w:val="auto"/>
              </w:rPr>
              <w:t>services, such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840" w:type="dxa"/>
            <w:vAlign w:val="bottom"/>
          </w:tcPr>
          <w:p>
            <w:pPr>
              <w:ind w:left="200"/>
              <w:spacing w:after="0"/>
              <w:rPr>
                <w:sz w:val="20"/>
                <w:szCs w:val="20"/>
                <w:color w:val="auto"/>
              </w:rPr>
            </w:pPr>
            <w:r>
              <w:rPr>
                <w:rFonts w:ascii="Courier New" w:cs="Courier New" w:eastAsia="Courier New" w:hAnsi="Courier New"/>
                <w:sz w:val="15"/>
                <w:szCs w:val="15"/>
                <w:color w:val="auto"/>
              </w:rPr>
              <w:t>power</w:t>
            </w:r>
          </w:p>
        </w:tc>
        <w:tc>
          <w:tcPr>
            <w:tcW w:w="4700" w:type="dxa"/>
            <w:vAlign w:val="bottom"/>
            <w:gridSpan w:val="6"/>
          </w:tcPr>
          <w:p>
            <w:pPr>
              <w:spacing w:after="0"/>
              <w:rPr>
                <w:sz w:val="20"/>
                <w:szCs w:val="20"/>
                <w:color w:val="auto"/>
              </w:rPr>
            </w:pPr>
            <w:r>
              <w:rPr>
                <w:rFonts w:ascii="Courier New" w:cs="Courier New" w:eastAsia="Courier New" w:hAnsi="Courier New"/>
                <w:sz w:val="15"/>
                <w:szCs w:val="15"/>
                <w:color w:val="auto"/>
              </w:rPr>
              <w:t>quality-related services and lighting maintenance;</w:t>
            </w:r>
          </w:p>
        </w:tc>
      </w:tr>
    </w:tbl>
    <w:p>
      <w:pPr>
        <w:spacing w:after="0" w:line="5"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power services, such as load following and system control; utility services, such as automated billing services and outage management; and retail services, such as power quality and time-of-day rates.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WHOLESALE COMPETITION AND MARKETING</w:t>
      </w:r>
    </w:p>
    <w:p>
      <w:pPr>
        <w:spacing w:after="0" w:line="8" w:lineRule="exact"/>
        <w:rPr>
          <w:sz w:val="20"/>
          <w:szCs w:val="20"/>
          <w:color w:val="auto"/>
        </w:rPr>
      </w:pPr>
    </w:p>
    <w:p>
      <w:pPr>
        <w:jc w:val="both"/>
        <w:ind w:left="180" w:right="2939" w:hanging="91"/>
        <w:spacing w:after="0" w:line="250" w:lineRule="auto"/>
        <w:rPr>
          <w:sz w:val="20"/>
          <w:szCs w:val="20"/>
          <w:color w:val="auto"/>
        </w:rPr>
      </w:pPr>
      <w:r>
        <w:rPr>
          <w:rFonts w:ascii="Courier New" w:cs="Courier New" w:eastAsia="Courier New" w:hAnsi="Courier New"/>
          <w:sz w:val="15"/>
          <w:szCs w:val="15"/>
          <w:color w:val="auto"/>
        </w:rPr>
        <w:t>During the last few years, the western United</w:t>
      </w:r>
      <w:r>
        <w:rPr>
          <w:sz w:val="20"/>
          <w:szCs w:val="20"/>
          <w:color w:val="auto"/>
        </w:rPr>
        <w:t xml:space="preserve"> </w:t>
      </w:r>
      <w:r>
        <w:rPr>
          <w:rFonts w:ascii="Courier New" w:cs="Courier New" w:eastAsia="Courier New" w:hAnsi="Courier New"/>
          <w:sz w:val="15"/>
          <w:szCs w:val="15"/>
          <w:color w:val="auto"/>
        </w:rPr>
        <w:t>States has become a vibrant marketplace for the trading of electricity in which PGE has become an active</w:t>
      </w:r>
    </w:p>
    <w:p>
      <w:pPr>
        <w:spacing w:after="0" w:line="1"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participant. Wholesale sales continue to make a significant contribution to Company revenues. During 1995 PGE's wholesale sales increased 25% over 1994 levels and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0" w:name="page11"/>
    <w:bookmarkEnd w:id="10"/>
    <w:p>
      <w:pPr>
        <w:ind w:left="180"/>
        <w:spacing w:after="0"/>
        <w:tabs>
          <w:tab w:leader="none" w:pos="2180" w:val="left"/>
          <w:tab w:leader="none" w:pos="4040" w:val="left"/>
          <w:tab w:leader="none" w:pos="4500" w:val="left"/>
          <w:tab w:leader="none" w:pos="4860" w:val="left"/>
          <w:tab w:leader="none" w:pos="5520" w:val="left"/>
        </w:tabs>
        <w:rPr>
          <w:sz w:val="20"/>
          <w:szCs w:val="20"/>
          <w:color w:val="auto"/>
        </w:rPr>
      </w:pPr>
      <w:r>
        <w:rPr>
          <w:rFonts w:ascii="Courier New" w:cs="Courier New" w:eastAsia="Courier New" w:hAnsi="Courier New"/>
          <w:sz w:val="15"/>
          <w:szCs w:val="15"/>
          <w:color w:val="auto"/>
        </w:rPr>
        <w:t>accounted for 10% of</w:t>
        <w:tab/>
        <w:t>total revenues and</w:t>
        <w:tab/>
        <w:t>17%</w:t>
        <w:tab/>
        <w:t>of</w:t>
        <w:tab/>
        <w:t>total</w:t>
        <w:tab/>
        <w:t>sales.</w:t>
      </w:r>
    </w:p>
    <w:p>
      <w:pPr>
        <w:spacing w:after="0" w:line="8" w:lineRule="exact"/>
        <w:rPr>
          <w:sz w:val="20"/>
          <w:szCs w:val="20"/>
          <w:color w:val="auto"/>
        </w:rPr>
      </w:pPr>
    </w:p>
    <w:p>
      <w:pPr>
        <w:ind w:left="180" w:right="2939"/>
        <w:spacing w:after="0" w:line="250" w:lineRule="auto"/>
        <w:rPr>
          <w:sz w:val="20"/>
          <w:szCs w:val="20"/>
          <w:color w:val="auto"/>
        </w:rPr>
      </w:pPr>
      <w:r>
        <w:rPr>
          <w:rFonts w:ascii="Courier New" w:cs="Courier New" w:eastAsia="Courier New" w:hAnsi="Courier New"/>
          <w:sz w:val="15"/>
          <w:szCs w:val="15"/>
          <w:color w:val="auto"/>
        </w:rPr>
        <w:t>However, a surplus of energy, in conjunction with the entrance of numerous marketers/brokers, independent power producers and affiliates of electric</w:t>
      </w:r>
    </w:p>
    <w:p>
      <w:pPr>
        <w:spacing w:after="0" w:line="1" w:lineRule="exact"/>
        <w:rPr>
          <w:sz w:val="20"/>
          <w:szCs w:val="20"/>
          <w:color w:val="auto"/>
        </w:rPr>
      </w:pPr>
    </w:p>
    <w:p>
      <w:pPr>
        <w:ind w:left="180" w:right="2939" w:hanging="91"/>
        <w:spacing w:after="0" w:line="250" w:lineRule="auto"/>
        <w:rPr>
          <w:sz w:val="20"/>
          <w:szCs w:val="20"/>
          <w:color w:val="auto"/>
        </w:rPr>
      </w:pPr>
      <w:r>
        <w:rPr>
          <w:rFonts w:ascii="Courier New" w:cs="Courier New" w:eastAsia="Courier New" w:hAnsi="Courier New"/>
          <w:sz w:val="15"/>
          <w:szCs w:val="15"/>
          <w:color w:val="auto"/>
        </w:rPr>
        <w:t>utilities, has increased the competition for market share and is resulting in lower prices and profit margins. During 1995, the average price of PGE's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wholesale sales decreased 28%.</w:t>
      </w:r>
    </w:p>
    <w:p>
      <w:pPr>
        <w:spacing w:after="0" w:line="185"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PGE plans to utilize its wholesale marketing experience to expand its presence in the western United States. Wholesale activities are focused on both</w:t>
      </w:r>
    </w:p>
    <w:p>
      <w:pPr>
        <w:spacing w:after="0" w:line="1" w:lineRule="exact"/>
        <w:rPr>
          <w:sz w:val="20"/>
          <w:szCs w:val="20"/>
          <w:color w:val="auto"/>
        </w:rPr>
      </w:pPr>
    </w:p>
    <w:p>
      <w:pPr>
        <w:ind w:left="80" w:right="2939" w:firstLine="92"/>
        <w:spacing w:after="0" w:line="252" w:lineRule="auto"/>
        <w:rPr>
          <w:sz w:val="20"/>
          <w:szCs w:val="20"/>
          <w:color w:val="auto"/>
        </w:rPr>
      </w:pPr>
      <w:r>
        <w:rPr>
          <w:rFonts w:ascii="Courier New" w:cs="Courier New" w:eastAsia="Courier New" w:hAnsi="Courier New"/>
          <w:sz w:val="15"/>
          <w:szCs w:val="15"/>
          <w:color w:val="auto"/>
        </w:rPr>
        <w:t>bulk energy markets and large end-user customers that can purchase energy directly from the market. As part of this effort, PGE recently established wholesale power marketing offices in other Western states.</w:t>
      </w:r>
    </w:p>
    <w:p>
      <w:pPr>
        <w:spacing w:after="0" w:line="175" w:lineRule="exact"/>
        <w:rPr>
          <w:sz w:val="20"/>
          <w:szCs w:val="20"/>
          <w:color w:val="auto"/>
        </w:rPr>
      </w:pPr>
    </w:p>
    <w:p>
      <w:pPr>
        <w:jc w:val="both"/>
        <w:ind w:left="80" w:right="2939" w:firstLine="92"/>
        <w:spacing w:after="0" w:line="250" w:lineRule="auto"/>
        <w:rPr>
          <w:sz w:val="20"/>
          <w:szCs w:val="20"/>
          <w:color w:val="auto"/>
        </w:rPr>
      </w:pPr>
      <w:r>
        <w:rPr>
          <w:rFonts w:ascii="Courier New" w:cs="Courier New" w:eastAsia="Courier New" w:hAnsi="Courier New"/>
          <w:sz w:val="15"/>
          <w:szCs w:val="15"/>
          <w:color w:val="auto"/>
        </w:rPr>
        <w:t>In 1996 FERC is expected to issue new rules creating open access to the nation's electric transmission grid. The new rules could create even higher levels of competition in the bulk power markets as all wholesale buyers and sellers have equal access to transmission resources. Utilities such as PGE will be required to make their transmission systems available to anyone on the</w:t>
      </w:r>
    </w:p>
    <w:p>
      <w:pPr>
        <w:spacing w:after="0" w:line="2"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same  terms  and  costs that they offer to themselves.  In November 1995, PGE filed an open access  transmission  tariff  with  FERC in response to the FERC notice  of proposed rulemaking.  The Company's transmission  system  connects winter-peaking  utilities  in  the  Northwest and Canada, which have access to low-cost hydroelectric generation, with  summer-peaking wholesale customers in California and the Southwest, which have higher-cost fossil fuel  generation. PGE has used this system to purchase and sell in both markets depending  upon the relative price  and availability of power, water conditions, and seasonal</w:t>
      </w:r>
    </w:p>
    <w:p>
      <w:pPr>
        <w:spacing w:after="0" w:line="4" w:lineRule="exact"/>
        <w:rPr>
          <w:sz w:val="20"/>
          <w:szCs w:val="20"/>
          <w:color w:val="auto"/>
        </w:rPr>
      </w:pPr>
    </w:p>
    <w:p>
      <w:pPr>
        <w:ind w:left="80" w:right="2939"/>
        <w:spacing w:after="0" w:line="251" w:lineRule="auto"/>
        <w:rPr>
          <w:sz w:val="20"/>
          <w:szCs w:val="20"/>
          <w:color w:val="auto"/>
        </w:rPr>
      </w:pPr>
      <w:r>
        <w:rPr>
          <w:rFonts w:ascii="Courier New" w:cs="Courier New" w:eastAsia="Courier New" w:hAnsi="Courier New"/>
          <w:sz w:val="15"/>
          <w:szCs w:val="15"/>
          <w:color w:val="auto"/>
        </w:rPr>
        <w:t>demand from each market. Under its open access tariff the Company will lose any competitive advantage it may have had through the use of its transmission assets for wholesale transactions. Open access may provide new opportunities as the Company has equal access to the transmission capabilities of other utilities.</w:t>
      </w:r>
    </w:p>
    <w:p>
      <w:pPr>
        <w:spacing w:after="0" w:line="176" w:lineRule="exact"/>
        <w:rPr>
          <w:sz w:val="20"/>
          <w:szCs w:val="20"/>
          <w:color w:val="auto"/>
        </w:rPr>
      </w:pPr>
    </w:p>
    <w:p>
      <w:pPr>
        <w:jc w:val="both"/>
        <w:ind w:left="180" w:right="2939" w:hanging="91"/>
        <w:spacing w:after="0" w:line="246" w:lineRule="auto"/>
        <w:rPr>
          <w:sz w:val="20"/>
          <w:szCs w:val="20"/>
          <w:color w:val="auto"/>
        </w:rPr>
      </w:pPr>
      <w:r>
        <w:rPr>
          <w:rFonts w:ascii="Courier New" w:cs="Courier New" w:eastAsia="Courier New" w:hAnsi="Courier New"/>
          <w:sz w:val="15"/>
          <w:szCs w:val="15"/>
          <w:color w:val="auto"/>
        </w:rPr>
        <w:t>The Company has actively participated in</w:t>
      </w:r>
      <w:r>
        <w:rPr>
          <w:sz w:val="20"/>
          <w:szCs w:val="20"/>
          <w:color w:val="auto"/>
        </w:rPr>
        <w:t xml:space="preserve"> </w:t>
      </w:r>
      <w:r>
        <w:rPr>
          <w:rFonts w:ascii="Courier New" w:cs="Courier New" w:eastAsia="Courier New" w:hAnsi="Courier New"/>
          <w:sz w:val="15"/>
          <w:szCs w:val="15"/>
          <w:color w:val="auto"/>
        </w:rPr>
        <w:t>the development of a NYMEX electric futures contract and promoted COB as the</w:t>
      </w:r>
    </w:p>
    <w:p>
      <w:pPr>
        <w:spacing w:after="0" w:line="181"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preferred physical delivery point for pricing purposes. A NYMEX contract has been approved to facilitate electric futures trading by April 1996. PGE is prepared to be an active participant in the market.</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0" w:type="dxa"/>
            <w:vAlign w:val="bottom"/>
          </w:tcPr>
          <w:p>
            <w:pPr>
              <w:ind w:left="840"/>
              <w:spacing w:after="0"/>
              <w:rPr>
                <w:sz w:val="20"/>
                <w:szCs w:val="20"/>
                <w:color w:val="auto"/>
              </w:rPr>
            </w:pPr>
            <w:r>
              <w:rPr>
                <w:rFonts w:ascii="Courier New" w:cs="Courier New" w:eastAsia="Courier New" w:hAnsi="Courier New"/>
                <w:sz w:val="15"/>
                <w:szCs w:val="15"/>
                <w:color w:val="auto"/>
              </w:rPr>
              <w:t>POWER SUPPLY</w:t>
            </w:r>
          </w:p>
        </w:tc>
        <w:tc>
          <w:tcPr>
            <w:tcW w:w="880" w:type="dxa"/>
            <w:vAlign w:val="bottom"/>
          </w:tcPr>
          <w:p>
            <w:pPr>
              <w:spacing w:after="0"/>
              <w:rPr>
                <w:sz w:val="14"/>
                <w:szCs w:val="14"/>
                <w:color w:val="auto"/>
              </w:rPr>
            </w:pPr>
          </w:p>
        </w:tc>
      </w:tr>
      <w:tr>
        <w:trPr>
          <w:trHeight w:val="355"/>
        </w:trPr>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Growth  within</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PGE's</w:t>
            </w:r>
          </w:p>
        </w:tc>
        <w:tc>
          <w:tcPr>
            <w:tcW w:w="4200" w:type="dxa"/>
            <w:vAlign w:val="bottom"/>
          </w:tcPr>
          <w:p>
            <w:pPr>
              <w:ind w:left="100"/>
              <w:spacing w:after="0"/>
              <w:rPr>
                <w:sz w:val="20"/>
                <w:szCs w:val="20"/>
                <w:color w:val="auto"/>
              </w:rPr>
            </w:pPr>
            <w:r>
              <w:rPr>
                <w:rFonts w:ascii="Courier New" w:cs="Courier New" w:eastAsia="Courier New" w:hAnsi="Courier New"/>
                <w:sz w:val="15"/>
                <w:szCs w:val="15"/>
                <w:color w:val="auto"/>
              </w:rPr>
              <w:t>service territory as well as its aggressive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wholesale</w:t>
            </w:r>
          </w:p>
        </w:tc>
      </w:tr>
      <w:tr>
        <w:trPr>
          <w:trHeight w:val="177"/>
        </w:trPr>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marketing plans</w:t>
            </w:r>
          </w:p>
        </w:tc>
        <w:tc>
          <w:tcPr>
            <w:tcW w:w="4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have underscored  the  Company's need for sources of</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reliable,</w:t>
            </w:r>
          </w:p>
        </w:tc>
      </w:tr>
      <w:tr>
        <w:trPr>
          <w:trHeight w:val="177"/>
        </w:trPr>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low-cost energy</w:t>
            </w:r>
          </w:p>
        </w:tc>
        <w:tc>
          <w:tcPr>
            <w:tcW w:w="4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supplies such as the abundant hydro resources of the</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Pacific</w:t>
            </w:r>
          </w:p>
        </w:tc>
      </w:tr>
      <w:tr>
        <w:trPr>
          <w:trHeight w:val="177"/>
        </w:trPr>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Northwest.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demand</w:t>
            </w:r>
          </w:p>
        </w:tc>
        <w:tc>
          <w:tcPr>
            <w:tcW w:w="4200" w:type="dxa"/>
            <w:vAlign w:val="bottom"/>
          </w:tcPr>
          <w:p>
            <w:pPr>
              <w:ind w:left="100"/>
              <w:spacing w:after="0"/>
              <w:rPr>
                <w:sz w:val="20"/>
                <w:szCs w:val="20"/>
                <w:color w:val="auto"/>
              </w:rPr>
            </w:pPr>
            <w:r>
              <w:rPr>
                <w:rFonts w:ascii="Courier New" w:cs="Courier New" w:eastAsia="Courier New" w:hAnsi="Courier New"/>
                <w:sz w:val="15"/>
                <w:szCs w:val="15"/>
                <w:color w:val="auto"/>
              </w:rPr>
              <w:t>for  energy within PGE's service</w:t>
            </w:r>
          </w:p>
        </w:tc>
        <w:tc>
          <w:tcPr>
            <w:tcW w:w="880" w:type="dxa"/>
            <w:vAlign w:val="bottom"/>
          </w:tcPr>
          <w:p>
            <w:pPr>
              <w:spacing w:after="0"/>
              <w:rPr>
                <w:sz w:val="15"/>
                <w:szCs w:val="15"/>
                <w:color w:val="auto"/>
              </w:rPr>
            </w:pPr>
          </w:p>
        </w:tc>
      </w:tr>
      <w:tr>
        <w:trPr>
          <w:trHeight w:val="177"/>
        </w:trPr>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territory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has</w:t>
            </w:r>
          </w:p>
        </w:tc>
        <w:tc>
          <w:tcPr>
            <w:tcW w:w="5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experienced an average annual growth rate  of   approximately</w:t>
            </w:r>
          </w:p>
        </w:tc>
      </w:tr>
    </w:tbl>
    <w:p>
      <w:pPr>
        <w:spacing w:after="0" w:line="5" w:lineRule="exact"/>
        <w:rPr>
          <w:sz w:val="20"/>
          <w:szCs w:val="20"/>
          <w:color w:val="auto"/>
        </w:rPr>
      </w:pPr>
    </w:p>
    <w:p>
      <w:pPr>
        <w:ind w:left="80"/>
        <w:spacing w:after="0"/>
        <w:tabs>
          <w:tab w:leader="none" w:pos="1460" w:val="left"/>
          <w:tab w:leader="none" w:pos="2000" w:val="left"/>
          <w:tab w:leader="none" w:pos="2380" w:val="left"/>
          <w:tab w:leader="none" w:pos="3200" w:val="left"/>
          <w:tab w:leader="none" w:pos="3940" w:val="left"/>
        </w:tabs>
        <w:rPr>
          <w:sz w:val="20"/>
          <w:szCs w:val="20"/>
          <w:color w:val="auto"/>
        </w:rPr>
      </w:pPr>
      <w:r>
        <w:rPr>
          <w:rFonts w:ascii="Courier New" w:cs="Courier New" w:eastAsia="Courier New" w:hAnsi="Courier New"/>
          <w:sz w:val="15"/>
          <w:szCs w:val="15"/>
          <w:color w:val="auto"/>
        </w:rPr>
        <w:t>2.5% over the</w:t>
        <w:tab/>
        <w:t>past</w:t>
        <w:tab/>
        <w:t>10</w:t>
        <w:tab/>
        <w:t>years.</w:t>
      </w:r>
      <w:r>
        <w:rPr>
          <w:sz w:val="20"/>
          <w:szCs w:val="20"/>
          <w:color w:val="auto"/>
        </w:rPr>
        <w:tab/>
      </w:r>
      <w:r>
        <w:rPr>
          <w:rFonts w:ascii="Courier New" w:cs="Courier New" w:eastAsia="Courier New" w:hAnsi="Courier New"/>
          <w:sz w:val="15"/>
          <w:szCs w:val="15"/>
          <w:color w:val="auto"/>
        </w:rPr>
        <w:t>During</w:t>
        <w:tab/>
        <w:t>1996 PGE expects an even</w:t>
      </w:r>
    </w:p>
    <w:p>
      <w:pPr>
        <w:spacing w:after="0" w:line="8" w:lineRule="exact"/>
        <w:rPr>
          <w:sz w:val="20"/>
          <w:szCs w:val="20"/>
          <w:color w:val="auto"/>
        </w:rPr>
      </w:pPr>
    </w:p>
    <w:p>
      <w:pPr>
        <w:jc w:val="both"/>
        <w:ind w:left="180" w:right="2939" w:hanging="91"/>
        <w:spacing w:after="0" w:line="250" w:lineRule="auto"/>
        <w:rPr>
          <w:sz w:val="20"/>
          <w:szCs w:val="20"/>
          <w:color w:val="auto"/>
        </w:rPr>
      </w:pPr>
      <w:r>
        <w:rPr>
          <w:rFonts w:ascii="Courier New" w:cs="Courier New" w:eastAsia="Courier New" w:hAnsi="Courier New"/>
          <w:sz w:val="15"/>
          <w:szCs w:val="15"/>
          <w:color w:val="auto"/>
        </w:rPr>
        <w:t>greater level of load growth due to a vibrant economy</w:t>
      </w:r>
      <w:r>
        <w:rPr>
          <w:sz w:val="20"/>
          <w:szCs w:val="20"/>
          <w:color w:val="auto"/>
        </w:rPr>
        <w:t xml:space="preserve"> </w:t>
      </w:r>
      <w:r>
        <w:rPr>
          <w:rFonts w:ascii="Courier New" w:cs="Courier New" w:eastAsia="Courier New" w:hAnsi="Courier New"/>
          <w:sz w:val="15"/>
          <w:szCs w:val="15"/>
          <w:color w:val="auto"/>
        </w:rPr>
        <w:t>and the expansion plans of the high-tech industry in the region. The emerging wholesale energy marketplace has caused PGE to postpone the acquisition of significant additional new generating resources and capacity for the foreseeable</w:t>
      </w:r>
    </w:p>
    <w:p>
      <w:pPr>
        <w:spacing w:after="0" w:line="2" w:lineRule="exact"/>
        <w:rPr>
          <w:sz w:val="20"/>
          <w:szCs w:val="20"/>
          <w:color w:val="auto"/>
        </w:rPr>
      </w:pPr>
    </w:p>
    <w:p>
      <w:pPr>
        <w:jc w:val="both"/>
        <w:ind w:left="80" w:right="2939"/>
        <w:spacing w:after="0" w:line="253" w:lineRule="auto"/>
        <w:rPr>
          <w:sz w:val="20"/>
          <w:szCs w:val="20"/>
          <w:color w:val="auto"/>
        </w:rPr>
      </w:pPr>
      <w:r>
        <w:rPr>
          <w:rFonts w:ascii="Courier New" w:cs="Courier New" w:eastAsia="Courier New" w:hAnsi="Courier New"/>
          <w:sz w:val="15"/>
          <w:szCs w:val="15"/>
          <w:color w:val="auto"/>
        </w:rPr>
        <w:t>future. Rather PGE will rely on the purchase of power in the wholesale market to supplement its existing base of hydro and thermal generating resources.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GENERATING CAPABILITY</w:t>
      </w:r>
    </w:p>
    <w:p>
      <w:pPr>
        <w:spacing w:after="0" w:line="8"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PGE's existing hydroelectric, coal-fired and gas-fired plants are key resources for the Company, providing 2,117 MW of generating capability (see Item 2, Properties, for a full listing of PGE's generating facilities). PGE's lowest-cost producers are its eight hydroelectric projects on the Clackamas, Sandy, Deschutes, and Willamette rivers in Oregon. In 1995 generation from PGE's hydroelectric facilities met 11% of the Company's total load.</w:t>
      </w:r>
    </w:p>
    <w:p>
      <w:pPr>
        <w:spacing w:after="0" w:line="176"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In 1995 PGE completed construction of Coyote Springs, a 241-MW, gas-fired facility. Coyote Spring is the Company's first plant addition since Boardman in 1980 and adds a state-of-the-art combined cycle combustion turbine plant to its thermal generating resources. Its initial operation during the fourth quarter of 1995 provided over 186,000 MWh of generation at a cost below the average cost of Company spot market purchases.</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28" w:right="1440" w:bottom="1440" w:gutter="0" w:footer="0" w:header="0"/>
        </w:sectPr>
      </w:pPr>
    </w:p>
    <w:bookmarkStart w:id="11" w:name="page12"/>
    <w:bookmarkEnd w:id="11"/>
    <w:p>
      <w:pPr>
        <w:ind w:left="80"/>
        <w:spacing w:after="0"/>
        <w:rPr>
          <w:sz w:val="20"/>
          <w:szCs w:val="20"/>
          <w:color w:val="auto"/>
        </w:rPr>
      </w:pPr>
      <w:r>
        <w:rPr>
          <w:rFonts w:ascii="Courier New" w:cs="Courier New" w:eastAsia="Courier New" w:hAnsi="Courier New"/>
          <w:sz w:val="15"/>
          <w:szCs w:val="15"/>
          <w:color w:val="auto"/>
        </w:rPr>
        <w:t>PURCHASED POWER</w:t>
      </w:r>
    </w:p>
    <w:p>
      <w:pPr>
        <w:spacing w:after="0" w:line="8"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PGE has long-term power contracts with four hydro projects on the mid-Columbia River which provide PGE with 590 MW of firm capacity. PGE also has firm contracts, ranging in term from one to 21 years, to purchase energy, primarily hydro-generated, from other Pacific Northwest utilities for 821 MW. In addition, PGE</w:t>
      </w:r>
    </w:p>
    <w:p>
      <w:pPr>
        <w:spacing w:after="0" w:line="2"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has long-term exchange contracts with summer-peaking  Southwest  utilities  to help  meet  its  winter-peaking  requirements.  In total, the above contracts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provide PGE 1,766 MW of firm capacity to serve PGE's peak loads.</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PGE has increasingly utilized short-term  purchases  to meet its energy needs. Short-term contracts include all spot, or secondary, purchases as well as firm purchases  for  periods  less than one year in duration.   During  1995,  60%</w:t>
      </w:r>
    </w:p>
    <w:p>
      <w:pPr>
        <w:spacing w:after="0" w:line="1" w:lineRule="exact"/>
        <w:rPr>
          <w:sz w:val="20"/>
          <w:szCs w:val="20"/>
          <w:color w:val="auto"/>
        </w:rPr>
      </w:pPr>
    </w:p>
    <w:p>
      <w:pPr>
        <w:ind w:left="180" w:right="2939" w:hanging="184"/>
        <w:spacing w:after="0" w:line="250" w:lineRule="auto"/>
        <w:rPr>
          <w:sz w:val="20"/>
          <w:szCs w:val="20"/>
          <w:color w:val="auto"/>
        </w:rPr>
      </w:pPr>
      <w:r>
        <w:rPr>
          <w:rFonts w:ascii="Courier New" w:cs="Courier New" w:eastAsia="Courier New" w:hAnsi="Courier New"/>
          <w:sz w:val="15"/>
          <w:szCs w:val="15"/>
          <w:color w:val="auto"/>
        </w:rPr>
        <w:t>of PGE's power purchases were under</w:t>
      </w:r>
      <w:r>
        <w:rPr>
          <w:sz w:val="20"/>
          <w:szCs w:val="20"/>
          <w:color w:val="auto"/>
        </w:rPr>
        <w:t xml:space="preserve"> </w:t>
      </w:r>
      <w:r>
        <w:rPr>
          <w:rFonts w:ascii="Courier New" w:cs="Courier New" w:eastAsia="Courier New" w:hAnsi="Courier New"/>
          <w:sz w:val="15"/>
          <w:szCs w:val="15"/>
          <w:color w:val="auto"/>
        </w:rPr>
        <w:t>short-term agreements compared to 43% in 1994. Short-term energy prices have remained at levels which make long-term</w:t>
      </w:r>
    </w:p>
    <w:p>
      <w:pPr>
        <w:spacing w:after="0" w:line="1"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power and  capacity  contracts  unattractive.  PGE's 1995 short-term purchases averaged 50% less than the cost of energy bought under long- and intermediate-term firm power contracts.  A continued  surplus  of energy within the region, the  emergence  of a NYMEX electric futures contract  and  open  transmission</w:t>
      </w:r>
    </w:p>
    <w:p>
      <w:pPr>
        <w:spacing w:after="0" w:line="2" w:lineRule="exact"/>
        <w:rPr>
          <w:sz w:val="20"/>
          <w:szCs w:val="20"/>
          <w:color w:val="auto"/>
        </w:rPr>
      </w:pPr>
    </w:p>
    <w:p>
      <w:pPr>
        <w:ind w:left="80" w:right="3399"/>
        <w:spacing w:after="0" w:line="252" w:lineRule="auto"/>
        <w:rPr>
          <w:sz w:val="20"/>
          <w:szCs w:val="20"/>
          <w:color w:val="auto"/>
        </w:rPr>
      </w:pPr>
      <w:r>
        <w:rPr>
          <w:rFonts w:ascii="Courier New" w:cs="Courier New" w:eastAsia="Courier New" w:hAnsi="Courier New"/>
          <w:sz w:val="15"/>
          <w:szCs w:val="15"/>
          <w:color w:val="auto"/>
        </w:rPr>
        <w:t>anticipated during 1996 are expected to continue to place competitive pressures on the market price of short-term power. PGE is susceptible to wholesale price increases due to its reliance on purchased power.</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SYSTEM RELIABILITY AND THE WSCC</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PGE relies on wholesale  market  purchases within the WSCC in conjunction with its base of generating resources to  supply  its  resource  needs and maintain system  reliability.   The  WSCC  is geographically the largest of  the  nine regional electric reliability councils.   The  WSCC performs an essential role in  developing  and monitoring established reliability  criteria  guides  and procedures to ensure  continued  reliability  of the region's electric system. During the last few years, the area covered by  WSCC  has  become  a  dynamic marketplace  for  the trading of electricity.  This region, which includes the 11 Western states,  is  very   diverse  in  climates.   Peak  loads  occur  at different  times  of  the year in the different regions.  Energy loads in the Southwest peak in summer  due  to air conditioning; northern loads peak during</w:t>
      </w:r>
    </w:p>
    <w:p>
      <w:pPr>
        <w:spacing w:after="0" w:line="5" w:lineRule="exact"/>
        <w:rPr>
          <w:sz w:val="20"/>
          <w:szCs w:val="20"/>
          <w:color w:val="auto"/>
        </w:rPr>
      </w:pPr>
    </w:p>
    <w:p>
      <w:pPr>
        <w:ind w:left="180" w:right="3119"/>
        <w:spacing w:after="0" w:line="250" w:lineRule="auto"/>
        <w:rPr>
          <w:sz w:val="20"/>
          <w:szCs w:val="20"/>
          <w:color w:val="auto"/>
        </w:rPr>
      </w:pPr>
      <w:r>
        <w:rPr>
          <w:rFonts w:ascii="Courier New" w:cs="Courier New" w:eastAsia="Courier New" w:hAnsi="Courier New"/>
          <w:sz w:val="15"/>
          <w:szCs w:val="15"/>
          <w:color w:val="auto"/>
        </w:rPr>
        <w:t>winter heating months. Further, according to WSCC forecasts, the 80 electric organizations participating in the WSCC, which include utilities,</w:t>
      </w:r>
    </w:p>
    <w:p>
      <w:pPr>
        <w:spacing w:after="0" w:line="1" w:lineRule="exact"/>
        <w:rPr>
          <w:sz w:val="20"/>
          <w:szCs w:val="20"/>
          <w:color w:val="auto"/>
        </w:rPr>
      </w:pPr>
    </w:p>
    <w:p>
      <w:pPr>
        <w:ind w:left="80" w:right="3579"/>
        <w:spacing w:after="0" w:line="250" w:lineRule="auto"/>
        <w:rPr>
          <w:sz w:val="20"/>
          <w:szCs w:val="20"/>
          <w:color w:val="auto"/>
        </w:rPr>
      </w:pPr>
      <w:r>
        <w:rPr>
          <w:rFonts w:ascii="Courier New" w:cs="Courier New" w:eastAsia="Courier New" w:hAnsi="Courier New"/>
          <w:sz w:val="15"/>
          <w:szCs w:val="15"/>
          <w:color w:val="auto"/>
        </w:rPr>
        <w:t>independent power producers and transmission utilities, have sufficient generating capacity to cover loads 25 to 30% greater than anticipated</w:t>
      </w:r>
    </w:p>
    <w:p>
      <w:pPr>
        <w:spacing w:after="0" w:line="1"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peak loads for each month of the year beyond the year 2000 assuming adverse water conditions. Favorable water conditions have the ability to even further increase energy supplies with inexpensive hydro-generated power.</w:t>
      </w:r>
    </w:p>
    <w:p>
      <w:pPr>
        <w:spacing w:after="0" w:line="175" w:lineRule="exact"/>
        <w:rPr>
          <w:sz w:val="20"/>
          <w:szCs w:val="20"/>
          <w:color w:val="auto"/>
        </w:rPr>
      </w:pPr>
    </w:p>
    <w:p>
      <w:pPr>
        <w:ind w:left="80" w:right="3299"/>
        <w:spacing w:after="0" w:line="250" w:lineRule="auto"/>
        <w:rPr>
          <w:sz w:val="20"/>
          <w:szCs w:val="20"/>
          <w:color w:val="auto"/>
        </w:rPr>
      </w:pPr>
      <w:r>
        <w:rPr>
          <w:rFonts w:ascii="Courier New" w:cs="Courier New" w:eastAsia="Courier New" w:hAnsi="Courier New"/>
          <w:sz w:val="15"/>
          <w:szCs w:val="15"/>
          <w:color w:val="auto"/>
        </w:rPr>
        <w:t>During 1995 PGE's peak load was 3,315 MW of which over 16% was met through economical short-term purchases. The remaining load was met through a</w:t>
      </w:r>
    </w:p>
    <w:p>
      <w:pPr>
        <w:spacing w:after="0" w:line="1" w:lineRule="exact"/>
        <w:rPr>
          <w:sz w:val="20"/>
          <w:szCs w:val="20"/>
          <w:color w:val="auto"/>
        </w:rPr>
      </w:pPr>
    </w:p>
    <w:p>
      <w:pPr>
        <w:ind w:left="80" w:right="2939" w:firstLine="92"/>
        <w:spacing w:after="0" w:line="252" w:lineRule="auto"/>
        <w:rPr>
          <w:sz w:val="20"/>
          <w:szCs w:val="20"/>
          <w:color w:val="auto"/>
        </w:rPr>
      </w:pPr>
      <w:r>
        <w:rPr>
          <w:rFonts w:ascii="Courier New" w:cs="Courier New" w:eastAsia="Courier New" w:hAnsi="Courier New"/>
          <w:sz w:val="15"/>
          <w:szCs w:val="15"/>
          <w:color w:val="auto"/>
        </w:rPr>
        <w:t>combination of Company-owned generation and firm power purchase contracts discussed above. PGE's firm resource capacity totaled 3,872 MW as of December 31, 1995. PGE reached a new system record in February 1996 of 3,888 MW.</w:t>
      </w:r>
    </w:p>
    <w:p>
      <w:pPr>
        <w:spacing w:after="0" w:line="175" w:lineRule="exact"/>
        <w:rPr>
          <w:sz w:val="20"/>
          <w:szCs w:val="20"/>
          <w:color w:val="auto"/>
        </w:rPr>
      </w:pPr>
    </w:p>
    <w:p>
      <w:pPr>
        <w:ind w:right="2939" w:firstLine="92"/>
        <w:spacing w:after="0" w:line="251" w:lineRule="auto"/>
        <w:rPr>
          <w:sz w:val="20"/>
          <w:szCs w:val="20"/>
          <w:color w:val="auto"/>
        </w:rPr>
      </w:pPr>
      <w:r>
        <w:rPr>
          <w:rFonts w:ascii="Courier New" w:cs="Courier New" w:eastAsia="Courier New" w:hAnsi="Courier New"/>
          <w:sz w:val="15"/>
          <w:szCs w:val="15"/>
          <w:color w:val="auto"/>
        </w:rPr>
        <w:t>The availability of wholesale power has made the traditional utility reserve margin less relevant. The need for an individual utility to maintain a reserve margin of 20% or higher in order to assure that it has the capacity to meet, without interruption, customer peak energy needs is no longer necessary.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YEAR IN REVIEW</w:t>
      </w:r>
    </w:p>
    <w:p>
      <w:pPr>
        <w:spacing w:after="0" w:line="8"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PGE generated 36% of its load requirements in 1995 compared with 47% in  1994. Firm  and  secondary  purchases  met  the  remaining  load.   Regional  water conditions  were  about 95% of normal.  Average precipitation in the Columbia</w:t>
      </w:r>
    </w:p>
    <w:p>
      <w:pPr>
        <w:spacing w:after="0" w:line="1" w:lineRule="exact"/>
        <w:rPr>
          <w:sz w:val="20"/>
          <w:szCs w:val="20"/>
          <w:color w:val="auto"/>
        </w:rPr>
      </w:pPr>
    </w:p>
    <w:p>
      <w:pPr>
        <w:spacing w:after="0"/>
        <w:tabs>
          <w:tab w:leader="none" w:pos="2100" w:val="left"/>
          <w:tab w:leader="none" w:pos="2580" w:val="left"/>
          <w:tab w:leader="none" w:pos="3860" w:val="left"/>
          <w:tab w:leader="none" w:pos="4240" w:val="left"/>
          <w:tab w:leader="none" w:pos="5440" w:val="left"/>
        </w:tabs>
        <w:rPr>
          <w:sz w:val="20"/>
          <w:szCs w:val="20"/>
          <w:color w:val="auto"/>
        </w:rPr>
      </w:pPr>
      <w:r>
        <w:rPr>
          <w:rFonts w:ascii="Courier New" w:cs="Courier New" w:eastAsia="Courier New" w:hAnsi="Courier New"/>
          <w:sz w:val="15"/>
          <w:szCs w:val="15"/>
          <w:color w:val="auto"/>
        </w:rPr>
        <w:t>River basin increased</w:t>
        <w:tab/>
        <w:t>the</w:t>
        <w:tab/>
        <w:t>availability</w:t>
        <w:tab/>
        <w:t>of</w:t>
        <w:tab/>
        <w:t>inexpensive</w:t>
        <w:tab/>
        <w:t>hydropower on the</w:t>
      </w:r>
    </w:p>
    <w:p>
      <w:pPr>
        <w:spacing w:after="0" w:line="8" w:lineRule="exact"/>
        <w:rPr>
          <w:sz w:val="20"/>
          <w:szCs w:val="20"/>
          <w:color w:val="auto"/>
        </w:rPr>
      </w:pPr>
    </w:p>
    <w:p>
      <w:pPr>
        <w:jc w:val="both"/>
        <w:ind w:right="2939" w:firstLine="92"/>
        <w:spacing w:after="0" w:line="253" w:lineRule="auto"/>
        <w:rPr>
          <w:sz w:val="20"/>
          <w:szCs w:val="20"/>
          <w:color w:val="auto"/>
        </w:rPr>
      </w:pPr>
      <w:r>
        <w:rPr>
          <w:rFonts w:ascii="Courier New" w:cs="Courier New" w:eastAsia="Courier New" w:hAnsi="Courier New"/>
          <w:sz w:val="15"/>
          <w:szCs w:val="15"/>
          <w:color w:val="auto"/>
        </w:rPr>
        <w:t>secondary market in 1995. Mild weather, lower gas prices and increased competition also contributed to the availability of inexpensive power.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OUTLOOK</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The early predictions of water conditions  indicate  they will be about normal in 1996.  While this should result in similar levels of hydro generation as in 1995,  efforts to restore salmon runs on the Columbia and  Snake  rivers  may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affect the supply and price of purchased power.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RESTORATION OF SALMON RUNS</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Several species  of  Snake  River salmon are protected as threatened under the Endangered Species Act (ESA).   In an attempt to save the endangered fish, the federal  government  has  taken actions  that  have  reduced  the  amount  of electricity generated at the  Columbia  and  Snake River dams.  In early 1996, the National Marine Fisheries Service (NMFS) will  release its recovery plan, which is expected to be similar to the draft plan released in 1995.   NMFS  is empowered  by  the ESA to require salmon protection measures by the Bureau of Reclamation and the  Army  Corps  of  Engineers, the agencies that operate the federal dams on these rivers.  Certain  measures  contained  in the draft plan were implemented during 1995.  River flows were boosted and water was released over spillways while young salmon were migrating during the spring  and summer in  an  attempt  to  protect  the  fish  from entering the turbines.  If this practice is continued it could mean less water  available  in  the  fall  and winter  when  demand  for  electricity  in  the  Pacific Northwest is highest. Although PGE does not have any hydro-electric facilities on rivers affected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it does buy large amounts of energy from the agencies which do.</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PGE's fish biologists are working with state and federal  agencies  to  ensure that PGE's hydro operations located on several Columbia River tributaries  are compatible with the survival of wild salmon and other wildlife.  PGE does not expect  the  ESA  process  to  significantly  impact its own hydro generation. However, PGE is working cooperatively with federal and state agencies, tribes, and the public to return salmon and steelhead to  their historic habitat above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dams built on the Deschutes River.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RESOURCES</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The Company does not plan to build new generating resources  in the forseeable future but will rely on the current surplus of wholesale energy  to  meet  its growing  power  needs.   Accordingly,  the  Company  has developed a resource strategy which combines flexibility and a just-in-time  acquisition philosophy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provide</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50" w:right="1440" w:bottom="1440" w:gutter="0" w:footer="0" w:header="0"/>
        </w:sectPr>
      </w:pPr>
    </w:p>
    <w:bookmarkStart w:id="13" w:name="page14"/>
    <w:bookmarkEnd w:id="13"/>
    <w:p>
      <w:pPr>
        <w:ind w:right="2939"/>
        <w:spacing w:after="0" w:line="250" w:lineRule="auto"/>
        <w:rPr>
          <w:sz w:val="20"/>
          <w:szCs w:val="20"/>
          <w:color w:val="auto"/>
        </w:rPr>
      </w:pPr>
      <w:r>
        <w:rPr>
          <w:rFonts w:ascii="Courier New" w:cs="Courier New" w:eastAsia="Courier New" w:hAnsi="Courier New"/>
          <w:sz w:val="15"/>
          <w:szCs w:val="15"/>
          <w:color w:val="auto"/>
        </w:rPr>
        <w:t>a response to potential persistent increases in wholesale prices. Specifically, PGE plans to complete the siting and permitting process for the</w:t>
      </w:r>
    </w:p>
    <w:p>
      <w:pPr>
        <w:spacing w:after="0" w:line="1"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construction  of  additional  new combined cycle combustion turbine projects. This two-step process separates  siting  and  engineering from the decision to construct a new resource and significantly reduces  the  lead  time  for a new plant  by  as much as two years.  This process also moves decisions involving large capital  commitments  as  close  as possible to the anticipated time the power will be needed.  PGE is also evaluating  efficiency  improvements at its existing  facilities including the repowering of Beaver and upgrades  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hydro facilities.</w:t>
      </w:r>
    </w:p>
    <w:p>
      <w:pPr>
        <w:spacing w:after="0" w:line="36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FUEL SUPPLY</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PGE manages its fuel supply contracts as part of its trading floor operations. Fuel  supply  contracts  are  negotiated  to  support  annual  planned  plant operations.   Flexibility  in  contract  terms is sought to allow for the most economic dispatch of PGE's thermal resources  in  conjunction with the current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of wholesale power.</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BOARDMAN</w:t>
      </w:r>
    </w:p>
    <w:p>
      <w:pPr>
        <w:spacing w:after="0" w:line="8" w:lineRule="exact"/>
        <w:rPr>
          <w:sz w:val="20"/>
          <w:szCs w:val="20"/>
          <w:color w:val="auto"/>
        </w:rPr>
      </w:pPr>
    </w:p>
    <w:p>
      <w:pPr>
        <w:jc w:val="both"/>
        <w:ind w:left="100" w:right="2939" w:hanging="91"/>
        <w:spacing w:after="0" w:line="250" w:lineRule="auto"/>
        <w:rPr>
          <w:sz w:val="20"/>
          <w:szCs w:val="20"/>
          <w:color w:val="auto"/>
        </w:rPr>
      </w:pPr>
      <w:r>
        <w:rPr>
          <w:rFonts w:ascii="Courier New" w:cs="Courier New" w:eastAsia="Courier New" w:hAnsi="Courier New"/>
          <w:sz w:val="15"/>
          <w:szCs w:val="15"/>
          <w:color w:val="auto"/>
        </w:rPr>
        <w:t>PGE has an agreement to supply coal to Boardman through</w:t>
      </w:r>
      <w:r>
        <w:rPr>
          <w:sz w:val="20"/>
          <w:szCs w:val="20"/>
          <w:color w:val="auto"/>
        </w:rPr>
        <w:t xml:space="preserve"> </w:t>
      </w:r>
      <w:r>
        <w:rPr>
          <w:rFonts w:ascii="Courier New" w:cs="Courier New" w:eastAsia="Courier New" w:hAnsi="Courier New"/>
          <w:sz w:val="15"/>
          <w:szCs w:val="15"/>
          <w:color w:val="auto"/>
        </w:rPr>
        <w:t>the year 2000 which does not require a minimum amount of coal to be purchased, allowing PGE to</w:t>
      </w:r>
    </w:p>
    <w:p>
      <w:pPr>
        <w:spacing w:after="0" w:line="1" w:lineRule="exact"/>
        <w:rPr>
          <w:sz w:val="20"/>
          <w:szCs w:val="20"/>
          <w:color w:val="auto"/>
        </w:rPr>
      </w:pPr>
    </w:p>
    <w:p>
      <w:pPr>
        <w:jc w:val="both"/>
        <w:ind w:right="2939"/>
        <w:spacing w:after="0" w:line="250" w:lineRule="auto"/>
        <w:rPr>
          <w:sz w:val="20"/>
          <w:szCs w:val="20"/>
          <w:color w:val="auto"/>
        </w:rPr>
      </w:pPr>
      <w:r>
        <w:rPr>
          <w:rFonts w:ascii="Courier New" w:cs="Courier New" w:eastAsia="Courier New" w:hAnsi="Courier New"/>
          <w:sz w:val="15"/>
          <w:szCs w:val="15"/>
          <w:color w:val="auto"/>
        </w:rPr>
        <w:t>obtain coal from other sources. During 1995 PGE did not take deliveries under this contract but purchased coal under favorable short-term agreements. Coal purchases in 1995 contained less than 0.5% of sulfur by weight and emitted less than the EPA allowable limit of 1.2 pounds of sulfur dioxide per MMBtu when burned. The coal, from surface mining operations in the Powder River</w:t>
      </w:r>
    </w:p>
    <w:p>
      <w:pPr>
        <w:spacing w:after="0" w:line="2" w:lineRule="exact"/>
        <w:rPr>
          <w:sz w:val="20"/>
          <w:szCs w:val="20"/>
          <w:color w:val="auto"/>
        </w:rPr>
      </w:pPr>
    </w:p>
    <w:p>
      <w:pPr>
        <w:jc w:val="both"/>
        <w:ind w:right="2939" w:firstLine="92"/>
        <w:spacing w:after="0" w:line="253" w:lineRule="auto"/>
        <w:rPr>
          <w:sz w:val="20"/>
          <w:szCs w:val="20"/>
          <w:color w:val="auto"/>
        </w:rPr>
      </w:pPr>
      <w:r>
        <w:rPr>
          <w:rFonts w:ascii="Courier New" w:cs="Courier New" w:eastAsia="Courier New" w:hAnsi="Courier New"/>
          <w:sz w:val="15"/>
          <w:szCs w:val="15"/>
          <w:color w:val="auto"/>
        </w:rPr>
        <w:t>Basin, was subject to federal, state, and local regulations. Coal is delivered to Boardman by rail under a contract which expires in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COLSTRIP</w:t>
      </w:r>
    </w:p>
    <w:p>
      <w:pPr>
        <w:spacing w:after="0" w:line="8" w:lineRule="exact"/>
        <w:rPr>
          <w:sz w:val="20"/>
          <w:szCs w:val="20"/>
          <w:color w:val="auto"/>
        </w:rPr>
      </w:pPr>
    </w:p>
    <w:p>
      <w:pPr>
        <w:jc w:val="both"/>
        <w:ind w:right="2939" w:firstLine="92"/>
        <w:spacing w:after="0" w:line="251" w:lineRule="auto"/>
        <w:rPr>
          <w:sz w:val="20"/>
          <w:szCs w:val="20"/>
          <w:color w:val="auto"/>
        </w:rPr>
      </w:pPr>
      <w:r>
        <w:rPr>
          <w:rFonts w:ascii="Courier New" w:cs="Courier New" w:eastAsia="Courier New" w:hAnsi="Courier New"/>
          <w:sz w:val="15"/>
          <w:szCs w:val="15"/>
          <w:color w:val="auto"/>
        </w:rPr>
        <w:t>Coal for Units 3 and 4, located in southeastern Montana, is provided under contract with Western Energy Company, a wholly owned subsidiary of Montana Power Company. The contract provides that the coal delivered will not exceed a maximum sulfur content of 1.5% by weight. The Colstrip plant has sulfur dioxide removal equipment to allow operation in compliance with EPA's source-performance emission standards.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CENTRALIA</w:t>
      </w:r>
    </w:p>
    <w:p>
      <w:pPr>
        <w:spacing w:after="0" w:line="8" w:lineRule="exact"/>
        <w:rPr>
          <w:sz w:val="20"/>
          <w:szCs w:val="20"/>
          <w:color w:val="auto"/>
        </w:rPr>
      </w:pPr>
    </w:p>
    <w:p>
      <w:pPr>
        <w:jc w:val="both"/>
        <w:ind w:left="100" w:right="2939" w:hanging="91"/>
        <w:spacing w:after="0" w:line="250" w:lineRule="auto"/>
        <w:rPr>
          <w:sz w:val="20"/>
          <w:szCs w:val="20"/>
          <w:color w:val="auto"/>
        </w:rPr>
      </w:pPr>
      <w:r>
        <w:rPr>
          <w:rFonts w:ascii="Courier New" w:cs="Courier New" w:eastAsia="Courier New" w:hAnsi="Courier New"/>
          <w:sz w:val="15"/>
          <w:szCs w:val="15"/>
          <w:color w:val="auto"/>
        </w:rPr>
        <w:t>Coal for Units 1 and 2, located in Southwestern Washington, is provided</w:t>
      </w:r>
      <w:r>
        <w:rPr>
          <w:sz w:val="20"/>
          <w:szCs w:val="20"/>
          <w:color w:val="auto"/>
        </w:rPr>
        <w:t xml:space="preserve"> </w:t>
      </w:r>
      <w:r>
        <w:rPr>
          <w:rFonts w:ascii="Courier New" w:cs="Courier New" w:eastAsia="Courier New" w:hAnsi="Courier New"/>
          <w:sz w:val="15"/>
          <w:szCs w:val="15"/>
          <w:color w:val="auto"/>
        </w:rPr>
        <w:t>under contract with PacifiCorp doing business as PacifiCorp Electric Operations.</w:t>
      </w:r>
    </w:p>
    <w:p>
      <w:pPr>
        <w:spacing w:after="0" w:line="1" w:lineRule="exact"/>
        <w:rPr>
          <w:sz w:val="20"/>
          <w:szCs w:val="20"/>
          <w:color w:val="auto"/>
        </w:rPr>
      </w:pPr>
    </w:p>
    <w:p>
      <w:pPr>
        <w:jc w:val="both"/>
        <w:ind w:right="2939"/>
        <w:spacing w:after="0" w:line="253" w:lineRule="auto"/>
        <w:rPr>
          <w:sz w:val="20"/>
          <w:szCs w:val="20"/>
          <w:color w:val="auto"/>
        </w:rPr>
      </w:pPr>
      <w:r>
        <w:rPr>
          <w:rFonts w:ascii="Courier New" w:cs="Courier New" w:eastAsia="Courier New" w:hAnsi="Courier New"/>
          <w:sz w:val="15"/>
          <w:szCs w:val="15"/>
          <w:color w:val="auto"/>
        </w:rPr>
        <w:t>Most of Centralia's coal requirements are expected to be provided under this contract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spacing w:after="0"/>
              <w:rPr>
                <w:sz w:val="14"/>
                <w:szCs w:val="1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SULFUR</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TYPE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OF POLLUTION</w:t>
            </w:r>
          </w:p>
        </w:tc>
      </w:tr>
      <w:tr>
        <w:trPr>
          <w:trHeight w:val="177"/>
        </w:trPr>
        <w:tc>
          <w:tcPr>
            <w:tcW w:w="2320" w:type="dxa"/>
            <w:vAlign w:val="bottom"/>
          </w:tcPr>
          <w:p>
            <w:pPr>
              <w:spacing w:after="0"/>
              <w:rPr>
                <w:sz w:val="20"/>
                <w:szCs w:val="20"/>
                <w:color w:val="auto"/>
              </w:rPr>
            </w:pPr>
            <w:r>
              <w:rPr>
                <w:rFonts w:ascii="Courier New" w:cs="Courier New" w:eastAsia="Courier New" w:hAnsi="Courier New"/>
                <w:sz w:val="15"/>
                <w:szCs w:val="15"/>
                <w:color w:val="auto"/>
              </w:rPr>
              <w:t>PLANT</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CONTENT</w:t>
            </w:r>
          </w:p>
        </w:tc>
        <w:tc>
          <w:tcPr>
            <w:tcW w:w="296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CONTROL EQUIPMENT</w:t>
            </w:r>
          </w:p>
        </w:tc>
      </w:tr>
      <w:tr>
        <w:trPr>
          <w:trHeight w:val="355"/>
        </w:trPr>
        <w:tc>
          <w:tcPr>
            <w:tcW w:w="2320" w:type="dxa"/>
            <w:vAlign w:val="bottom"/>
          </w:tcPr>
          <w:p>
            <w:pPr>
              <w:ind w:left="560"/>
              <w:spacing w:after="0"/>
              <w:rPr>
                <w:sz w:val="20"/>
                <w:szCs w:val="20"/>
                <w:color w:val="auto"/>
              </w:rPr>
            </w:pPr>
            <w:r>
              <w:rPr>
                <w:rFonts w:ascii="Courier New" w:cs="Courier New" w:eastAsia="Courier New" w:hAnsi="Courier New"/>
                <w:sz w:val="15"/>
                <w:szCs w:val="15"/>
                <w:color w:val="auto"/>
              </w:rPr>
              <w:t>Boardman, OR</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0.3%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Electrostatic</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precipitators</w:t>
            </w:r>
          </w:p>
        </w:tc>
      </w:tr>
      <w:tr>
        <w:trPr>
          <w:trHeight w:val="177"/>
        </w:trPr>
        <w:tc>
          <w:tcPr>
            <w:tcW w:w="2320" w:type="dxa"/>
            <w:vAlign w:val="bottom"/>
          </w:tcPr>
          <w:p>
            <w:pPr>
              <w:ind w:left="560"/>
              <w:spacing w:after="0"/>
              <w:rPr>
                <w:sz w:val="20"/>
                <w:szCs w:val="20"/>
                <w:color w:val="auto"/>
              </w:rPr>
            </w:pPr>
            <w:r>
              <w:rPr>
                <w:rFonts w:ascii="Courier New" w:cs="Courier New" w:eastAsia="Courier New" w:hAnsi="Courier New"/>
                <w:sz w:val="15"/>
                <w:szCs w:val="15"/>
                <w:color w:val="auto"/>
              </w:rPr>
              <w:t>Centralia, WA</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0.7%</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Electrostatic</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precipitators</w:t>
            </w:r>
          </w:p>
        </w:tc>
      </w:tr>
      <w:tr>
        <w:trPr>
          <w:trHeight w:val="177"/>
        </w:trPr>
        <w:tc>
          <w:tcPr>
            <w:tcW w:w="2320" w:type="dxa"/>
            <w:vAlign w:val="bottom"/>
          </w:tcPr>
          <w:p>
            <w:pPr>
              <w:ind w:left="560"/>
              <w:spacing w:after="0"/>
              <w:rPr>
                <w:sz w:val="20"/>
                <w:szCs w:val="20"/>
                <w:color w:val="auto"/>
              </w:rPr>
            </w:pPr>
            <w:r>
              <w:rPr>
                <w:rFonts w:ascii="Courier New" w:cs="Courier New" w:eastAsia="Courier New" w:hAnsi="Courier New"/>
                <w:sz w:val="15"/>
                <w:szCs w:val="15"/>
                <w:color w:val="auto"/>
              </w:rPr>
              <w:t>Colstrip, MT</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0.7%</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Scrubbers and</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precipitators</w:t>
            </w:r>
          </w:p>
        </w:tc>
      </w:tr>
      <w:tr>
        <w:trPr>
          <w:trHeight w:val="532"/>
        </w:trPr>
        <w:tc>
          <w:tcPr>
            <w:tcW w:w="2320" w:type="dxa"/>
            <w:vAlign w:val="bottom"/>
          </w:tcPr>
          <w:p>
            <w:pPr>
              <w:spacing w:after="0"/>
              <w:rPr>
                <w:sz w:val="24"/>
                <w:szCs w:val="24"/>
                <w:color w:val="auto"/>
              </w:rPr>
            </w:pPr>
          </w:p>
        </w:tc>
        <w:tc>
          <w:tcPr>
            <w:tcW w:w="1740" w:type="dxa"/>
            <w:vAlign w:val="bottom"/>
          </w:tcPr>
          <w:p>
            <w:pPr>
              <w:ind w:left="1100"/>
              <w:spacing w:after="0"/>
              <w:rPr>
                <w:sz w:val="20"/>
                <w:szCs w:val="20"/>
                <w:color w:val="auto"/>
              </w:rPr>
            </w:pPr>
            <w:r>
              <w:rPr>
                <w:rFonts w:ascii="Courier New" w:cs="Courier New" w:eastAsia="Courier New" w:hAnsi="Courier New"/>
                <w:sz w:val="15"/>
                <w:szCs w:val="15"/>
                <w:color w:val="auto"/>
              </w:rPr>
              <w:t>14</w:t>
            </w: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650" w:right="1440" w:bottom="1440" w:gutter="0" w:footer="0" w:header="0"/>
        </w:sectPr>
      </w:pPr>
    </w:p>
    <w:bookmarkStart w:id="14" w:name="page15"/>
    <w:bookmarkEnd w:id="14"/>
    <w:p>
      <w:pPr>
        <w:ind w:left="80"/>
        <w:spacing w:after="0"/>
        <w:rPr>
          <w:sz w:val="20"/>
          <w:szCs w:val="20"/>
          <w:color w:val="auto"/>
        </w:rPr>
      </w:pPr>
      <w:r>
        <w:rPr>
          <w:rFonts w:ascii="Courier New" w:cs="Courier New" w:eastAsia="Courier New" w:hAnsi="Courier New"/>
          <w:sz w:val="15"/>
          <w:szCs w:val="15"/>
          <w:color w:val="auto"/>
        </w:rPr>
        <w:t>NATURAL GAS</w:t>
      </w:r>
    </w:p>
    <w:p>
      <w:pPr>
        <w:spacing w:after="0" w:line="185"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In addition to the agreements discussed below, the Company utilizes short-term agreements and spot market purchases to secure transportation capacity and gas supplies sufficient to fuel plant operations.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BEAVER</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PGE  owns  90%  of  a  pipeline  which  directly  connects Beaver to Northwest Pipeline, an interstate gas pipeline operating between  British  Columbia  and New  Mexico.   During 1995, PGE had access to 76,000 MMBtu per day of firm</w:t>
      </w:r>
    </w:p>
    <w:p>
      <w:pPr>
        <w:spacing w:after="0" w:line="1" w:lineRule="exact"/>
        <w:rPr>
          <w:sz w:val="20"/>
          <w:szCs w:val="20"/>
          <w:color w:val="auto"/>
        </w:rPr>
      </w:pPr>
    </w:p>
    <w:p>
      <w:pPr>
        <w:ind w:left="180" w:right="3299"/>
        <w:spacing w:after="0" w:line="253" w:lineRule="auto"/>
        <w:rPr>
          <w:sz w:val="20"/>
          <w:szCs w:val="20"/>
          <w:color w:val="auto"/>
        </w:rPr>
      </w:pPr>
      <w:r>
        <w:rPr>
          <w:rFonts w:ascii="Courier New" w:cs="Courier New" w:eastAsia="Courier New" w:hAnsi="Courier New"/>
          <w:sz w:val="15"/>
          <w:szCs w:val="15"/>
          <w:color w:val="auto"/>
        </w:rPr>
        <w:t>transportation capacity, or enough to operate Beaver at approximately 70% capacity.</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COYOTE SPRINGS</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In November of 1995, PGE began service to its Coyote Springs project utilizing firm transportation capacity of 41,000 MMBtu/day on the interconnected systems of various shippers.   Two-year  contracts expiring in 1997 supply natural gas to  Coyote Springs at a 75% load factor.   PGE  also  obtained  the  required</w:t>
      </w:r>
    </w:p>
    <w:p>
      <w:pPr>
        <w:spacing w:after="0" w:line="2" w:lineRule="exact"/>
        <w:rPr>
          <w:sz w:val="20"/>
          <w:szCs w:val="20"/>
          <w:color w:val="auto"/>
        </w:rPr>
      </w:pPr>
    </w:p>
    <w:p>
      <w:pPr>
        <w:ind w:right="3119" w:firstLine="92"/>
        <w:spacing w:after="0" w:line="251" w:lineRule="auto"/>
        <w:rPr>
          <w:sz w:val="20"/>
          <w:szCs w:val="20"/>
          <w:color w:val="auto"/>
        </w:rPr>
      </w:pPr>
      <w:r>
        <w:rPr>
          <w:rFonts w:ascii="Courier New" w:cs="Courier New" w:eastAsia="Courier New" w:hAnsi="Courier New"/>
          <w:sz w:val="15"/>
          <w:szCs w:val="15"/>
          <w:color w:val="auto"/>
        </w:rPr>
        <w:t>licenses and certificates necessary for the Company to independently bring natural gas from Canada which will provide PGE with the opportunity to contract directly with Canadian suppliers of natural gas to support Coyote Springs operations.</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ENVIRONMENTAL MATTERS</w:t>
      </w:r>
    </w:p>
    <w:p>
      <w:pPr>
        <w:spacing w:after="0" w:line="185" w:lineRule="exact"/>
        <w:rPr>
          <w:sz w:val="20"/>
          <w:szCs w:val="20"/>
          <w:color w:val="auto"/>
        </w:rPr>
      </w:pPr>
    </w:p>
    <w:p>
      <w:pPr>
        <w:ind w:left="180" w:right="2939"/>
        <w:spacing w:after="0" w:line="250" w:lineRule="auto"/>
        <w:rPr>
          <w:sz w:val="20"/>
          <w:szCs w:val="20"/>
          <w:color w:val="auto"/>
        </w:rPr>
      </w:pPr>
      <w:r>
        <w:rPr>
          <w:rFonts w:ascii="Courier New" w:cs="Courier New" w:eastAsia="Courier New" w:hAnsi="Courier New"/>
          <w:sz w:val="15"/>
          <w:szCs w:val="15"/>
          <w:color w:val="auto"/>
        </w:rPr>
        <w:t>PGE operates in a state recognized for environmental leadership. PGE's environmental stewardship policy emphasizes minimizing waste in its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operations, minimizing environmental risk and promoting energy efficiency.</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ENVIRONMENTAL REGULATION</w:t>
      </w:r>
    </w:p>
    <w:p>
      <w:pPr>
        <w:spacing w:after="0" w:line="8" w:lineRule="exact"/>
        <w:rPr>
          <w:sz w:val="20"/>
          <w:szCs w:val="20"/>
          <w:color w:val="auto"/>
        </w:rPr>
      </w:pPr>
    </w:p>
    <w:p>
      <w:pPr>
        <w:jc w:val="both"/>
        <w:ind w:right="2939" w:firstLine="185"/>
        <w:spacing w:after="0" w:line="250" w:lineRule="auto"/>
        <w:rPr>
          <w:sz w:val="20"/>
          <w:szCs w:val="20"/>
          <w:color w:val="auto"/>
        </w:rPr>
      </w:pPr>
      <w:r>
        <w:rPr>
          <w:rFonts w:ascii="Courier New" w:cs="Courier New" w:eastAsia="Courier New" w:hAnsi="Courier New"/>
          <w:sz w:val="15"/>
          <w:szCs w:val="15"/>
          <w:color w:val="auto"/>
        </w:rPr>
        <w:t>PGE is subject to regulation by federal, state, and local authorities with regard to air and water quality, noise, waste disposal, and other environmental issues. PGE is also subject to the Rivers and Harbors Act of 1899 and similar Oregon laws under which it must obtain permits from the U.S. Army Corps of Engineers or the Oregon Division of State Lands to construct facilities or perform activities in navigable waters of the State. The EPA regulates the proper use, transportation, clean-up and disposal of polychlorinated biphenyls</w:t>
      </w:r>
    </w:p>
    <w:p>
      <w:pPr>
        <w:spacing w:after="0" w:line="3" w:lineRule="exact"/>
        <w:rPr>
          <w:sz w:val="20"/>
          <w:szCs w:val="20"/>
          <w:color w:val="auto"/>
        </w:rPr>
      </w:pPr>
    </w:p>
    <w:p>
      <w:pPr>
        <w:ind w:left="80" w:right="2939" w:firstLine="92"/>
        <w:spacing w:after="0" w:line="251" w:lineRule="auto"/>
        <w:rPr>
          <w:sz w:val="20"/>
          <w:szCs w:val="20"/>
          <w:color w:val="auto"/>
        </w:rPr>
      </w:pPr>
      <w:r>
        <w:rPr>
          <w:rFonts w:ascii="Courier New" w:cs="Courier New" w:eastAsia="Courier New" w:hAnsi="Courier New"/>
          <w:sz w:val="15"/>
          <w:szCs w:val="15"/>
          <w:color w:val="auto"/>
        </w:rPr>
        <w:t>(PCBs). State agencies or departments which have direct jurisdiction over environmental matters include the Environmental Quality Commission, the DEQ, the Oregon Department of Energy and EFSC. Environmental matters regulated by these agencies include the siting and operation of generating facilities and the accumulation, cleanup and disposal of toxic and hazardous wastes.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AIR/WATER QUALITY</w:t>
      </w:r>
    </w:p>
    <w:p>
      <w:pPr>
        <w:spacing w:after="0" w:line="8" w:lineRule="exact"/>
        <w:rPr>
          <w:sz w:val="20"/>
          <w:szCs w:val="20"/>
          <w:color w:val="auto"/>
        </w:rPr>
      </w:pPr>
    </w:p>
    <w:p>
      <w:pPr>
        <w:jc w:val="both"/>
        <w:ind w:left="80" w:right="2939" w:firstLine="92"/>
        <w:spacing w:after="0" w:line="250" w:lineRule="auto"/>
        <w:rPr>
          <w:sz w:val="20"/>
          <w:szCs w:val="20"/>
          <w:color w:val="auto"/>
        </w:rPr>
      </w:pPr>
      <w:r>
        <w:rPr>
          <w:rFonts w:ascii="Courier New" w:cs="Courier New" w:eastAsia="Courier New" w:hAnsi="Courier New"/>
          <w:sz w:val="15"/>
          <w:szCs w:val="15"/>
          <w:color w:val="auto"/>
        </w:rPr>
        <w:t>Congress passed amendments to the Clean Air Act (Act) that will renew and intensify national efforts to reduce air pollution. Significant reductions in emissions of sulfur dioxide, nitrogen oxide and other contaminants will be required over the next several years. Coal-fired plant operations will be affected by these emission limitations. Federal implementing standards under</w:t>
      </w:r>
    </w:p>
    <w:p>
      <w:pPr>
        <w:spacing w:after="0" w:line="2" w:lineRule="exact"/>
        <w:rPr>
          <w:sz w:val="20"/>
          <w:szCs w:val="20"/>
          <w:color w:val="auto"/>
        </w:rPr>
      </w:pPr>
    </w:p>
    <w:p>
      <w:pPr>
        <w:jc w:val="both"/>
        <w:ind w:left="80" w:right="2939" w:firstLine="92"/>
        <w:spacing w:after="0" w:line="252" w:lineRule="auto"/>
        <w:rPr>
          <w:sz w:val="20"/>
          <w:szCs w:val="20"/>
          <w:color w:val="auto"/>
        </w:rPr>
      </w:pPr>
      <w:r>
        <w:rPr>
          <w:rFonts w:ascii="Courier New" w:cs="Courier New" w:eastAsia="Courier New" w:hAnsi="Courier New"/>
          <w:sz w:val="15"/>
          <w:szCs w:val="15"/>
          <w:color w:val="auto"/>
        </w:rPr>
        <w:t>the Act are being drafted at the present time. State governments are also charged with monitoring and administering certain portions of the Act. Each state is required to set guidelines that at least equal the federal standards.</w:t>
      </w:r>
    </w:p>
    <w:p>
      <w:pPr>
        <w:spacing w:after="0" w:line="17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In 1993, the EPA issued its final allocation of emission allowances.  Boardman was assigned sufficient allowances  to  operate after the year 2000 at a 60 to 67%  capacity factor without having to further  reduce  emissions.   PGE  has purchased  additional  allowances  and  anticipates  being able to operate the plant at a normal 85% capacity factor.  Centralia will  be  required to reduce emissions by the year 2000, and the owners are examining several options such as  installing  scrubbers, converting to lower-sulfur coal or natural gas, or purchasing emission  allowances.   It is not anticipated that Colstrip will be required to reduce emissions because  it  utilizes scrubbers.  However, future legislation, if adopted, could affect plant  operations and increase operating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costs or reduce coal-fired capacity.</w:t>
      </w:r>
    </w:p>
    <w:p>
      <w:pPr>
        <w:spacing w:after="0" w:line="185" w:lineRule="exact"/>
        <w:rPr>
          <w:sz w:val="20"/>
          <w:szCs w:val="20"/>
          <w:color w:val="auto"/>
        </w:rPr>
      </w:pPr>
    </w:p>
    <w:p>
      <w:pPr>
        <w:ind w:left="80" w:right="2939" w:firstLine="92"/>
        <w:spacing w:after="0" w:line="252" w:lineRule="auto"/>
        <w:rPr>
          <w:sz w:val="20"/>
          <w:szCs w:val="20"/>
          <w:color w:val="auto"/>
        </w:rPr>
      </w:pPr>
      <w:r>
        <w:rPr>
          <w:rFonts w:ascii="Courier New" w:cs="Courier New" w:eastAsia="Courier New" w:hAnsi="Courier New"/>
          <w:sz w:val="15"/>
          <w:szCs w:val="15"/>
          <w:color w:val="auto"/>
        </w:rPr>
        <w:t>Boardman's air contaminant discharge permit, issued by the DEQ, has no limitations on power production. This permit expires in the year 2000. The water pollution control facilities permit for Boardman expired in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5" w:name="page16"/>
    <w:bookmarkEnd w:id="15"/>
    <w:p>
      <w:pPr>
        <w:jc w:val="both"/>
        <w:ind w:right="3679"/>
        <w:spacing w:after="0" w:line="252" w:lineRule="auto"/>
        <w:rPr>
          <w:sz w:val="20"/>
          <w:szCs w:val="20"/>
          <w:color w:val="auto"/>
        </w:rPr>
      </w:pPr>
      <w:r>
        <w:rPr>
          <w:rFonts w:ascii="Courier New" w:cs="Courier New" w:eastAsia="Courier New" w:hAnsi="Courier New"/>
          <w:sz w:val="15"/>
          <w:szCs w:val="15"/>
          <w:color w:val="auto"/>
        </w:rPr>
        <w:t>May 1991. The DEQ is processing the permit application and renewal is expected. In the interim, Boardman is permitted to continue operating under the terms of the original permit.</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DEQ air contaminant discharge permits for the combustion turbine generators at Bethel expired in 1995 and were replaced by new federal permits. Bethel was one of the first plants in the nation to successfully pass the more rigorous federal permitting process. DEQ still limits night operations to one unit due to noise considerations. Maximum plant operations are allowed during the day. The combustion turbines are allowed to operate on either natural gas or oil.</w:t>
      </w:r>
    </w:p>
    <w:p>
      <w:pPr>
        <w:spacing w:after="0" w:line="353" w:lineRule="exact"/>
        <w:rPr>
          <w:sz w:val="20"/>
          <w:szCs w:val="20"/>
          <w:color w:val="auto"/>
        </w:rPr>
      </w:pPr>
    </w:p>
    <w:p>
      <w:pPr>
        <w:jc w:val="both"/>
        <w:ind w:right="2939" w:firstLine="92"/>
        <w:spacing w:after="0" w:line="251" w:lineRule="auto"/>
        <w:rPr>
          <w:sz w:val="20"/>
          <w:szCs w:val="20"/>
          <w:color w:val="auto"/>
        </w:rPr>
      </w:pPr>
      <w:r>
        <w:rPr>
          <w:rFonts w:ascii="Courier New" w:cs="Courier New" w:eastAsia="Courier New" w:hAnsi="Courier New"/>
          <w:sz w:val="15"/>
          <w:szCs w:val="15"/>
          <w:color w:val="auto"/>
        </w:rPr>
        <w:t>PGE is no longer accepting oil shipments by river for its Beaver plant in order to eliminate the risk of an oil spill into the Columbia River. Instead, the rail off-loading facility has been upgraded. This plant is normally fired by natural gas, and only small amounts of oil are used.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CLEANUP</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PGE is  involved with others in the environmental clean-up of PCB contaminants at various  sites  as  a  potentially  responsible  party (PRP).  The clean-up effort  is considered complete at several sites which  are  awaiting  consent orders from  the  appropriate  regulatory  agencies.   Future  clean-up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these sites are not expected to be material.</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5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PORTLAND GENERAL HOLDINGS, INC. - NONUTILITY BUSINESSES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Holdings  is  a wholly owned subsidiary of Portland General and is the parent company of Portland  General's  subsidiaries  presently  engaged  in leveraged leasing  and administrative services for electric futures trading.   Holdings has provided  organizational separation from PGE and financial flexibility and support  for  the  operation  of  non-utility  businesses.   The  assets  and</w:t>
      </w:r>
    </w:p>
    <w:p>
      <w:pPr>
        <w:spacing w:after="0" w:line="2"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5"/>
          <w:szCs w:val="15"/>
          <w:color w:val="auto"/>
        </w:rPr>
        <w:t>businesses of Holdings are primarily its</w:t>
        <w:tab/>
        <w:t>investments in its subsidiaries.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COLUMBIA WILLAMETTE LEASING</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CWL acquires and  leases capital equipment on a leveraged basis.  During 1995, CWL made no new investments  in  leveraged leases.  CWL's investment portfolio consists of six commercial aircraft,  two  container  ships, 5,500 containers, coal,  tank,  and  hopper  railroad  cars, a truck assembly  plant,  an  acid treatment facility, and a wood chipping facility, totaling $153 million of net investment.  No new investments are expected  or  planned  for the foreseeable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ELECTRICITY TRADING ADMINISTRATIVE SERVICES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TULE HUB SERVICES COMPANY (TULE)</w:t>
      </w:r>
    </w:p>
    <w:p>
      <w:pPr>
        <w:spacing w:after="0" w:line="8"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Tule, incorporated in Oregon during 1994, was created to provide administrative services to facilitate the trading of electric energy at COB. Tule is modeled after similar companies in</w:t>
      </w:r>
    </w:p>
    <w:p>
      <w:pPr>
        <w:spacing w:after="0" w:line="1"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the  crude  oil  and  natural  gas  industries  that  evolved  as a result of deregulation  and  the trading of related futures contracts.  Tule  has  been working with the operators of the interconnected transmission lines to develop and  test a transfer service  which  will  verify  and  reconcile  the  title</w:t>
      </w:r>
    </w:p>
    <w:p>
      <w:pPr>
        <w:spacing w:after="0" w:line="2" w:lineRule="exact"/>
        <w:rPr>
          <w:sz w:val="20"/>
          <w:szCs w:val="20"/>
          <w:color w:val="auto"/>
        </w:rPr>
      </w:pPr>
    </w:p>
    <w:p>
      <w:pPr>
        <w:spacing w:after="0"/>
        <w:tabs>
          <w:tab w:leader="none" w:pos="6080" w:val="left"/>
        </w:tabs>
        <w:rPr>
          <w:sz w:val="20"/>
          <w:szCs w:val="20"/>
          <w:color w:val="auto"/>
        </w:rPr>
      </w:pPr>
      <w:r>
        <w:rPr>
          <w:rFonts w:ascii="Courier New" w:cs="Courier New" w:eastAsia="Courier New" w:hAnsi="Courier New"/>
          <w:sz w:val="15"/>
          <w:szCs w:val="15"/>
          <w:color w:val="auto"/>
        </w:rPr>
        <w:t>transfers occurring among the various buyers and sellers at COB.</w:t>
        <w:tab/>
        <w:t>This</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will facilitate the trading of electricity for power marketers by providing record-keeping while protecting competitive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POWER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BONNEVILLE PACIFIC CORPORATION</w:t>
      </w:r>
    </w:p>
    <w:p>
      <w:pPr>
        <w:spacing w:after="0" w:line="8"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In October 1990, Holdings purchased  20%  of  the  common  stock of Bonneville Pacific, an independent power producer headquartered in Salt  Lake City, Utah. Over the next six months, Holdings purchased additional shares  of  Bonneville Pacific  common  stock,  increasing  its investment to 46% of the outstanding stock.  Holdings also has outstanding loans  of  $28  million  to  Bonneville Pacific  and  its  subsidiaries.  In November 1991, Portland General announced that it was halting  further  investments,  and  Holdings wrote off its equity investment  in  and  loans  to  Bonneville Pacific.  In  addition,  Holdings' representatives resigned from Bonneville  Pacific's board of directors.  These decisions  were  based  in  part  on  Bonneville   Pacific   underperforming expectations,  the  impairment of the investment in Bonneville Pacific and the inability of Bonneville  Pacific  to  meet project sell-down commitments under the original purchase agreement.  Bonneville  Pacific has filed for protection under  Chapter 11 of the Federal Bankruptcy Code.   Holdings  has  instituted legal proceedings  with  regard  to  its  investment  in  Bonneville  Pacific. Numerous  lawsuits  have been filed in this matter by Bonneville Pacific  and other parties since late  1991.   See  Note 14, Legal Matters, in the Notes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and Item 3, Legal Proceedings, for more information.</w:t>
      </w: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50" w:right="1440" w:bottom="1440" w:gutter="0" w:footer="0" w:header="0"/>
        </w:sectPr>
      </w:pPr>
    </w:p>
    <w:bookmarkStart w:id="17" w:name="page18"/>
    <w:bookmarkEnd w:id="17"/>
    <w:p>
      <w:pPr>
        <w:spacing w:after="0"/>
        <w:tabs>
          <w:tab w:leader="none" w:pos="15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CORPORATION</w:t>
      </w:r>
    </w:p>
    <w:p>
      <w:pPr>
        <w:spacing w:after="0" w:line="185" w:lineRule="exact"/>
        <w:rPr>
          <w:sz w:val="20"/>
          <w:szCs w:val="20"/>
          <w:color w:val="auto"/>
        </w:rPr>
      </w:pPr>
    </w:p>
    <w:p>
      <w:pPr>
        <w:ind w:right="2939" w:firstLine="92"/>
        <w:spacing w:after="0" w:line="253" w:lineRule="auto"/>
        <w:rPr>
          <w:sz w:val="20"/>
          <w:szCs w:val="20"/>
          <w:color w:val="auto"/>
        </w:rPr>
      </w:pPr>
      <w:r>
        <w:rPr>
          <w:rFonts w:ascii="Courier New" w:cs="Courier New" w:eastAsia="Courier New" w:hAnsi="Courier New"/>
          <w:sz w:val="15"/>
          <w:szCs w:val="15"/>
          <w:color w:val="auto"/>
        </w:rPr>
        <w:t>Discussion regarding nonutility properties is included in the previous section.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PGE's principal plants and  appurtenant  generating  facilities  and  storage reservoirs  are situated on land owned by PGE in fee or land under the control of  PGE pursuant  to  valid  existing  leases,  federal  or  state  licenses, easements,  or  other  agreements.   In some cases meters and transformers are located upon the premises of customers.   The  Indenture  securing PGE's first mortgage bonds constitutes a direct first mortgage lien on  substantially  all utility  property  and franchises, other than expressly excepted property.</w:t>
      </w:r>
    </w:p>
    <w:p>
      <w:pPr>
        <w:spacing w:after="0" w:line="3" w:lineRule="exact"/>
        <w:rPr>
          <w:sz w:val="20"/>
          <w:szCs w:val="20"/>
          <w:color w:val="auto"/>
        </w:rPr>
      </w:pPr>
    </w:p>
    <w:p>
      <w:pPr>
        <w:ind w:left="100" w:right="3019" w:hanging="91"/>
        <w:spacing w:after="0" w:line="253" w:lineRule="auto"/>
        <w:rPr>
          <w:sz w:val="20"/>
          <w:szCs w:val="20"/>
          <w:color w:val="auto"/>
        </w:rPr>
      </w:pPr>
      <w:r>
        <w:rPr>
          <w:rFonts w:ascii="Courier New" w:cs="Courier New" w:eastAsia="Courier New" w:hAnsi="Courier New"/>
          <w:sz w:val="15"/>
          <w:szCs w:val="15"/>
          <w:color w:val="auto"/>
        </w:rPr>
        <w:t>The map below shows PGE's Oregon service territory and location of generating facilities:</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OREGON</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650" w:right="1440" w:bottom="1440" w:gutter="0" w:footer="0" w:header="0"/>
        </w:sectPr>
      </w:pPr>
    </w:p>
    <w:bookmarkStart w:id="18" w:name="page19"/>
    <w:bookmarkEnd w:id="18"/>
    <w:p>
      <w:pPr>
        <w:ind w:left="80"/>
        <w:spacing w:after="0"/>
        <w:rPr>
          <w:sz w:val="20"/>
          <w:szCs w:val="20"/>
          <w:color w:val="auto"/>
        </w:rPr>
      </w:pPr>
      <w:r>
        <w:rPr>
          <w:rFonts w:ascii="Courier New" w:cs="Courier New" w:eastAsia="Courier New" w:hAnsi="Courier New"/>
          <w:sz w:val="15"/>
          <w:szCs w:val="15"/>
          <w:color w:val="auto"/>
        </w:rPr>
        <w:t>Generating facilities owned by PGE are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PGE Net MW</w:t>
            </w:r>
          </w:p>
        </w:tc>
        <w:tc>
          <w:tcPr>
            <w:tcW w:w="880" w:type="dxa"/>
            <w:vAlign w:val="bottom"/>
          </w:tcPr>
          <w:p>
            <w:pPr>
              <w:spacing w:after="0"/>
              <w:rPr>
                <w:sz w:val="14"/>
                <w:szCs w:val="14"/>
                <w:color w:val="auto"/>
              </w:rPr>
            </w:pPr>
          </w:p>
        </w:tc>
      </w:tr>
      <w:tr>
        <w:trPr>
          <w:trHeight w:val="177"/>
        </w:trPr>
        <w:tc>
          <w:tcPr>
            <w:tcW w:w="18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Capability</w:t>
            </w:r>
          </w:p>
        </w:tc>
        <w:tc>
          <w:tcPr>
            <w:tcW w:w="880" w:type="dxa"/>
            <w:vAlign w:val="bottom"/>
          </w:tcPr>
          <w:p>
            <w:pPr>
              <w:spacing w:after="0"/>
              <w:rPr>
                <w:sz w:val="15"/>
                <w:szCs w:val="15"/>
                <w:color w:val="auto"/>
              </w:rPr>
            </w:pPr>
          </w:p>
        </w:tc>
      </w:tr>
      <w:tr>
        <w:trPr>
          <w:trHeight w:val="177"/>
        </w:trPr>
        <w:tc>
          <w:tcPr>
            <w:tcW w:w="186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Location</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Fuel</w:t>
            </w: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5"/>
        </w:trPr>
        <w:tc>
          <w:tcPr>
            <w:tcW w:w="1860" w:type="dxa"/>
            <w:vAlign w:val="bottom"/>
          </w:tcPr>
          <w:p>
            <w:pPr>
              <w:spacing w:after="0"/>
              <w:rPr>
                <w:sz w:val="20"/>
                <w:szCs w:val="20"/>
                <w:color w:val="auto"/>
              </w:rPr>
            </w:pPr>
            <w:r>
              <w:rPr>
                <w:rFonts w:ascii="Courier New" w:cs="Courier New" w:eastAsia="Courier New" w:hAnsi="Courier New"/>
                <w:sz w:val="15"/>
                <w:szCs w:val="15"/>
                <w:color w:val="auto"/>
              </w:rPr>
              <w:t>WHOLLY OWNED:</w:t>
            </w:r>
          </w:p>
        </w:tc>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Faraday</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Clackamas River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Hydro</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North Fork</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Clackamas River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Hydro</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52</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Oak Grove</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Clackamas River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Hydro</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River Mill</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Clackamas River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Hydro</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Pelton</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Deschutes River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Hydro</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108</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Round Butte</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Deschutes River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Hydro</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300</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Bull Run</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Sandy River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Hydro</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Sullivan</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Willamette River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Hydro</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Beaver</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Clatskanie, OR</w:t>
            </w:r>
          </w:p>
        </w:tc>
        <w:tc>
          <w:tcPr>
            <w:tcW w:w="1700" w:type="dxa"/>
            <w:vAlign w:val="bottom"/>
          </w:tcPr>
          <w:p>
            <w:pPr>
              <w:ind w:left="600"/>
              <w:spacing w:after="0"/>
              <w:rPr>
                <w:sz w:val="20"/>
                <w:szCs w:val="20"/>
                <w:color w:val="auto"/>
              </w:rPr>
            </w:pPr>
            <w:r>
              <w:rPr>
                <w:rFonts w:ascii="Courier New" w:cs="Courier New" w:eastAsia="Courier New" w:hAnsi="Courier New"/>
                <w:sz w:val="15"/>
                <w:szCs w:val="15"/>
                <w:color w:val="auto"/>
              </w:rPr>
              <w:t>Gas/Oil</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500</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Bethel</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Salem, OR</w:t>
            </w:r>
          </w:p>
        </w:tc>
        <w:tc>
          <w:tcPr>
            <w:tcW w:w="1700" w:type="dxa"/>
            <w:vAlign w:val="bottom"/>
          </w:tcPr>
          <w:p>
            <w:pPr>
              <w:ind w:left="600"/>
              <w:spacing w:after="0"/>
              <w:rPr>
                <w:sz w:val="20"/>
                <w:szCs w:val="20"/>
                <w:color w:val="auto"/>
              </w:rPr>
            </w:pPr>
            <w:r>
              <w:rPr>
                <w:rFonts w:ascii="Courier New" w:cs="Courier New" w:eastAsia="Courier New" w:hAnsi="Courier New"/>
                <w:sz w:val="15"/>
                <w:szCs w:val="15"/>
                <w:color w:val="auto"/>
              </w:rPr>
              <w:t>Gas/Oil</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116</w:t>
            </w:r>
          </w:p>
        </w:tc>
        <w:tc>
          <w:tcPr>
            <w:tcW w:w="880" w:type="dxa"/>
            <w:vAlign w:val="bottom"/>
          </w:tcPr>
          <w:p>
            <w:pPr>
              <w:spacing w:after="0"/>
              <w:rPr>
                <w:sz w:val="15"/>
                <w:szCs w:val="15"/>
                <w:color w:val="auto"/>
              </w:rPr>
            </w:pP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Coyote Springs</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Boardman, OR</w:t>
            </w:r>
          </w:p>
        </w:tc>
        <w:tc>
          <w:tcPr>
            <w:tcW w:w="1700" w:type="dxa"/>
            <w:vAlign w:val="bottom"/>
          </w:tcPr>
          <w:p>
            <w:pPr>
              <w:ind w:left="600"/>
              <w:spacing w:after="0"/>
              <w:rPr>
                <w:sz w:val="20"/>
                <w:szCs w:val="20"/>
                <w:color w:val="auto"/>
              </w:rPr>
            </w:pPr>
            <w:r>
              <w:rPr>
                <w:rFonts w:ascii="Courier New" w:cs="Courier New" w:eastAsia="Courier New" w:hAnsi="Courier New"/>
                <w:sz w:val="15"/>
                <w:szCs w:val="15"/>
                <w:color w:val="auto"/>
              </w:rPr>
              <w:t>Gas/Oil</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241</w:t>
            </w:r>
          </w:p>
        </w:tc>
        <w:tc>
          <w:tcPr>
            <w:tcW w:w="880" w:type="dxa"/>
            <w:vAlign w:val="bottom"/>
          </w:tcPr>
          <w:p>
            <w:pPr>
              <w:spacing w:after="0"/>
              <w:rPr>
                <w:sz w:val="15"/>
                <w:szCs w:val="15"/>
                <w:color w:val="auto"/>
              </w:rPr>
            </w:pPr>
          </w:p>
        </w:tc>
      </w:tr>
      <w:tr>
        <w:trPr>
          <w:trHeight w:val="177"/>
        </w:trPr>
        <w:tc>
          <w:tcPr>
            <w:tcW w:w="18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PGE</w:t>
            </w:r>
          </w:p>
        </w:tc>
      </w:tr>
      <w:tr>
        <w:trPr>
          <w:trHeight w:val="177"/>
        </w:trPr>
        <w:tc>
          <w:tcPr>
            <w:tcW w:w="1860" w:type="dxa"/>
            <w:vAlign w:val="bottom"/>
          </w:tcPr>
          <w:p>
            <w:pPr>
              <w:spacing w:after="0"/>
              <w:rPr>
                <w:sz w:val="20"/>
                <w:szCs w:val="20"/>
                <w:color w:val="auto"/>
              </w:rPr>
            </w:pPr>
            <w:r>
              <w:rPr>
                <w:rFonts w:ascii="Courier New" w:cs="Courier New" w:eastAsia="Courier New" w:hAnsi="Courier New"/>
                <w:sz w:val="15"/>
                <w:szCs w:val="15"/>
                <w:color w:val="auto"/>
              </w:rPr>
              <w:t>JOINTLY OWNED:</w:t>
            </w:r>
          </w:p>
        </w:tc>
        <w:tc>
          <w:tcPr>
            <w:tcW w:w="2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Boardman</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Boardman, OR</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Coal</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330 @</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65.0%</w:t>
            </w: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Centralia</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Centralia, WA</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Coal</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 @</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w:t>
            </w: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Colstrip 3 &amp; 4</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Colstrip, MT</w:t>
            </w:r>
          </w:p>
        </w:tc>
        <w:tc>
          <w:tcPr>
            <w:tcW w:w="1700" w:type="dxa"/>
            <w:vAlign w:val="bottom"/>
          </w:tcPr>
          <w:p>
            <w:pPr>
              <w:ind w:left="680"/>
              <w:spacing w:after="0"/>
              <w:rPr>
                <w:sz w:val="20"/>
                <w:szCs w:val="20"/>
                <w:color w:val="auto"/>
              </w:rPr>
            </w:pPr>
            <w:r>
              <w:rPr>
                <w:rFonts w:ascii="Courier New" w:cs="Courier New" w:eastAsia="Courier New" w:hAnsi="Courier New"/>
                <w:sz w:val="15"/>
                <w:szCs w:val="15"/>
                <w:color w:val="auto"/>
              </w:rPr>
              <w:t>Coal</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288 @</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w:t>
            </w:r>
          </w:p>
        </w:tc>
      </w:tr>
      <w:tr>
        <w:trPr>
          <w:trHeight w:val="177"/>
        </w:trPr>
        <w:tc>
          <w:tcPr>
            <w:tcW w:w="1860" w:type="dxa"/>
            <w:vAlign w:val="bottom"/>
          </w:tcPr>
          <w:p>
            <w:pPr>
              <w:ind w:left="200"/>
              <w:spacing w:after="0"/>
              <w:rPr>
                <w:sz w:val="20"/>
                <w:szCs w:val="20"/>
                <w:color w:val="auto"/>
              </w:rPr>
            </w:pPr>
            <w:r>
              <w:rPr>
                <w:rFonts w:ascii="Courier New" w:cs="Courier New" w:eastAsia="Courier New" w:hAnsi="Courier New"/>
                <w:sz w:val="15"/>
                <w:szCs w:val="15"/>
                <w:color w:val="auto"/>
              </w:rPr>
              <w:t>Trojan</w:t>
            </w:r>
          </w:p>
        </w:tc>
        <w:tc>
          <w:tcPr>
            <w:tcW w:w="2440" w:type="dxa"/>
            <w:vAlign w:val="bottom"/>
          </w:tcPr>
          <w:p>
            <w:pPr>
              <w:ind w:left="360"/>
              <w:spacing w:after="0"/>
              <w:rPr>
                <w:sz w:val="20"/>
                <w:szCs w:val="20"/>
                <w:color w:val="auto"/>
              </w:rPr>
            </w:pPr>
            <w:r>
              <w:rPr>
                <w:rFonts w:ascii="Courier New" w:cs="Courier New" w:eastAsia="Courier New" w:hAnsi="Courier New"/>
                <w:sz w:val="15"/>
                <w:szCs w:val="15"/>
                <w:color w:val="auto"/>
              </w:rPr>
              <w:t>Rainier, OR</w:t>
            </w:r>
          </w:p>
        </w:tc>
        <w:tc>
          <w:tcPr>
            <w:tcW w:w="1700" w:type="dxa"/>
            <w:vAlign w:val="bottom"/>
          </w:tcPr>
          <w:p>
            <w:pPr>
              <w:ind w:left="600"/>
              <w:spacing w:after="0"/>
              <w:rPr>
                <w:sz w:val="20"/>
                <w:szCs w:val="20"/>
                <w:color w:val="auto"/>
              </w:rPr>
            </w:pPr>
            <w:r>
              <w:rPr>
                <w:rFonts w:ascii="Courier New" w:cs="Courier New" w:eastAsia="Courier New" w:hAnsi="Courier New"/>
                <w:sz w:val="15"/>
                <w:szCs w:val="15"/>
                <w:color w:val="auto"/>
              </w:rPr>
              <w:t>Nuclear</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67.5%</w:t>
            </w:r>
          </w:p>
        </w:tc>
      </w:tr>
      <w:tr>
        <w:trPr>
          <w:trHeight w:val="177"/>
        </w:trPr>
        <w:tc>
          <w:tcPr>
            <w:tcW w:w="18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7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2,117</w:t>
            </w:r>
          </w:p>
        </w:tc>
        <w:tc>
          <w:tcPr>
            <w:tcW w:w="880" w:type="dxa"/>
            <w:vAlign w:val="bottom"/>
          </w:tcPr>
          <w:p>
            <w:pPr>
              <w:spacing w:after="0"/>
              <w:rPr>
                <w:sz w:val="15"/>
                <w:szCs w:val="15"/>
                <w:color w:val="auto"/>
              </w:rPr>
            </w:pPr>
          </w:p>
        </w:tc>
      </w:tr>
    </w:tbl>
    <w:p>
      <w:pPr>
        <w:spacing w:after="0" w:line="200" w:lineRule="exact"/>
        <w:rPr>
          <w:sz w:val="20"/>
          <w:szCs w:val="20"/>
          <w:color w:val="auto"/>
        </w:rPr>
      </w:pPr>
    </w:p>
    <w:p>
      <w:pPr>
        <w:spacing w:after="0" w:line="338" w:lineRule="exact"/>
        <w:rPr>
          <w:sz w:val="20"/>
          <w:szCs w:val="20"/>
          <w:color w:val="auto"/>
        </w:rPr>
      </w:pPr>
    </w:p>
    <w:p>
      <w:pPr>
        <w:ind w:left="80" w:right="4139"/>
        <w:spacing w:after="0" w:line="250" w:lineRule="auto"/>
        <w:rPr>
          <w:sz w:val="20"/>
          <w:szCs w:val="20"/>
          <w:color w:val="auto"/>
        </w:rPr>
      </w:pPr>
      <w:r>
        <w:rPr>
          <w:rFonts w:ascii="Courier New" w:cs="Courier New" w:eastAsia="Courier New" w:hAnsi="Courier New"/>
          <w:sz w:val="15"/>
          <w:szCs w:val="15"/>
          <w:color w:val="auto"/>
        </w:rPr>
        <w:t>PGE holds five licenses under the Federal Power Act which expire during the years 2001 to 2006</w:t>
      </w:r>
    </w:p>
    <w:p>
      <w:pPr>
        <w:spacing w:after="0" w:line="1" w:lineRule="exact"/>
        <w:rPr>
          <w:sz w:val="20"/>
          <w:szCs w:val="20"/>
          <w:color w:val="auto"/>
        </w:rPr>
      </w:pPr>
    </w:p>
    <w:p>
      <w:pPr>
        <w:ind w:right="2939" w:firstLine="92"/>
        <w:spacing w:after="0" w:line="250" w:lineRule="auto"/>
        <w:rPr>
          <w:sz w:val="20"/>
          <w:szCs w:val="20"/>
          <w:color w:val="auto"/>
        </w:rPr>
      </w:pPr>
      <w:r>
        <w:rPr>
          <w:rFonts w:ascii="Courier New" w:cs="Courier New" w:eastAsia="Courier New" w:hAnsi="Courier New"/>
          <w:sz w:val="15"/>
          <w:szCs w:val="15"/>
          <w:color w:val="auto"/>
        </w:rPr>
        <w:t>for its hydroelectric generating plants. FERC requires that a notice of intent to relicense these projects be filed approximately five years</w:t>
      </w:r>
    </w:p>
    <w:p>
      <w:pPr>
        <w:spacing w:after="0" w:line="1"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prior to expiration of the  license.   PGE is actively pursuing the renewal of these licenses. The State of Oregon also  has licensed all or portions of five hydro plants.  For further information see the Hydro Relicensing discussion in Item  7, Management's Discussion and Analysis  of  Financial  Condition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Following  the  1993  closure,  PGE  was  granted  a  possession-only  license amendment  for  Trojan  by  the  NRC.   In  early  1995  PGE filed its Trojan decommissioning plan with the NRC.  See Note 11, Trojan Nuclear Plant, in the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Notes to the Financial Statements for further information.</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LEASED PROPERTIES</w:t>
      </w:r>
    </w:p>
    <w:p>
      <w:pPr>
        <w:spacing w:after="0" w:line="8"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Combustion turbine generators at Bethel and Beaver are leased  by  PGE.  These leases  expire  in  1999.   PGE  leases  its headquarters complex in downtown Portland  and  the coal-handling facilities and  certain  railroad  cars  for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Boardman.</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8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NONUTILITY</w:t>
      </w:r>
    </w:p>
    <w:p>
      <w:pPr>
        <w:spacing w:after="0" w:line="185" w:lineRule="exact"/>
        <w:rPr>
          <w:sz w:val="20"/>
          <w:szCs w:val="20"/>
          <w:color w:val="auto"/>
        </w:rPr>
      </w:pPr>
    </w:p>
    <w:p>
      <w:pPr>
        <w:jc w:val="both"/>
        <w:ind w:right="2939"/>
        <w:spacing w:after="0" w:line="252" w:lineRule="auto"/>
        <w:rPr>
          <w:sz w:val="20"/>
          <w:szCs w:val="20"/>
          <w:color w:val="auto"/>
        </w:rPr>
      </w:pPr>
      <w:r>
        <w:rPr>
          <w:rFonts w:ascii="Courier New" w:cs="Courier New" w:eastAsia="Courier New" w:hAnsi="Courier New"/>
          <w:sz w:val="15"/>
          <w:szCs w:val="15"/>
          <w:color w:val="auto"/>
        </w:rPr>
        <w:t>ROGER G. SEGAL, AS THE CHAPTER 11 TRUSTEE FOR BONNEVILLE PACIFIC CORPORATION V. PORTLAND GENERAL CORPORATION, PORTLAND GENERAL HOLDINGS, INC. ET AL, U.S. DISTRICT COURT FOR THE DISTRICT OF UTAH</w:t>
      </w:r>
    </w:p>
    <w:p>
      <w:pPr>
        <w:spacing w:after="0" w:line="17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This  action was originally filed on April 24,  1992  by  Bonneville  Pacific against  Portland  General,  Holdings, and certain individuals affiliated with Portland General or Holdings alleging  breach  of  fiduciary  duty,  tortious interference,  breach  of  contract,  and  other  actionable wrongs related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Holdings' investment in Bonneville Pacific.</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On August 2, 1993 an amended complaint was filed by  the  Bonneville  Pacific bankruptcy  trustee  against  Portland  General, Holdings, certain individuals affiliated with Portland General or Holdings  and  over  50  other  defendants unrelated  to  Portland  General  or  Holdings.   This  complaint and another subsequent amended version were dismissed by the Court in  whole  or  in part. The Trustee has currently on file his Fifth Amended Complaint.  The complaint includes  allegations  of RICO violations and RICO conspiracy, collusive tort, civil conspiracy, common  law  fraud,  negligent  misrepresentation, breach of fiduciary duty, liability as a partner for the debts  of  a  partnership,  and other  actionable  wrongs.   The  Court has rejected the Trustee's previously filed damage study which is expected  to be revised and refiled.  The Portland General parties have again filed motions  to dismiss.  Arguments were heard in December  1994,  and the motions are awaiting  decision  by  the  Court.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discovery cutoff or trial date has been set.</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PORTLAND GENERAL HOLDINGS, INC. V. DELOITTE &amp; TOUCHE, ET AL, THIRD JUDICIAL DISTRICT COURT FOR SALT LAKE COUNTY</w:t>
      </w:r>
    </w:p>
    <w:p>
      <w:pPr>
        <w:spacing w:after="0" w:line="174"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On January 22, 1992, Holdings filed a complaint alleging Deloitte &amp; Touche and certain  individuals associated with Bonneville  Pacific  misrepresented  the financial condition  of  Bonneville  Pacific.   The  complaint  alleges  that Holdings  relied  on  fraudulent statements and omissions by Deloitte &amp; Touche and the individual defendants  in acquiring a 46% interest in and making loans to Bonneville Pacific starting in  September  1990.   Holdings  alleges, among other  things,  the  existence  of  transactions in which generation projects developed or purchased by Bonneville Pacific  were  transferred at exaggerated valuations or artificially inflated prices to Bonneville  Pacific's affiliated entities,  Bonneville  Pacific  related parties or third parties.   The  suit claims that Bonneville Pacific's books,  as  audited by Deloitte &amp; Touche, led Holdings  to  conclude  wrongly  that  Bonneville  Pacific's  management  was effective and could achieve the profitable sale of certain  assets,  as called for  in  Holdings' purchase  agreement with Bonneville Pacific.  Holdings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seeking approximately $228 million in damages.</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This  case has been consolidated  for  all  purposes  with  PORTLAND  GENERAL HOLDINGS, INC. V. BONNEVILLE GROUP AND RAYMOND L. HIXSON noted below.  Some of the defendants  in  the  consolidated case have asserted counterclaims against Holdings.  Certain counterclaims  do  not  presently  specify  an  amount  of damages.   The remaining counterclaims, taken together, seek approximately $80 million  in  specified  and  punitive  damages.   The  Company  believes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counterclaims have little merit.</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PORTLAND GENERAL HOLDINGS, INC. V. THE BONNEVILLE GROUP AND RAYMOND L. HIXSON, THIRD JUDICIAL DISTRICT COURT FOR SALT LAKE COUNTY</w:t>
      </w:r>
    </w:p>
    <w:p>
      <w:pPr>
        <w:spacing w:after="0" w:line="174"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On June 1, 1993  Holdings  filed a complaint alleging The Bonneville Group and Raymond  L.  Hixson misrepresented  the  financial  condition  of  Bonneville Pacific.  The complaint  contains  substantially  the same allegations against these defendants as claimed in PORTLAND GENERAL HOLDINGS,  INC.  V. DELOITTE &amp;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TOUCHE, ET AL and seeks the same damages.</w:t>
      </w: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650" w:right="1440" w:bottom="1440" w:gutter="0" w:footer="0" w:header="0"/>
        </w:sectPr>
      </w:pPr>
    </w:p>
    <w:bookmarkStart w:id="20" w:name="page21"/>
    <w:bookmarkEnd w:id="20"/>
    <w:p>
      <w:pPr>
        <w:ind w:left="3320"/>
        <w:spacing w:after="0"/>
        <w:rPr>
          <w:sz w:val="20"/>
          <w:szCs w:val="20"/>
          <w:color w:val="auto"/>
        </w:rPr>
      </w:pPr>
      <w:r>
        <w:rPr>
          <w:rFonts w:ascii="Courier New" w:cs="Courier New" w:eastAsia="Courier New" w:hAnsi="Courier New"/>
          <w:sz w:val="15"/>
          <w:szCs w:val="15"/>
          <w:color w:val="auto"/>
        </w:rPr>
        <w:t>UTILITY</w:t>
      </w:r>
    </w:p>
    <w:p>
      <w:pPr>
        <w:sectPr>
          <w:pgSz w:w="11900" w:h="16838" w:orient="portrait"/>
          <w:cols w:equalWidth="0" w:num="1">
            <w:col w:w="10219"/>
          </w:cols>
          <w:pgMar w:left="240" w:top="650" w:right="1440" w:bottom="1440" w:gutter="0" w:footer="0" w:header="0"/>
        </w:sectPr>
      </w:pPr>
    </w:p>
    <w:p>
      <w:pPr>
        <w:spacing w:after="0" w:line="185" w:lineRule="exact"/>
        <w:rPr>
          <w:sz w:val="20"/>
          <w:szCs w:val="20"/>
          <w:color w:val="auto"/>
        </w:rPr>
      </w:pPr>
    </w:p>
    <w:p>
      <w:pPr>
        <w:ind w:firstLine="277"/>
        <w:spacing w:after="0" w:line="253" w:lineRule="auto"/>
        <w:rPr>
          <w:sz w:val="20"/>
          <w:szCs w:val="20"/>
          <w:color w:val="auto"/>
        </w:rPr>
      </w:pPr>
      <w:r>
        <w:rPr>
          <w:rFonts w:ascii="Courier New" w:cs="Courier New" w:eastAsia="Courier New" w:hAnsi="Courier New"/>
          <w:sz w:val="15"/>
          <w:szCs w:val="15"/>
          <w:color w:val="auto"/>
        </w:rPr>
        <w:t>PGE V. RONALD EACHUS, MYRON KATZ, NANCY RYLES UTILITY COMMISSIONERS) AND THE OPUC, MARION COUNTY CIRCUIT COURT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(OREGON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w:t>
      </w:r>
    </w:p>
    <w:p>
      <w:pPr>
        <w:spacing w:after="0" w:line="362" w:lineRule="exact"/>
        <w:rPr>
          <w:sz w:val="20"/>
          <w:szCs w:val="20"/>
          <w:color w:val="auto"/>
        </w:rPr>
      </w:pPr>
    </w:p>
    <w:p>
      <w:pPr>
        <w:sectPr>
          <w:pgSz w:w="11900" w:h="16838" w:orient="portrait"/>
          <w:cols w:equalWidth="0" w:num="3">
            <w:col w:w="5900" w:space="0"/>
            <w:col w:w="640" w:space="200"/>
            <w:col w:w="3479"/>
          </w:cols>
          <w:pgMar w:left="240" w:top="650" w:right="1440" w:bottom="1440" w:gutter="0" w:footer="0" w:header="0"/>
          <w:type w:val="continuous"/>
        </w:sectPr>
      </w:pPr>
    </w:p>
    <w:p>
      <w:pPr>
        <w:ind w:left="80" w:right="2939"/>
        <w:spacing w:after="0" w:line="250" w:lineRule="auto"/>
        <w:rPr>
          <w:sz w:val="20"/>
          <w:szCs w:val="20"/>
          <w:color w:val="auto"/>
        </w:rPr>
      </w:pPr>
      <w:r>
        <w:rPr>
          <w:rFonts w:ascii="Courier New" w:cs="Courier New" w:eastAsia="Courier New" w:hAnsi="Courier New"/>
          <w:sz w:val="15"/>
          <w:szCs w:val="15"/>
          <w:color w:val="auto"/>
        </w:rPr>
        <w:t>In July 1990 PGE reached an out-of-court settlement with the OPUC on two of three matters arising from its 1987 rate case. The settlement resolved the dispute regarding the treatment of certain investment tax credits and the</w:t>
      </w:r>
    </w:p>
    <w:p>
      <w:pPr>
        <w:sectPr>
          <w:pgSz w:w="11900" w:h="16838" w:orient="portrait"/>
          <w:cols w:equalWidth="0" w:num="1">
            <w:col w:w="10219"/>
          </w:cols>
          <w:pgMar w:left="240" w:top="650" w:right="1440" w:bottom="1440" w:gutter="0" w:footer="0" w:header="0"/>
          <w:type w:val="continuous"/>
        </w:sectPr>
      </w:pPr>
    </w:p>
    <w:p>
      <w:pPr>
        <w:spacing w:after="0" w:line="1"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1986-1987 interim relief. The settlement did not resolve the issue related to the gain on PGE's sale of a portion of Boardman and the Intertie. On January 23, 1995, the judge affirmed the OPUC decision allocating 77% of the gain to customers over a 27-year period which PGE subsequently appealed. PGE withdrew its appeal in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December 1995, pursuant to an agreement adopted in an OPUC rate order.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cross claims filed by the Utility</w:t>
      </w:r>
    </w:p>
    <w:p>
      <w:pPr>
        <w:spacing w:after="0" w:line="8" w:lineRule="exact"/>
        <w:rPr>
          <w:sz w:val="20"/>
          <w:szCs w:val="20"/>
          <w:color w:val="auto"/>
        </w:rPr>
      </w:pPr>
    </w:p>
    <w:p>
      <w:pPr>
        <w:ind w:left="180" w:right="2939" w:hanging="91"/>
        <w:spacing w:after="0" w:line="250" w:lineRule="auto"/>
        <w:rPr>
          <w:sz w:val="20"/>
          <w:szCs w:val="20"/>
          <w:color w:val="auto"/>
        </w:rPr>
      </w:pPr>
      <w:r>
        <w:rPr>
          <w:rFonts w:ascii="Courier New" w:cs="Courier New" w:eastAsia="Courier New" w:hAnsi="Courier New"/>
          <w:sz w:val="15"/>
          <w:szCs w:val="15"/>
          <w:color w:val="auto"/>
        </w:rPr>
        <w:t>Reform Project are still active in this case</w:t>
      </w:r>
      <w:r>
        <w:rPr>
          <w:sz w:val="20"/>
          <w:szCs w:val="20"/>
          <w:color w:val="auto"/>
        </w:rPr>
        <w:t xml:space="preserve"> </w:t>
      </w:r>
      <w:r>
        <w:rPr>
          <w:rFonts w:ascii="Courier New" w:cs="Courier New" w:eastAsia="Courier New" w:hAnsi="Courier New"/>
          <w:sz w:val="15"/>
          <w:szCs w:val="15"/>
          <w:color w:val="auto"/>
        </w:rPr>
        <w:t>which PGE will vigorously defend against. See Note 13, Regulatory Matters, in the Notes to Financial</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Statements for more details.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UTILITY REFORM PROJECT V. OPUC, MULTNOMAH COUNTY CIRCUIT COURT</w:t>
      </w:r>
    </w:p>
    <w:p>
      <w:pPr>
        <w:spacing w:after="0" w:line="185" w:lineRule="exact"/>
        <w:rPr>
          <w:sz w:val="20"/>
          <w:szCs w:val="20"/>
          <w:color w:val="auto"/>
        </w:rPr>
      </w:pPr>
    </w:p>
    <w:p>
      <w:pPr>
        <w:jc w:val="center"/>
        <w:ind w:left="80" w:right="2939"/>
        <w:spacing w:after="0" w:line="250" w:lineRule="auto"/>
        <w:rPr>
          <w:sz w:val="20"/>
          <w:szCs w:val="20"/>
          <w:color w:val="auto"/>
        </w:rPr>
      </w:pPr>
      <w:r>
        <w:rPr>
          <w:rFonts w:ascii="Courier New" w:cs="Courier New" w:eastAsia="Courier New" w:hAnsi="Courier New"/>
          <w:sz w:val="15"/>
          <w:szCs w:val="15"/>
          <w:color w:val="auto"/>
        </w:rPr>
        <w:t>On February 18,  1992  the  Utility  Reform Project (URP) filed a complaint in Multnomah County Oregon Circuit Court asking the OPUC to set aside and rescind OPUC Order No. 91-1781 which authorized  PGE  a  temporary rate increase to recover  a  portion  of the excess power costs incurred during the 1991 Trojan outage.  URP and the OPUC agreed to stay the case pending OPUC hearings on the OPUC order.  On February  22, 1992 the OPUC issued an order approving the rate increase.  The case is currently under a stay.  PGE has not intervened in this</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case.</w:t>
      </w:r>
    </w:p>
    <w:p>
      <w:pPr>
        <w:spacing w:after="0" w:line="185" w:lineRule="exact"/>
        <w:rPr>
          <w:sz w:val="20"/>
          <w:szCs w:val="20"/>
          <w:color w:val="auto"/>
        </w:rPr>
      </w:pPr>
    </w:p>
    <w:p>
      <w:pPr>
        <w:ind w:left="80" w:right="2939"/>
        <w:spacing w:after="0" w:line="253" w:lineRule="auto"/>
        <w:rPr>
          <w:sz w:val="20"/>
          <w:szCs w:val="20"/>
          <w:color w:val="auto"/>
        </w:rPr>
      </w:pPr>
      <w:r>
        <w:rPr>
          <w:rFonts w:ascii="Courier New" w:cs="Courier New" w:eastAsia="Courier New" w:hAnsi="Courier New"/>
          <w:sz w:val="15"/>
          <w:szCs w:val="15"/>
          <w:color w:val="auto"/>
        </w:rPr>
        <w:t>COLUMBIA STEEL CASTING CO., INC. V. PGE, PACIFICORP, AND MYRON KATZ, NANCY RYLES AND RONALD EACHUS, NINTH CIRCUIT COURT OF APPEALS</w:t>
      </w:r>
    </w:p>
    <w:p>
      <w:pPr>
        <w:spacing w:after="0" w:line="174"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On June 19, 1990 Columbia Steel filed a complaint  for  declaratory  judgment, injunctive  relief  and  damages  in U.S. District Court for the District  of</w:t>
      </w:r>
    </w:p>
    <w:p>
      <w:pPr>
        <w:spacing w:after="0" w:line="1" w:lineRule="exact"/>
        <w:rPr>
          <w:sz w:val="20"/>
          <w:szCs w:val="20"/>
          <w:color w:val="auto"/>
        </w:rPr>
      </w:pPr>
    </w:p>
    <w:p>
      <w:pPr>
        <w:ind w:left="80"/>
        <w:spacing w:after="0"/>
        <w:tabs>
          <w:tab w:leader="none" w:pos="3840" w:val="left"/>
        </w:tabs>
        <w:rPr>
          <w:sz w:val="20"/>
          <w:szCs w:val="20"/>
          <w:color w:val="auto"/>
        </w:rPr>
      </w:pPr>
      <w:r>
        <w:rPr>
          <w:rFonts w:ascii="Courier New" w:cs="Courier New" w:eastAsia="Courier New" w:hAnsi="Courier New"/>
          <w:sz w:val="15"/>
          <w:szCs w:val="15"/>
          <w:color w:val="auto"/>
        </w:rPr>
        <w:t>Oregon contending that a 1972 territory</w:t>
        <w:tab/>
        <w:t>allocation agreement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between PGE and PacifiCorp, dba Pacific Power &amp; Light Company (PP&amp;L), which</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was subsequently approved by the OPUC and the City of Portland, does not</w:t>
      </w:r>
    </w:p>
    <w:p>
      <w:pPr>
        <w:spacing w:after="0" w:line="8" w:lineRule="exact"/>
        <w:rPr>
          <w:sz w:val="20"/>
          <w:szCs w:val="20"/>
          <w:color w:val="auto"/>
        </w:rPr>
      </w:pPr>
    </w:p>
    <w:p>
      <w:pPr>
        <w:ind w:left="80"/>
        <w:spacing w:after="0"/>
        <w:tabs>
          <w:tab w:leader="none" w:pos="4120" w:val="left"/>
          <w:tab w:leader="none" w:pos="4580" w:val="left"/>
          <w:tab w:leader="none" w:pos="5140" w:val="left"/>
          <w:tab w:leader="none" w:pos="5520" w:val="left"/>
          <w:tab w:leader="none" w:pos="6160" w:val="left"/>
        </w:tabs>
        <w:rPr>
          <w:sz w:val="20"/>
          <w:szCs w:val="20"/>
          <w:color w:val="auto"/>
        </w:rPr>
      </w:pPr>
      <w:r>
        <w:rPr>
          <w:rFonts w:ascii="Courier New" w:cs="Courier New" w:eastAsia="Courier New" w:hAnsi="Courier New"/>
          <w:sz w:val="15"/>
          <w:szCs w:val="15"/>
          <w:color w:val="auto"/>
        </w:rPr>
        <w:t>give PGE the exclusive right to serve them</w:t>
        <w:tab/>
        <w:t>nor</w:t>
        <w:tab/>
        <w:t>does</w:t>
        <w:tab/>
        <w:t>it</w:t>
        <w:tab/>
        <w:t>allow</w:t>
        <w:tab/>
        <w:t>PP&amp;L to deny</w:t>
      </w:r>
    </w:p>
    <w:p>
      <w:pPr>
        <w:spacing w:after="0" w:line="8" w:lineRule="exact"/>
        <w:rPr>
          <w:sz w:val="20"/>
          <w:szCs w:val="20"/>
          <w:color w:val="auto"/>
        </w:rPr>
      </w:pPr>
    </w:p>
    <w:p>
      <w:pPr>
        <w:ind w:left="80" w:right="2939" w:firstLine="92"/>
        <w:spacing w:after="0" w:line="253" w:lineRule="auto"/>
        <w:rPr>
          <w:sz w:val="20"/>
          <w:szCs w:val="20"/>
          <w:color w:val="auto"/>
        </w:rPr>
      </w:pPr>
      <w:r>
        <w:rPr>
          <w:rFonts w:ascii="Courier New" w:cs="Courier New" w:eastAsia="Courier New" w:hAnsi="Courier New"/>
          <w:sz w:val="15"/>
          <w:szCs w:val="15"/>
          <w:color w:val="auto"/>
        </w:rPr>
        <w:t>service to them. Columbia Steel is seeking an unspecified amount in damages amounting to three times the excess power costs paid over a 10-year period.</w:t>
      </w:r>
    </w:p>
    <w:p>
      <w:pPr>
        <w:spacing w:after="0" w:line="174"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On July 3, 1991 the Court ruled that the Agreement did not allocate customers for the provision of exclusive services and that the 1972 order of the OPUC approving the Agreement did not order the allocation of territories and customers. Subsequently, on August 19, 1993 the Court ruled that Columbia Steel was</w:t>
      </w:r>
    </w:p>
    <w:p>
      <w:pPr>
        <w:spacing w:after="0" w:line="2" w:lineRule="exact"/>
        <w:rPr>
          <w:sz w:val="20"/>
          <w:szCs w:val="20"/>
          <w:color w:val="auto"/>
        </w:rPr>
      </w:pPr>
    </w:p>
    <w:p>
      <w:pPr>
        <w:ind w:left="180" w:right="2939"/>
        <w:spacing w:after="0" w:line="250" w:lineRule="auto"/>
        <w:rPr>
          <w:sz w:val="20"/>
          <w:szCs w:val="20"/>
          <w:color w:val="auto"/>
        </w:rPr>
      </w:pPr>
      <w:r>
        <w:rPr>
          <w:rFonts w:ascii="Courier New" w:cs="Courier New" w:eastAsia="Courier New" w:hAnsi="Courier New"/>
          <w:sz w:val="15"/>
          <w:szCs w:val="15"/>
          <w:color w:val="auto"/>
        </w:rPr>
        <w:t>entitled to receive from PGE approximately $1.3 million in damages which represented the additional costs incurred by Columbia Steel for electric</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service from July 1990 to July 1991, trebled, plus costs and attorney's fees.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PGE appealed to the U.S. Court of Appeals for the Ninth Circuit which on</w:t>
      </w:r>
    </w:p>
    <w:p>
      <w:pPr>
        <w:spacing w:after="0" w:line="8"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July 20, 1995, issued an opinion in favor of PGE, reversing the judgment and ordering judgment to be entered in favor of PGE. Columbia Steel filed a</w:t>
      </w:r>
    </w:p>
    <w:p>
      <w:pPr>
        <w:spacing w:after="0" w:line="1" w:lineRule="exact"/>
        <w:rPr>
          <w:sz w:val="20"/>
          <w:szCs w:val="20"/>
          <w:color w:val="auto"/>
        </w:rPr>
      </w:pPr>
    </w:p>
    <w:p>
      <w:pPr>
        <w:ind w:left="180"/>
        <w:spacing w:after="0"/>
        <w:tabs>
          <w:tab w:leader="none" w:pos="1080" w:val="left"/>
          <w:tab w:leader="none" w:pos="1540" w:val="left"/>
          <w:tab w:leader="none" w:pos="3120" w:val="left"/>
          <w:tab w:leader="none" w:pos="3760" w:val="left"/>
          <w:tab w:leader="none" w:pos="4220" w:val="left"/>
          <w:tab w:leader="none" w:pos="4860" w:val="left"/>
          <w:tab w:leader="none" w:pos="5320" w:val="left"/>
        </w:tabs>
        <w:rPr>
          <w:sz w:val="20"/>
          <w:szCs w:val="20"/>
          <w:color w:val="auto"/>
        </w:rPr>
      </w:pPr>
      <w:r>
        <w:rPr>
          <w:rFonts w:ascii="Courier New" w:cs="Courier New" w:eastAsia="Courier New" w:hAnsi="Courier New"/>
          <w:sz w:val="15"/>
          <w:szCs w:val="15"/>
          <w:color w:val="auto"/>
        </w:rPr>
        <w:t>petition</w:t>
        <w:tab/>
        <w:t>for</w:t>
        <w:tab/>
        <w:t>reconsideration</w:t>
        <w:tab/>
        <w:t>which</w:t>
        <w:tab/>
        <w:t>the</w:t>
        <w:tab/>
        <w:t>court</w:t>
        <w:tab/>
        <w:t>has</w:t>
        <w:tab/>
        <w:t>not yet ruled on.</w:t>
      </w:r>
    </w:p>
    <w:p>
      <w:pPr>
        <w:spacing w:after="0" w:line="362" w:lineRule="exact"/>
        <w:rPr>
          <w:sz w:val="20"/>
          <w:szCs w:val="20"/>
          <w:color w:val="auto"/>
        </w:rPr>
      </w:pPr>
    </w:p>
    <w:p>
      <w:pPr>
        <w:ind w:left="80"/>
        <w:spacing w:after="0"/>
        <w:tabs>
          <w:tab w:leader="none" w:pos="5600" w:val="left"/>
          <w:tab w:leader="none" w:pos="6900" w:val="left"/>
        </w:tabs>
        <w:rPr>
          <w:sz w:val="20"/>
          <w:szCs w:val="20"/>
          <w:color w:val="auto"/>
        </w:rPr>
      </w:pPr>
      <w:r>
        <w:rPr>
          <w:rFonts w:ascii="Courier New" w:cs="Courier New" w:eastAsia="Courier New" w:hAnsi="Courier New"/>
          <w:sz w:val="15"/>
          <w:szCs w:val="15"/>
          <w:color w:val="auto"/>
        </w:rPr>
        <w:t>PORTLAND GENERAL ELECTRIC COMPANY V. WESTINGHOUSE ELECTRIC</w:t>
        <w:tab/>
        <w:t>CORPORATION,</w:t>
        <w:tab/>
        <w:t>U.S.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DISTRICT COURT FOR THE WESTERN DISTRICT OF PENNSYLVANIA</w:t>
      </w:r>
    </w:p>
    <w:p>
      <w:pPr>
        <w:spacing w:after="0" w:line="185" w:lineRule="exact"/>
        <w:rPr>
          <w:sz w:val="20"/>
          <w:szCs w:val="20"/>
          <w:color w:val="auto"/>
        </w:rPr>
      </w:pPr>
    </w:p>
    <w:p>
      <w:pPr>
        <w:jc w:val="center"/>
        <w:ind w:left="80" w:right="2939"/>
        <w:spacing w:after="0" w:line="250" w:lineRule="auto"/>
        <w:rPr>
          <w:sz w:val="20"/>
          <w:szCs w:val="20"/>
          <w:color w:val="auto"/>
        </w:rPr>
      </w:pPr>
      <w:r>
        <w:rPr>
          <w:rFonts w:ascii="Courier New" w:cs="Courier New" w:eastAsia="Courier New" w:hAnsi="Courier New"/>
          <w:sz w:val="15"/>
          <w:szCs w:val="15"/>
          <w:color w:val="auto"/>
        </w:rPr>
        <w:t>On  February  17,  1993  PGE  filed a complaint against Westinghouse Electric Corporation (Westinghouse), the  manufacturer  of  Trojan's  steam generators, alleging  breach  of contract, negligence, fraud, negligent misrepresentation and  violation  of  federal  and  state  racketeering  statutes  relating  to Westinghouse's design,  manufacture  and installation of the steam generators. On June 28, 1993 the Court dismissed PGE's  claims of negligence and negligent</w:t>
      </w:r>
    </w:p>
    <w:p>
      <w:pPr>
        <w:spacing w:after="0" w:line="3" w:lineRule="exact"/>
        <w:rPr>
          <w:sz w:val="20"/>
          <w:szCs w:val="20"/>
          <w:color w:val="auto"/>
        </w:rPr>
      </w:pPr>
    </w:p>
    <w:p>
      <w:pPr>
        <w:ind w:left="80"/>
        <w:spacing w:after="0"/>
        <w:tabs>
          <w:tab w:leader="none" w:pos="1920" w:val="left"/>
        </w:tabs>
        <w:rPr>
          <w:sz w:val="20"/>
          <w:szCs w:val="20"/>
          <w:color w:val="auto"/>
        </w:rPr>
      </w:pPr>
      <w:r>
        <w:rPr>
          <w:rFonts w:ascii="Courier New" w:cs="Courier New" w:eastAsia="Courier New" w:hAnsi="Courier New"/>
          <w:sz w:val="15"/>
          <w:szCs w:val="15"/>
          <w:color w:val="auto"/>
        </w:rPr>
        <w:t>misrepresentation.</w:t>
        <w:tab/>
        <w:t>A trial date has not been set.</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50" w:right="1440" w:bottom="1440" w:gutter="0" w:footer="0" w:header="0"/>
          <w:type w:val="continuous"/>
        </w:sectPr>
      </w:pPr>
    </w:p>
    <w:bookmarkStart w:id="21" w:name="page22"/>
    <w:bookmarkEnd w:id="21"/>
    <w:p>
      <w:pPr>
        <w:ind w:left="80" w:right="2939" w:firstLine="92"/>
        <w:spacing w:after="0" w:line="253" w:lineRule="auto"/>
        <w:rPr>
          <w:sz w:val="20"/>
          <w:szCs w:val="20"/>
          <w:color w:val="auto"/>
        </w:rPr>
      </w:pPr>
      <w:r>
        <w:rPr>
          <w:rFonts w:ascii="Courier New" w:cs="Courier New" w:eastAsia="Courier New" w:hAnsi="Courier New"/>
          <w:sz w:val="15"/>
          <w:szCs w:val="15"/>
          <w:color w:val="auto"/>
        </w:rPr>
        <w:t>SOUTHERN CALIFORNIA EDISON COMPANY V. PGE, U.S. DISTRICT COURT FOR THE DISTRICT OF OREGON</w:t>
      </w:r>
    </w:p>
    <w:p>
      <w:pPr>
        <w:spacing w:after="0" w:line="174"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On August 3, 1994, Southern California  Edison  (SCE)  filed  a  complaint  in Multnomah County Circuit Court in Portland, Oregon claiming PGE's decision to close  Trojan  violated the terms of a long-term firm power sales and exchange agreement entered  into  in  1986.  The 25-year contract is for 75 MW of firm energy and capacity plus a 225-MW seasonal exchange.  Under the agreement SCE is obligated to pay to PGE a reservation  fee  for  system  capacity, seasonal exchange and other services equal to $16.9 million annually.   SCE  is seeking termination of the agreement and damages including a return of payments  made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 PGE from the date of PGE's alleged default (approximately $51 million).</w:t>
      </w:r>
    </w:p>
    <w:p>
      <w:pPr>
        <w:spacing w:after="0" w:line="185"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PGE  successfully  moved  for  summary  judgment on all of plaintiff's claims. Judgment  dismissing  all  of  those claims with  prejudice  was  entered  on</w:t>
      </w:r>
    </w:p>
    <w:p>
      <w:pPr>
        <w:spacing w:after="0" w:line="1" w:lineRule="exact"/>
        <w:rPr>
          <w:sz w:val="20"/>
          <w:szCs w:val="20"/>
          <w:color w:val="auto"/>
        </w:rPr>
      </w:pPr>
    </w:p>
    <w:p>
      <w:pPr>
        <w:ind w:left="80"/>
        <w:spacing w:after="0"/>
        <w:tabs>
          <w:tab w:leader="none" w:pos="2000" w:val="left"/>
        </w:tabs>
        <w:rPr>
          <w:sz w:val="20"/>
          <w:szCs w:val="20"/>
          <w:color w:val="auto"/>
        </w:rPr>
      </w:pPr>
      <w:r>
        <w:rPr>
          <w:rFonts w:ascii="Courier New" w:cs="Courier New" w:eastAsia="Courier New" w:hAnsi="Courier New"/>
          <w:sz w:val="15"/>
          <w:szCs w:val="15"/>
          <w:color w:val="auto"/>
        </w:rPr>
        <w:t>September 12, 1995.</w:t>
        <w:tab/>
        <w:t>Plaintiff has filed a notice of appeal.</w:t>
      </w:r>
    </w:p>
    <w:p>
      <w:pPr>
        <w:spacing w:after="0" w:line="185"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UTILITY REFORM PROJECT AND DON'T  WASTE  OREGON  COUNCIL  V.  ENERGY  FACILITY SITING  COUNCIL,  PORTLAND GENERAL ELECTRIC COMPANY AND OREGON DEPARTMENT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FISH AND WILDLIFE, SUPREME COURT OF THE STATE OF OREGON</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On November 16, 1994 and November 17, 1994, URP and Don't Waste Oregon Council (DWOC), respectively,  filed Petitions for Judicial Review of the order of the EFSC granting a site certificate for the Coyote Springs Generation Plant.  The Petitions have been consolidated.   URP  and  DWOC  seek  to  have  the  order remanded  to  EFSC  for  reconsideration.   They  allege  that  EFSC  did not adequately  address  standards  related  to  the need for power and financial assurances, and erred in its treatment of certain  confidential  information.</w:t>
      </w:r>
    </w:p>
    <w:p>
      <w:pPr>
        <w:spacing w:after="0" w:line="3" w:lineRule="exact"/>
        <w:rPr>
          <w:sz w:val="20"/>
          <w:szCs w:val="20"/>
          <w:color w:val="auto"/>
        </w:rPr>
      </w:pPr>
    </w:p>
    <w:p>
      <w:pPr>
        <w:ind w:right="3579"/>
        <w:spacing w:after="0" w:line="252" w:lineRule="auto"/>
        <w:rPr>
          <w:sz w:val="20"/>
          <w:szCs w:val="20"/>
          <w:color w:val="auto"/>
        </w:rPr>
      </w:pPr>
      <w:r>
        <w:rPr>
          <w:rFonts w:ascii="Courier New" w:cs="Courier New" w:eastAsia="Courier New" w:hAnsi="Courier New"/>
          <w:sz w:val="15"/>
          <w:szCs w:val="15"/>
          <w:color w:val="auto"/>
        </w:rPr>
        <w:t>In November 1995, the Court upheld the EFSC decision granting the Coyote Springs Site Certificate and subsequently denied a petition for reconsideration.</w:t>
      </w:r>
    </w:p>
    <w:p>
      <w:pPr>
        <w:spacing w:after="0" w:line="175" w:lineRule="exact"/>
        <w:rPr>
          <w:sz w:val="20"/>
          <w:szCs w:val="20"/>
          <w:color w:val="auto"/>
        </w:rPr>
      </w:pPr>
    </w:p>
    <w:p>
      <w:pPr>
        <w:jc w:val="both"/>
        <w:ind w:left="80" w:right="2939"/>
        <w:spacing w:after="0" w:line="253" w:lineRule="auto"/>
        <w:rPr>
          <w:sz w:val="20"/>
          <w:szCs w:val="20"/>
          <w:color w:val="auto"/>
        </w:rPr>
      </w:pPr>
      <w:r>
        <w:rPr>
          <w:rFonts w:ascii="Courier New" w:cs="Courier New" w:eastAsia="Courier New" w:hAnsi="Courier New"/>
          <w:sz w:val="15"/>
          <w:szCs w:val="15"/>
          <w:color w:val="auto"/>
        </w:rPr>
        <w:t>CITIZEN'S UTILITY BOARD OF OREGON V. PUBLIC UTILITY COMMISSION OF OREGON, COURT OF APPEALS FOR THE STATE OF OREGON, JANUARY 1995</w:t>
      </w:r>
    </w:p>
    <w:p>
      <w:pPr>
        <w:spacing w:after="0" w:line="174" w:lineRule="exact"/>
        <w:rPr>
          <w:sz w:val="20"/>
          <w:szCs w:val="20"/>
          <w:color w:val="auto"/>
        </w:rPr>
      </w:pPr>
    </w:p>
    <w:p>
      <w:pPr>
        <w:jc w:val="both"/>
        <w:ind w:left="80" w:right="2939" w:firstLine="92"/>
        <w:spacing w:after="0" w:line="250" w:lineRule="auto"/>
        <w:rPr>
          <w:sz w:val="20"/>
          <w:szCs w:val="20"/>
          <w:color w:val="auto"/>
        </w:rPr>
      </w:pPr>
      <w:r>
        <w:rPr>
          <w:rFonts w:ascii="Courier New" w:cs="Courier New" w:eastAsia="Courier New" w:hAnsi="Courier New"/>
          <w:sz w:val="15"/>
          <w:szCs w:val="15"/>
          <w:color w:val="auto"/>
        </w:rPr>
        <w:t>The Citizen's Utility Board (CUB) appealed a 1994 ruling from the Marion County Circuit Court which upheld the order of the OPUC in its Declaratory Ruling proceeding (DR-10). In the DR-10 proceeding, PGE filed an Application with the OPUC requesting a Declaratory Ruling regarding recovery of the Trojan investment and decommissioning costs. On August 9, 1993 the OPUC issued the</w:t>
      </w:r>
    </w:p>
    <w:p>
      <w:pPr>
        <w:spacing w:after="0" w:line="2" w:lineRule="exact"/>
        <w:rPr>
          <w:sz w:val="20"/>
          <w:szCs w:val="20"/>
          <w:color w:val="auto"/>
        </w:rPr>
      </w:pPr>
    </w:p>
    <w:p>
      <w:pPr>
        <w:ind w:left="80" w:right="2939" w:firstLine="92"/>
        <w:spacing w:after="0" w:line="251" w:lineRule="auto"/>
        <w:rPr>
          <w:sz w:val="20"/>
          <w:szCs w:val="20"/>
          <w:color w:val="auto"/>
        </w:rPr>
      </w:pPr>
      <w:r>
        <w:rPr>
          <w:rFonts w:ascii="Courier New" w:cs="Courier New" w:eastAsia="Courier New" w:hAnsi="Courier New"/>
          <w:sz w:val="15"/>
          <w:szCs w:val="15"/>
          <w:color w:val="auto"/>
        </w:rPr>
        <w:t>declaratory ruling. In its ruling, the OPUC agreed with an opinion issued by the Oregon Department of Justice (Attorney General) stating that under current law, the OPUC has authority to allow recovery of and a return on Trojan investment and future decommissioning costs.</w:t>
      </w:r>
    </w:p>
    <w:p>
      <w:pPr>
        <w:spacing w:after="0" w:line="176" w:lineRule="exact"/>
        <w:rPr>
          <w:sz w:val="20"/>
          <w:szCs w:val="20"/>
          <w:color w:val="auto"/>
        </w:rPr>
      </w:pPr>
    </w:p>
    <w:p>
      <w:pPr>
        <w:ind w:left="80" w:right="2939"/>
        <w:spacing w:after="0" w:line="253" w:lineRule="auto"/>
        <w:rPr>
          <w:sz w:val="20"/>
          <w:szCs w:val="20"/>
          <w:color w:val="auto"/>
        </w:rPr>
      </w:pPr>
      <w:r>
        <w:rPr>
          <w:rFonts w:ascii="Courier New" w:cs="Courier New" w:eastAsia="Courier New" w:hAnsi="Courier New"/>
          <w:sz w:val="15"/>
          <w:szCs w:val="15"/>
          <w:color w:val="auto"/>
        </w:rPr>
        <w:t>UTILITY REFORM PROJECT AND COLLEEN O'NEIL V. OPUC, MULTNOMAH COUNTY OREGON CIRCUIT COURT, MARCH 1995</w:t>
      </w:r>
    </w:p>
    <w:p>
      <w:pPr>
        <w:spacing w:after="0" w:line="174"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URP filed an appeal of the OPUC's order in PGE's general rate case.  Among other  things,  the  OPUC  order  granted   PGE   full   recovery  of  Trojan Decommissioning costs and 87% of its remaining investment in  the  plant.  URP alleges  that  the OPUC lacks authority to allow PGE to recover Trojan  costs through its rates.   The  complaint  seeks to remand the case back to the OPUC</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have all costs related to Trojan immediately removed from PGE's rates.</w:t>
      </w:r>
    </w:p>
    <w:p>
      <w:pPr>
        <w:spacing w:after="0" w:line="185" w:lineRule="exact"/>
        <w:rPr>
          <w:sz w:val="20"/>
          <w:szCs w:val="20"/>
          <w:color w:val="auto"/>
        </w:rPr>
      </w:pPr>
    </w:p>
    <w:p>
      <w:pPr>
        <w:ind w:left="80" w:right="2939" w:firstLine="92"/>
        <w:spacing w:after="0" w:line="253" w:lineRule="auto"/>
        <w:rPr>
          <w:sz w:val="20"/>
          <w:szCs w:val="20"/>
          <w:color w:val="auto"/>
        </w:rPr>
      </w:pPr>
      <w:r>
        <w:rPr>
          <w:rFonts w:ascii="Courier New" w:cs="Courier New" w:eastAsia="Courier New" w:hAnsi="Courier New"/>
          <w:sz w:val="15"/>
          <w:szCs w:val="15"/>
          <w:color w:val="auto"/>
        </w:rPr>
        <w:t>CITIZENS UTILITY BOARD OF OREGON V. PUBLIC UTILITY COMMISSION OF OREGON, MARION COUNTY OREGON CIRCUIT COURT, APRIL 1995</w:t>
      </w:r>
    </w:p>
    <w:p>
      <w:pPr>
        <w:spacing w:after="0" w:line="174"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CUB filed  an  appeal challenging the portion of the OPUC's order in PGE's general rate case authorizing  PGE  to  recover  a  return  on  its  remaining investment in Trojan.  CUB alleges that the OPUC's decision is not based  upon evidence  received in the rate case, is not supported by substantial evidence in the record  of the case, is based on an erroneous interpretation of law and is  outside  the scope  of  the  OPUC's  discretion, and  otherwise  violates constitutional or statutory provisions.  CUB seeks to have the order modified,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vacated, set aside or reversed.</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2"/>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ITEM 4.</w:t>
            </w:r>
          </w:p>
        </w:tc>
        <w:tc>
          <w:tcPr>
            <w:tcW w:w="59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355"/>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None.</w:t>
            </w:r>
          </w:p>
        </w:tc>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32"/>
        </w:trPr>
        <w:tc>
          <w:tcPr>
            <w:tcW w:w="8120" w:type="dxa"/>
            <w:vAlign w:val="bottom"/>
            <w:gridSpan w:val="6"/>
          </w:tcPr>
          <w:p>
            <w:pPr>
              <w:spacing w:after="0"/>
              <w:rPr>
                <w:sz w:val="20"/>
                <w:szCs w:val="20"/>
                <w:color w:val="auto"/>
              </w:rPr>
            </w:pPr>
            <w:r>
              <w:rPr>
                <w:rFonts w:ascii="Courier New" w:cs="Courier New" w:eastAsia="Courier New" w:hAnsi="Courier New"/>
                <w:sz w:val="15"/>
                <w:szCs w:val="15"/>
                <w:color w:val="auto"/>
              </w:rPr>
              <w:t>EXECUTIVE OFFICERS  OF  PORTLAND  GENERAL  CORPORATION  AND  PORTLAND  GENERAL</w:t>
            </w: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77"/>
        </w:trPr>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ELECTRIC (*)</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887"/>
        </w:trPr>
        <w:tc>
          <w:tcPr>
            <w:tcW w:w="920" w:type="dxa"/>
            <w:vAlign w:val="bottom"/>
          </w:tcPr>
          <w:p>
            <w:pPr>
              <w:spacing w:after="0"/>
              <w:rPr>
                <w:sz w:val="24"/>
                <w:szCs w:val="24"/>
                <w:color w:val="auto"/>
              </w:rPr>
            </w:pP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NAME</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AGE</w:t>
            </w:r>
          </w:p>
        </w:tc>
        <w:tc>
          <w:tcPr>
            <w:tcW w:w="1020" w:type="dxa"/>
            <w:vAlign w:val="bottom"/>
          </w:tcPr>
          <w:p>
            <w:pPr>
              <w:spacing w:after="0"/>
              <w:rPr>
                <w:sz w:val="24"/>
                <w:szCs w:val="24"/>
                <w:color w:val="auto"/>
              </w:rPr>
            </w:pPr>
          </w:p>
        </w:tc>
        <w:tc>
          <w:tcPr>
            <w:tcW w:w="2520" w:type="dxa"/>
            <w:vAlign w:val="bottom"/>
          </w:tcPr>
          <w:p>
            <w:pPr>
              <w:ind w:left="1560"/>
              <w:spacing w:after="0"/>
              <w:rPr>
                <w:sz w:val="20"/>
                <w:szCs w:val="20"/>
                <w:color w:val="auto"/>
              </w:rPr>
            </w:pPr>
            <w:r>
              <w:rPr>
                <w:rFonts w:ascii="Courier New" w:cs="Courier New" w:eastAsia="Courier New" w:hAnsi="Courier New"/>
                <w:sz w:val="15"/>
                <w:szCs w:val="15"/>
                <w:color w:val="auto"/>
              </w:rPr>
              <w:t>BUSINESS</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EXPERIENCE</w:t>
            </w: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32"/>
        </w:trPr>
        <w:tc>
          <w:tcPr>
            <w:tcW w:w="920" w:type="dxa"/>
            <w:vAlign w:val="bottom"/>
          </w:tcPr>
          <w:p>
            <w:pPr>
              <w:spacing w:after="0"/>
              <w:rPr>
                <w:sz w:val="20"/>
                <w:szCs w:val="20"/>
                <w:color w:val="auto"/>
              </w:rPr>
            </w:pPr>
            <w:r>
              <w:rPr>
                <w:rFonts w:ascii="Courier New" w:cs="Courier New" w:eastAsia="Courier New" w:hAnsi="Courier New"/>
                <w:sz w:val="15"/>
                <w:szCs w:val="15"/>
                <w:color w:val="auto"/>
              </w:rPr>
              <w:t>PGC/PGE</w:t>
            </w:r>
          </w:p>
        </w:tc>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55"/>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Ken L. Harrison</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w:t>
            </w: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Appointed to current position of Chairman of the Board and Chief Executive</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of the Board, Chief</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Officer on December 1, 1988 and President of Portland General since August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4, 1992.</w:t>
            </w:r>
          </w:p>
        </w:tc>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Served as President of Portland General Electric from June 1987 until</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w:t>
            </w: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September</w:t>
            </w:r>
          </w:p>
        </w:tc>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1989.  Reappointed President of PGE on January 1, 1996.</w:t>
            </w:r>
          </w:p>
        </w:tc>
      </w:tr>
      <w:tr>
        <w:trPr>
          <w:trHeight w:val="532"/>
        </w:trPr>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Alvin Alexanderson</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Appointed</w:t>
            </w:r>
          </w:p>
        </w:tc>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to current position on December 12, 1995.</w:t>
            </w:r>
          </w:p>
        </w:tc>
        <w:tc>
          <w:tcPr>
            <w:tcW w:w="80" w:type="dxa"/>
            <w:vAlign w:val="bottom"/>
          </w:tcPr>
          <w:p>
            <w:pPr>
              <w:spacing w:after="0"/>
              <w:rPr>
                <w:sz w:val="24"/>
                <w:szCs w:val="24"/>
                <w:color w:val="auto"/>
              </w:rPr>
            </w:pPr>
          </w:p>
        </w:tc>
        <w:tc>
          <w:tcPr>
            <w:tcW w:w="32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Served as Vice President,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Rates and</w:t>
            </w:r>
          </w:p>
        </w:tc>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Regulatory Affairs from February 1991 until appointed to current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 Counsel and Secretary</w:t>
            </w: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position.</w:t>
            </w:r>
          </w:p>
        </w:tc>
        <w:tc>
          <w:tcPr>
            <w:tcW w:w="71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Previously served as President of Portland General Exchange from May</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1988 until February 1991.</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355"/>
        </w:trPr>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Joseph M. Hirko</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w:t>
            </w: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Appointed to Senior Vice President on September 12, 1995.  Has served as</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Vice President-Finance, Chief Financial Officer and Chief Accounting Officer</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Financial Officer</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since December 1991.  Served as Treasurer beginning in June 1989.  Served as Vice</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7100" w:type="dxa"/>
            <w:vAlign w:val="bottom"/>
            <w:gridSpan w:val="4"/>
          </w:tcPr>
          <w:p>
            <w:pPr>
              <w:jc w:val="right"/>
              <w:ind w:right="763"/>
              <w:spacing w:after="0"/>
              <w:rPr>
                <w:sz w:val="20"/>
                <w:szCs w:val="20"/>
                <w:color w:val="auto"/>
              </w:rPr>
            </w:pPr>
            <w:r>
              <w:rPr>
                <w:rFonts w:ascii="Courier New" w:cs="Courier New" w:eastAsia="Courier New" w:hAnsi="Courier New"/>
                <w:sz w:val="15"/>
                <w:szCs w:val="15"/>
                <w:color w:val="auto"/>
              </w:rPr>
              <w:t>Portland General Financial Services, Inc. from November 1985 until</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June 1989.</w:t>
            </w: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355"/>
        </w:trPr>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Donald F. Kielblock</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w:t>
            </w:r>
          </w:p>
        </w:tc>
        <w:tc>
          <w:tcPr>
            <w:tcW w:w="48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Appointed to current position on October 4, 1989.</w:t>
            </w:r>
          </w:p>
        </w:tc>
        <w:tc>
          <w:tcPr>
            <w:tcW w:w="332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Previously served as General</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 - PGC/PGE</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Manager, Information Services of PGE until appointed to current position.</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Human Resources</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532"/>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PGE</w:t>
            </w:r>
          </w:p>
        </w:tc>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55"/>
        </w:trPr>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David K. Carboneau</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w:t>
            </w:r>
          </w:p>
        </w:tc>
        <w:tc>
          <w:tcPr>
            <w:tcW w:w="48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Appointed to current position on January 1, 1996.</w:t>
            </w:r>
          </w:p>
        </w:tc>
        <w:tc>
          <w:tcPr>
            <w:tcW w:w="332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Served as Vice President,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Thermal and Power Operations from September 12, 1995 until appointed to current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Information Technology</w:t>
            </w: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position.</w:t>
            </w:r>
          </w:p>
        </w:tc>
        <w:tc>
          <w:tcPr>
            <w:tcW w:w="71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Previously served as Vice President, Administration from October 1992</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to September 1995.  Served as Vice President, Information Resources from October</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1989 to October 1992.  For four years prior to October 1989, served as an executive</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officer of PGE.</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355"/>
        </w:trPr>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Richard E. Dyer</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Appointed</w:t>
            </w:r>
          </w:p>
        </w:tc>
        <w:tc>
          <w:tcPr>
            <w:tcW w:w="38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to  current  position  on  September  12,</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1995.   Previously served as Vice</w:t>
            </w:r>
          </w:p>
        </w:tc>
      </w:tr>
      <w:tr>
        <w:trPr>
          <w:trHeight w:val="177"/>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Senior</w:t>
            </w: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President and General Manager of Power Resources and Marketing from August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Power Supply</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1994 until appointed to current position.  Served as Vice President, PGE Marketing</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and Supply from July 1991 to August 1994.  Served as PGC Vice President and</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Assistant to the Chairman of the Board from October 1990 until July 1991.</w:t>
            </w:r>
          </w:p>
        </w:tc>
      </w:tr>
      <w:tr>
        <w:trPr>
          <w:trHeight w:val="355"/>
        </w:trPr>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Peggy Y. Fowler</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w:t>
            </w:r>
          </w:p>
        </w:tc>
        <w:tc>
          <w:tcPr>
            <w:tcW w:w="48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Appointed to current position on September 12, 1995.</w:t>
            </w:r>
          </w:p>
        </w:tc>
        <w:tc>
          <w:tcPr>
            <w:tcW w:w="32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Served as Vice President,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Distribution and Power Production from January 1990 until appointed to current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Energy Services</w:t>
            </w: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position.</w:t>
            </w:r>
          </w:p>
        </w:tc>
        <w:tc>
          <w:tcPr>
            <w:tcW w:w="71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Served as General Manager, Hydro Production and Transmission from</w:t>
            </w:r>
          </w:p>
        </w:tc>
      </w:tr>
      <w:tr>
        <w:trPr>
          <w:trHeight w:val="177"/>
        </w:trPr>
        <w:tc>
          <w:tcPr>
            <w:tcW w:w="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September 1989 to January 1990.</w:t>
            </w: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355"/>
        </w:trPr>
        <w:tc>
          <w:tcPr>
            <w:tcW w:w="2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Frederick D. Miller</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w:t>
            </w:r>
          </w:p>
        </w:tc>
        <w:tc>
          <w:tcPr>
            <w:tcW w:w="48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Appointed to current position on October 15, 1992.</w:t>
            </w:r>
          </w:p>
        </w:tc>
        <w:tc>
          <w:tcPr>
            <w:tcW w:w="80" w:type="dxa"/>
            <w:vAlign w:val="bottom"/>
          </w:tcPr>
          <w:p>
            <w:pPr>
              <w:spacing w:after="0"/>
              <w:rPr>
                <w:sz w:val="24"/>
                <w:szCs w:val="24"/>
                <w:color w:val="auto"/>
              </w:rPr>
            </w:pPr>
          </w:p>
        </w:tc>
        <w:tc>
          <w:tcPr>
            <w:tcW w:w="324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Served as Director  of</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420" w:type="dxa"/>
            <w:vAlign w:val="bottom"/>
          </w:tcPr>
          <w:p>
            <w:pPr>
              <w:spacing w:after="0"/>
              <w:rPr>
                <w:sz w:val="15"/>
                <w:szCs w:val="15"/>
                <w:color w:val="auto"/>
              </w:rPr>
            </w:pPr>
          </w:p>
        </w:tc>
        <w:tc>
          <w:tcPr>
            <w:tcW w:w="81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Executive Department, State of Oregon, from 1987 until appointed to current</w:t>
            </w:r>
          </w:p>
        </w:tc>
      </w:tr>
      <w:tr>
        <w:trPr>
          <w:trHeight w:val="177"/>
        </w:trPr>
        <w:tc>
          <w:tcPr>
            <w:tcW w:w="2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Public Affairs and Corporate</w:t>
            </w:r>
          </w:p>
        </w:tc>
        <w:tc>
          <w:tcPr>
            <w:tcW w:w="42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position.</w:t>
            </w: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177"/>
        </w:trPr>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Services</w:t>
            </w: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right="4440" w:hanging="1"/>
        <w:spacing w:after="0" w:line="252" w:lineRule="auto"/>
        <w:tabs>
          <w:tab w:leader="none" w:pos="64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are listed as of January 31, 1996. The officers are elected to serve for a term of one year or until their successors are elected and qualified.</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440"/>
          </w:cols>
          <w:pgMar w:left="240" w:top="650" w:right="219" w:bottom="1440" w:gutter="0" w:footer="0" w:header="0"/>
        </w:sectPr>
      </w:pPr>
    </w:p>
    <w:bookmarkStart w:id="23" w:name="page24"/>
    <w:bookmarkEnd w:id="23"/>
    <w:p>
      <w:pPr>
        <w:ind w:left="3240"/>
        <w:spacing w:after="0"/>
        <w:rPr>
          <w:sz w:val="20"/>
          <w:szCs w:val="20"/>
          <w:color w:val="auto"/>
        </w:rPr>
      </w:pPr>
      <w:r>
        <w:rPr>
          <w:rFonts w:ascii="Courier New" w:cs="Courier New" w:eastAsia="Courier New" w:hAnsi="Courier New"/>
          <w:sz w:val="15"/>
          <w:szCs w:val="15"/>
          <w:color w:val="auto"/>
        </w:rPr>
        <w:t>Part II</w:t>
      </w:r>
    </w:p>
    <w:p>
      <w:pPr>
        <w:spacing w:after="0" w:line="200" w:lineRule="exact"/>
        <w:rPr>
          <w:sz w:val="20"/>
          <w:szCs w:val="20"/>
          <w:color w:val="auto"/>
        </w:rPr>
      </w:pPr>
    </w:p>
    <w:p>
      <w:pPr>
        <w:spacing w:after="0" w:line="34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5.</w:t>
        <w:tab/>
        <w:t>MARKET FOR REGISTRANT'S COMMON EQUITY AND RELATED</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STOCKHOLDER MATTERS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CORPORATION</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Portland  General's  common  stock is publicly held and traded on the New York and Pacific Stock Exchanges.   The  table  below  reflects  the  dividends  on Portland General's common stock and the stock price ranges as reported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WALL STREET JOURNAL for 1995 and 1994.</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spacing w:after="0"/>
              <w:rPr>
                <w:sz w:val="14"/>
                <w:szCs w:val="14"/>
                <w:color w:val="auto"/>
              </w:rPr>
            </w:pPr>
          </w:p>
        </w:tc>
      </w:tr>
      <w:tr>
        <w:trPr>
          <w:trHeight w:val="177"/>
        </w:trPr>
        <w:tc>
          <w:tcPr>
            <w:tcW w:w="158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1ST</w:t>
            </w: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2ND</w:t>
            </w:r>
          </w:p>
        </w:tc>
        <w:tc>
          <w:tcPr>
            <w:tcW w:w="880" w:type="dxa"/>
            <w:vAlign w:val="bottom"/>
          </w:tcPr>
          <w:p>
            <w:pPr>
              <w:ind w:left="420"/>
              <w:spacing w:after="0"/>
              <w:rPr>
                <w:sz w:val="20"/>
                <w:szCs w:val="20"/>
                <w:color w:val="auto"/>
              </w:rPr>
            </w:pPr>
            <w:r>
              <w:rPr>
                <w:rFonts w:ascii="Courier New" w:cs="Courier New" w:eastAsia="Courier New" w:hAnsi="Courier New"/>
                <w:sz w:val="15"/>
                <w:szCs w:val="15"/>
                <w:color w:val="auto"/>
              </w:rPr>
              <w:t>3RD</w:t>
            </w: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4TH</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1ST</w:t>
            </w:r>
          </w:p>
        </w:tc>
        <w:tc>
          <w:tcPr>
            <w:tcW w:w="700" w:type="dxa"/>
            <w:vAlign w:val="bottom"/>
          </w:tcPr>
          <w:p>
            <w:pPr>
              <w:ind w:left="240"/>
              <w:spacing w:after="0"/>
              <w:rPr>
                <w:sz w:val="20"/>
                <w:szCs w:val="20"/>
                <w:color w:val="auto"/>
              </w:rPr>
            </w:pPr>
            <w:r>
              <w:rPr>
                <w:rFonts w:ascii="Courier New" w:cs="Courier New" w:eastAsia="Courier New" w:hAnsi="Courier New"/>
                <w:sz w:val="15"/>
                <w:szCs w:val="15"/>
                <w:color w:val="auto"/>
              </w:rPr>
              <w:t>2ND</w:t>
            </w:r>
          </w:p>
        </w:tc>
        <w:tc>
          <w:tcPr>
            <w:tcW w:w="960" w:type="dxa"/>
            <w:vAlign w:val="bottom"/>
          </w:tcPr>
          <w:p>
            <w:pPr>
              <w:ind w:left="360"/>
              <w:spacing w:after="0"/>
              <w:rPr>
                <w:sz w:val="20"/>
                <w:szCs w:val="20"/>
                <w:color w:val="auto"/>
              </w:rPr>
            </w:pPr>
            <w:r>
              <w:rPr>
                <w:rFonts w:ascii="Courier New" w:cs="Courier New" w:eastAsia="Courier New" w:hAnsi="Courier New"/>
                <w:sz w:val="15"/>
                <w:szCs w:val="15"/>
                <w:color w:val="auto"/>
              </w:rPr>
              <w:t>3RD</w:t>
            </w:r>
          </w:p>
        </w:tc>
        <w:tc>
          <w:tcPr>
            <w:tcW w:w="700" w:type="dxa"/>
            <w:vAlign w:val="bottom"/>
          </w:tcPr>
          <w:p>
            <w:pPr>
              <w:ind w:left="240"/>
              <w:spacing w:after="0"/>
              <w:rPr>
                <w:sz w:val="20"/>
                <w:szCs w:val="20"/>
                <w:color w:val="auto"/>
              </w:rPr>
            </w:pPr>
            <w:r>
              <w:rPr>
                <w:rFonts w:ascii="Courier New" w:cs="Courier New" w:eastAsia="Courier New" w:hAnsi="Courier New"/>
                <w:sz w:val="15"/>
                <w:szCs w:val="15"/>
                <w:color w:val="auto"/>
              </w:rPr>
              <w:t>4TH</w:t>
            </w:r>
          </w:p>
        </w:tc>
      </w:tr>
      <w:tr>
        <w:trPr>
          <w:trHeight w:val="532"/>
        </w:trPr>
        <w:tc>
          <w:tcPr>
            <w:tcW w:w="158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20-7/8</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23-1/4</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25-3/4</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29-1/4</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20-1/2</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18-7/8</w:t>
            </w: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18-1/4</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19-3/4</w:t>
            </w:r>
          </w:p>
        </w:tc>
      </w:tr>
      <w:tr>
        <w:trPr>
          <w:trHeight w:val="355"/>
        </w:trPr>
        <w:tc>
          <w:tcPr>
            <w:tcW w:w="158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18-7/8</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20-1/4</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21-5/8</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25-1/4</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17-1/4</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16-3/8</w:t>
            </w: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16-1/2</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16-1/2</w:t>
            </w:r>
          </w:p>
        </w:tc>
      </w:tr>
      <w:tr>
        <w:trPr>
          <w:trHeight w:val="355"/>
        </w:trPr>
        <w:tc>
          <w:tcPr>
            <w:tcW w:w="1580" w:type="dxa"/>
            <w:vAlign w:val="bottom"/>
          </w:tcPr>
          <w:p>
            <w:pPr>
              <w:spacing w:after="0"/>
              <w:rPr>
                <w:sz w:val="20"/>
                <w:szCs w:val="20"/>
                <w:color w:val="auto"/>
              </w:rPr>
            </w:pPr>
            <w:r>
              <w:rPr>
                <w:rFonts w:ascii="Courier New" w:cs="Courier New" w:eastAsia="Courier New" w:hAnsi="Courier New"/>
                <w:sz w:val="15"/>
                <w:szCs w:val="15"/>
                <w:color w:val="auto"/>
              </w:rPr>
              <w:t>Closing price</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20-7/8</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22-3/8</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25-5/8</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29-1/8</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17-1/2</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17</w:t>
            </w: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16-7/8</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19-1/4</w:t>
            </w:r>
          </w:p>
        </w:tc>
      </w:tr>
      <w:tr>
        <w:trPr>
          <w:trHeight w:val="355"/>
        </w:trPr>
        <w:tc>
          <w:tcPr>
            <w:tcW w:w="1580" w:type="dxa"/>
            <w:vAlign w:val="bottom"/>
          </w:tcPr>
          <w:p>
            <w:pPr>
              <w:spacing w:after="0"/>
              <w:rPr>
                <w:sz w:val="20"/>
                <w:szCs w:val="20"/>
                <w:color w:val="auto"/>
              </w:rPr>
            </w:pPr>
            <w:r>
              <w:rPr>
                <w:rFonts w:ascii="Courier New" w:cs="Courier New" w:eastAsia="Courier New" w:hAnsi="Courier New"/>
                <w:sz w:val="15"/>
                <w:szCs w:val="15"/>
                <w:color w:val="auto"/>
              </w:rPr>
              <w:t>Cash dividends</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7"/>
        </w:trPr>
        <w:tc>
          <w:tcPr>
            <w:tcW w:w="1580" w:type="dxa"/>
            <w:vAlign w:val="bottom"/>
          </w:tcPr>
          <w:p>
            <w:pPr>
              <w:spacing w:after="0"/>
              <w:rPr>
                <w:sz w:val="20"/>
                <w:szCs w:val="20"/>
                <w:color w:val="auto"/>
              </w:rPr>
            </w:pPr>
            <w:r>
              <w:rPr>
                <w:rFonts w:ascii="Courier New" w:cs="Courier New" w:eastAsia="Courier New" w:hAnsi="Courier New"/>
                <w:sz w:val="15"/>
                <w:szCs w:val="15"/>
                <w:color w:val="auto"/>
              </w:rPr>
              <w:t>declared (cents)</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30</w:t>
            </w:r>
          </w:p>
        </w:tc>
      </w:tr>
      <w:tr>
        <w:trPr>
          <w:trHeight w:val="71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The  approximate</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shareholders</w:t>
            </w:r>
          </w:p>
        </w:tc>
        <w:tc>
          <w:tcPr>
            <w:tcW w:w="33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of  record as of December 31, l995</w:t>
            </w:r>
          </w:p>
        </w:tc>
        <w:tc>
          <w:tcPr>
            <w:tcW w:w="700" w:type="dxa"/>
            <w:vAlign w:val="bottom"/>
          </w:tcPr>
          <w:p>
            <w:pPr>
              <w:spacing w:after="0"/>
              <w:rPr>
                <w:sz w:val="24"/>
                <w:szCs w:val="24"/>
                <w:color w:val="auto"/>
              </w:rPr>
            </w:pPr>
          </w:p>
        </w:tc>
      </w:tr>
      <w:tr>
        <w:trPr>
          <w:trHeight w:val="177"/>
        </w:trPr>
        <w:tc>
          <w:tcPr>
            <w:tcW w:w="1580" w:type="dxa"/>
            <w:vAlign w:val="bottom"/>
          </w:tcPr>
          <w:p>
            <w:pPr>
              <w:spacing w:after="0"/>
              <w:rPr>
                <w:sz w:val="20"/>
                <w:szCs w:val="20"/>
                <w:color w:val="auto"/>
              </w:rPr>
            </w:pPr>
            <w:r>
              <w:rPr>
                <w:rFonts w:ascii="Courier New" w:cs="Courier New" w:eastAsia="Courier New" w:hAnsi="Courier New"/>
                <w:sz w:val="15"/>
                <w:szCs w:val="15"/>
                <w:color w:val="auto"/>
              </w:rPr>
              <w:t>was 42,051.</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185" w:lineRule="exact"/>
        <w:rPr>
          <w:sz w:val="20"/>
          <w:szCs w:val="20"/>
          <w:color w:val="auto"/>
        </w:rPr>
      </w:pPr>
    </w:p>
    <w:p>
      <w:pPr>
        <w:jc w:val="both"/>
        <w:ind w:right="2939"/>
        <w:spacing w:after="0" w:line="252" w:lineRule="auto"/>
        <w:rPr>
          <w:sz w:val="20"/>
          <w:szCs w:val="20"/>
          <w:color w:val="auto"/>
        </w:rPr>
      </w:pPr>
      <w:r>
        <w:rPr>
          <w:rFonts w:ascii="Courier New" w:cs="Courier New" w:eastAsia="Courier New" w:hAnsi="Courier New"/>
          <w:sz w:val="15"/>
          <w:szCs w:val="15"/>
          <w:color w:val="auto"/>
        </w:rPr>
        <w:t>PGE is a wholly owned subsidiary of Portland General. PGE's common stock is not publicly traded. Aggregate cash dividends declared on common stock were as follows (thousands of dollars):</w:t>
      </w:r>
    </w:p>
    <w:p>
      <w:pPr>
        <w:spacing w:after="0" w:line="175" w:lineRule="exact"/>
        <w:rPr>
          <w:sz w:val="20"/>
          <w:szCs w:val="20"/>
          <w:color w:val="auto"/>
        </w:rPr>
      </w:pPr>
    </w:p>
    <w:tbl>
      <w:tblPr>
        <w:tblLayout w:type="fixed"/>
        <w:tblInd w:w="2040" w:type="dxa"/>
        <w:tblCellMar>
          <w:top w:w="0" w:type="dxa"/>
          <w:left w:w="0" w:type="dxa"/>
          <w:bottom w:w="0" w:type="dxa"/>
          <w:right w:w="0" w:type="dxa"/>
        </w:tblCellMar>
      </w:tblP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$11,545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$15,393</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11,545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15,393</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13,682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12,828</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13,684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12,828</w:t>
            </w:r>
          </w:p>
        </w:tc>
      </w:tr>
    </w:tbl>
    <w:p>
      <w:pPr>
        <w:spacing w:after="0" w:line="183" w:lineRule="exact"/>
        <w:rPr>
          <w:sz w:val="20"/>
          <w:szCs w:val="20"/>
          <w:color w:val="auto"/>
        </w:rPr>
      </w:pPr>
    </w:p>
    <w:p>
      <w:pPr>
        <w:ind w:left="100" w:right="2939"/>
        <w:spacing w:after="0" w:line="250" w:lineRule="auto"/>
        <w:rPr>
          <w:sz w:val="20"/>
          <w:szCs w:val="20"/>
          <w:color w:val="auto"/>
        </w:rPr>
      </w:pPr>
      <w:r>
        <w:rPr>
          <w:rFonts w:ascii="Courier New" w:cs="Courier New" w:eastAsia="Courier New" w:hAnsi="Courier New"/>
          <w:sz w:val="15"/>
          <w:szCs w:val="15"/>
          <w:color w:val="auto"/>
        </w:rPr>
        <w:t>PGE is restricted, without prior OPUC approval, from making any dividend distributions to Portland General that would reduce PGE's common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below 36% of total capitalization.</w:t>
      </w:r>
    </w:p>
    <w:p>
      <w:pPr>
        <w:spacing w:after="0" w:line="200" w:lineRule="exact"/>
        <w:rPr>
          <w:sz w:val="20"/>
          <w:szCs w:val="20"/>
          <w:color w:val="auto"/>
        </w:r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828" w:right="1440" w:bottom="1440" w:gutter="0" w:footer="0" w:header="0"/>
        </w:sectPr>
      </w:pPr>
    </w:p>
    <w:bookmarkStart w:id="24" w:name="page25"/>
    <w:bookmarkEnd w:id="24"/>
    <w:p>
      <w:pPr>
        <w:spacing w:after="0"/>
        <w:tabs>
          <w:tab w:leader="none" w:pos="11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PORTLAND GENERAL CORPORATION</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710"/>
        </w:trPr>
        <w:tc>
          <w:tcPr>
            <w:tcW w:w="2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0" w:type="dxa"/>
            <w:vAlign w:val="bottom"/>
            <w:gridSpan w:val="3"/>
          </w:tcPr>
          <w:p>
            <w:pPr>
              <w:jc w:val="right"/>
              <w:ind w:right="763"/>
              <w:spacing w:after="0"/>
              <w:rPr>
                <w:sz w:val="20"/>
                <w:szCs w:val="20"/>
                <w:color w:val="auto"/>
              </w:rPr>
            </w:pPr>
            <w:r>
              <w:rPr>
                <w:rFonts w:ascii="Courier New" w:cs="Courier New" w:eastAsia="Courier New" w:hAnsi="Courier New"/>
                <w:sz w:val="15"/>
                <w:szCs w:val="15"/>
                <w:color w:val="auto"/>
              </w:rPr>
              <w:t>FOR THE YEARS ENDED DECEMBER 31</w:t>
            </w:r>
          </w:p>
        </w:tc>
        <w:tc>
          <w:tcPr>
            <w:tcW w:w="1280" w:type="dxa"/>
            <w:vAlign w:val="bottom"/>
          </w:tcPr>
          <w:p>
            <w:pPr>
              <w:spacing w:after="0"/>
              <w:rPr>
                <w:sz w:val="24"/>
                <w:szCs w:val="24"/>
                <w:color w:val="auto"/>
              </w:rPr>
            </w:pPr>
          </w:p>
        </w:tc>
      </w:tr>
      <w:tr>
        <w:trPr>
          <w:trHeight w:val="177"/>
        </w:trPr>
        <w:tc>
          <w:tcPr>
            <w:tcW w:w="2860" w:type="dxa"/>
            <w:vAlign w:val="bottom"/>
          </w:tcPr>
          <w:p>
            <w:pPr>
              <w:spacing w:after="0"/>
              <w:rPr>
                <w:sz w:val="15"/>
                <w:szCs w:val="15"/>
                <w:color w:val="auto"/>
              </w:rPr>
            </w:pPr>
          </w:p>
        </w:tc>
        <w:tc>
          <w:tcPr>
            <w:tcW w:w="14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1995</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1993</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1992</w:t>
            </w: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1991</w:t>
            </w:r>
          </w:p>
        </w:tc>
      </w:tr>
      <w:tr>
        <w:trPr>
          <w:trHeight w:val="177"/>
        </w:trPr>
        <w:tc>
          <w:tcPr>
            <w:tcW w:w="2860" w:type="dxa"/>
            <w:vAlign w:val="bottom"/>
          </w:tcPr>
          <w:p>
            <w:pPr>
              <w:spacing w:after="0"/>
              <w:rPr>
                <w:sz w:val="15"/>
                <w:szCs w:val="15"/>
                <w:color w:val="auto"/>
              </w:rPr>
            </w:pPr>
          </w:p>
        </w:tc>
        <w:tc>
          <w:tcPr>
            <w:tcW w:w="5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(thousands of dollars except per share amounts)</w:t>
            </w:r>
          </w:p>
        </w:tc>
        <w:tc>
          <w:tcPr>
            <w:tcW w:w="1280" w:type="dxa"/>
            <w:vAlign w:val="bottom"/>
          </w:tcPr>
          <w:p>
            <w:pPr>
              <w:spacing w:after="0"/>
              <w:rPr>
                <w:sz w:val="15"/>
                <w:szCs w:val="15"/>
                <w:color w:val="auto"/>
              </w:rPr>
            </w:pPr>
          </w:p>
        </w:tc>
      </w:tr>
      <w:tr>
        <w:trPr>
          <w:trHeight w:val="532"/>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$983,582</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$959,409</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$946,829</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$883,266</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$889,876</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195,576</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154,296</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158,181</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163,500</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136,531</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Operations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81,036{1}</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93,058</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89,118</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89,623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(20,698){2}</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Gain (loss) from Discontinued</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Operations{3}</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6,472</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(29,169)</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$ 81,036{1}</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$ 99,530</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$ 89,118</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$ 89,623</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$(49,867)</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Earnings (loss) per Average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Common Share</w:t>
            </w: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7"/>
        </w:trPr>
        <w:tc>
          <w:tcPr>
            <w:tcW w:w="2860" w:type="dxa"/>
            <w:vAlign w:val="bottom"/>
          </w:tcPr>
          <w:p>
            <w:pPr>
              <w:ind w:left="200"/>
              <w:spacing w:after="0"/>
              <w:rPr>
                <w:sz w:val="20"/>
                <w:szCs w:val="20"/>
                <w:color w:val="auto"/>
              </w:rPr>
            </w:pPr>
            <w:r>
              <w:rPr>
                <w:rFonts w:ascii="Courier New" w:cs="Courier New" w:eastAsia="Courier New" w:hAnsi="Courier New"/>
                <w:sz w:val="15"/>
                <w:szCs w:val="15"/>
                <w:color w:val="auto"/>
              </w:rPr>
              <w:t>Continuing Operations</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$ 1.60</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$ 1.86</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$ 1.88</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$ 1.93{4}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(.43){4}</w:t>
            </w:r>
          </w:p>
        </w:tc>
      </w:tr>
      <w:tr>
        <w:trPr>
          <w:trHeight w:val="177"/>
        </w:trPr>
        <w:tc>
          <w:tcPr>
            <w:tcW w:w="2860" w:type="dxa"/>
            <w:vAlign w:val="bottom"/>
          </w:tcPr>
          <w:p>
            <w:pPr>
              <w:ind w:left="200"/>
              <w:spacing w:after="0"/>
              <w:rPr>
                <w:sz w:val="20"/>
                <w:szCs w:val="20"/>
                <w:color w:val="auto"/>
              </w:rPr>
            </w:pPr>
            <w:r>
              <w:rPr>
                <w:rFonts w:ascii="Courier New" w:cs="Courier New" w:eastAsia="Courier New" w:hAnsi="Courier New"/>
                <w:sz w:val="15"/>
                <w:szCs w:val="15"/>
                <w:color w:val="auto"/>
              </w:rPr>
              <w:t>Discontinued Operations{3}</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(.63)</w:t>
            </w:r>
          </w:p>
        </w:tc>
      </w:tr>
      <w:tr>
        <w:trPr>
          <w:trHeight w:val="355"/>
        </w:trPr>
        <w:tc>
          <w:tcPr>
            <w:tcW w:w="2860" w:type="dxa"/>
            <w:vAlign w:val="bottom"/>
          </w:tcPr>
          <w:p>
            <w:pPr>
              <w:spacing w:after="0"/>
              <w:rPr>
                <w:sz w:val="24"/>
                <w:szCs w:val="24"/>
                <w:color w:val="auto"/>
              </w:rPr>
            </w:pP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$ 1.60</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$ 1.99</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$ 1.88</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$ 1.93{4}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$(1.06){4}</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7"/>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per Common Share</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$ 1.20</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$ 1.20</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$ 1.20</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$ 1.20</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$ 1.20</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$3,448,017</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$3,559,271</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$3,449,328</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$3,140,625</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$3,092,596</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Long-Term Obligations{5}</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930,556</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885,814</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912,994</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937,938</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967,968</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0" w:type="dxa"/>
            <w:vAlign w:val="bottom"/>
            <w:gridSpan w:val="4"/>
          </w:tcPr>
          <w:p>
            <w:pPr>
              <w:jc w:val="right"/>
              <w:ind w:right="443"/>
              <w:spacing w:after="0"/>
              <w:rPr>
                <w:sz w:val="20"/>
                <w:szCs w:val="20"/>
                <w:color w:val="auto"/>
              </w:rPr>
            </w:pPr>
            <w:r>
              <w:rPr>
                <w:rFonts w:ascii="Courier New" w:cs="Courier New" w:eastAsia="Courier New" w:hAnsi="Courier New"/>
                <w:sz w:val="15"/>
                <w:szCs w:val="15"/>
                <w:color w:val="auto"/>
              </w:rPr>
              <w:t>FOR THE YEARS ENDED DECEMBER 31</w:t>
            </w:r>
          </w:p>
        </w:tc>
        <w:tc>
          <w:tcPr>
            <w:tcW w:w="1060" w:type="dxa"/>
            <w:vAlign w:val="bottom"/>
          </w:tcPr>
          <w:p>
            <w:pPr>
              <w:spacing w:after="0"/>
              <w:rPr>
                <w:sz w:val="14"/>
                <w:szCs w:val="14"/>
                <w:color w:val="auto"/>
              </w:rPr>
            </w:pPr>
          </w:p>
        </w:tc>
      </w:tr>
      <w:tr>
        <w:trPr>
          <w:trHeight w:val="177"/>
        </w:trPr>
        <w:tc>
          <w:tcPr>
            <w:tcW w:w="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8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56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1993</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1991</w:t>
            </w:r>
          </w:p>
        </w:tc>
      </w:tr>
      <w:tr>
        <w:trPr>
          <w:trHeight w:val="177"/>
        </w:trPr>
        <w:tc>
          <w:tcPr>
            <w:tcW w:w="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0" w:type="dxa"/>
            <w:vAlign w:val="bottom"/>
            <w:gridSpan w:val="4"/>
          </w:tcPr>
          <w:p>
            <w:pPr>
              <w:jc w:val="right"/>
              <w:ind w:right="803"/>
              <w:spacing w:after="0"/>
              <w:rPr>
                <w:sz w:val="20"/>
                <w:szCs w:val="20"/>
                <w:color w:val="auto"/>
              </w:rPr>
            </w:pPr>
            <w:r>
              <w:rPr>
                <w:rFonts w:ascii="Courier New" w:cs="Courier New" w:eastAsia="Courier New" w:hAnsi="Courier New"/>
                <w:sz w:val="15"/>
                <w:szCs w:val="15"/>
                <w:color w:val="auto"/>
              </w:rPr>
              <w:t>(thousands of dollars)</w:t>
            </w:r>
          </w:p>
        </w:tc>
        <w:tc>
          <w:tcPr>
            <w:tcW w:w="1060" w:type="dxa"/>
            <w:vAlign w:val="bottom"/>
          </w:tcPr>
          <w:p>
            <w:pPr>
              <w:spacing w:after="0"/>
              <w:rPr>
                <w:sz w:val="15"/>
                <w:szCs w:val="15"/>
                <w:color w:val="auto"/>
              </w:rPr>
            </w:pPr>
          </w:p>
        </w:tc>
      </w:tr>
      <w:tr>
        <w:trPr>
          <w:trHeight w:val="53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$981,628</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$958,955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$944,531</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$880,098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$885,578</w:t>
            </w:r>
          </w:p>
        </w:tc>
      </w:tr>
      <w:tr>
        <w:trPr>
          <w:trHeight w:val="177"/>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Net Operating Income</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195,186</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153,208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154,200</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160,037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139,257</w:t>
            </w:r>
          </w:p>
        </w:tc>
      </w:tr>
      <w:tr>
        <w:trPr>
          <w:trHeight w:val="177"/>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92,787{1}</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106,118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99,744</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105,562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74,075</w:t>
            </w:r>
          </w:p>
        </w:tc>
      </w:tr>
      <w:tr>
        <w:trPr>
          <w:trHeight w:val="355"/>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$3,245,597</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$3,354,151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$3,226,674</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$2,920,980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$2,912,254</w:t>
            </w:r>
          </w:p>
        </w:tc>
      </w:tr>
      <w:tr>
        <w:trPr>
          <w:trHeight w:val="177"/>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Long-Term Obligations{5}</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930,556</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855,814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872,994</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887,938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887,952</w:t>
            </w:r>
          </w:p>
        </w:tc>
      </w:tr>
      <w:tr>
        <w:trPr>
          <w:trHeight w:val="887"/>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NOTES TO THE TABLES ABOVE:</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600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Includes a loss of $50 million from regulatory disallowances.</w:t>
            </w: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0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Includes a loss of $74 million from independent power.</w:t>
            </w: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44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Reflects the results of real estate operations</w:t>
            </w:r>
          </w:p>
        </w:tc>
        <w:tc>
          <w:tcPr>
            <w:tcW w:w="2820" w:type="dxa"/>
            <w:vAlign w:val="bottom"/>
            <w:gridSpan w:val="3"/>
          </w:tcPr>
          <w:p>
            <w:pPr>
              <w:jc w:val="right"/>
              <w:ind w:right="703"/>
              <w:spacing w:after="0"/>
              <w:rPr>
                <w:sz w:val="20"/>
                <w:szCs w:val="20"/>
                <w:color w:val="auto"/>
              </w:rPr>
            </w:pPr>
            <w:r>
              <w:rPr>
                <w:rFonts w:ascii="Courier New" w:cs="Courier New" w:eastAsia="Courier New" w:hAnsi="Courier New"/>
                <w:sz w:val="15"/>
                <w:szCs w:val="15"/>
                <w:color w:val="auto"/>
              </w:rPr>
              <w:t>which Portland General</w:t>
            </w:r>
          </w:p>
        </w:tc>
        <w:tc>
          <w:tcPr>
            <w:tcW w:w="1060" w:type="dxa"/>
            <w:vAlign w:val="bottom"/>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discontinued in 1989.</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0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Includes $.02 for tax benefits from ESOP dividends.</w:t>
            </w: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44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Includes long-term debt, preferred stock subject</w:t>
            </w:r>
          </w:p>
        </w:tc>
        <w:tc>
          <w:tcPr>
            <w:tcW w:w="5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to</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mandatory</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redemption</w:t>
            </w:r>
          </w:p>
        </w:tc>
        <w:tc>
          <w:tcPr>
            <w:tcW w:w="1060" w:type="dxa"/>
            <w:vAlign w:val="bottom"/>
          </w:tcPr>
          <w:p>
            <w:pPr>
              <w:spacing w:after="0"/>
              <w:rPr>
                <w:sz w:val="15"/>
                <w:szCs w:val="15"/>
                <w:color w:val="auto"/>
              </w:rPr>
            </w:pPr>
          </w:p>
        </w:tc>
      </w:tr>
      <w:tr>
        <w:trPr>
          <w:trHeight w:val="177"/>
        </w:trPr>
        <w:tc>
          <w:tcPr>
            <w:tcW w:w="140" w:type="dxa"/>
            <w:vAlign w:val="bottom"/>
          </w:tcPr>
          <w:p>
            <w:pPr>
              <w:spacing w:after="0"/>
              <w:rPr>
                <w:sz w:val="15"/>
                <w:szCs w:val="15"/>
                <w:color w:val="auto"/>
              </w:rPr>
            </w:pPr>
          </w:p>
        </w:tc>
        <w:tc>
          <w:tcPr>
            <w:tcW w:w="50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requirements and long-term capital lease obligations.</w:t>
            </w: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887"/>
        </w:trPr>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139"/>
          </w:cols>
          <w:pgMar w:left="320" w:top="650" w:right="1440" w:bottom="1440" w:gutter="0" w:footer="0" w:header="0"/>
        </w:sectPr>
      </w:pPr>
    </w:p>
    <w:bookmarkStart w:id="25" w:name="page26"/>
    <w:bookmarkEnd w:id="25"/>
    <w:p>
      <w:pPr>
        <w:ind w:left="80"/>
        <w:spacing w:after="0"/>
        <w:tabs>
          <w:tab w:leader="none" w:pos="11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3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Portland General reported 1995 earnings of $81 million or $1.60 per share, compared to $100 million or $1.99 per share for 1994. 1995 results include a $50 million after-tax charge to income related to the OPUC's rate orders disallowing certain deferred power costs and 13% of PGE's remaining investment</w:t>
      </w:r>
    </w:p>
    <w:p>
      <w:pPr>
        <w:spacing w:after="0" w:line="2" w:lineRule="exact"/>
        <w:rPr>
          <w:sz w:val="20"/>
          <w:szCs w:val="20"/>
          <w:color w:val="auto"/>
        </w:rPr>
      </w:pPr>
    </w:p>
    <w:p>
      <w:pPr>
        <w:ind w:left="80" w:right="2939" w:firstLine="92"/>
        <w:spacing w:after="0" w:line="251" w:lineRule="auto"/>
        <w:rPr>
          <w:sz w:val="20"/>
          <w:szCs w:val="20"/>
          <w:color w:val="auto"/>
        </w:rPr>
      </w:pPr>
      <w:r>
        <w:rPr>
          <w:rFonts w:ascii="Courier New" w:cs="Courier New" w:eastAsia="Courier New" w:hAnsi="Courier New"/>
          <w:sz w:val="15"/>
          <w:szCs w:val="15"/>
          <w:color w:val="auto"/>
        </w:rPr>
        <w:t>in Trojan. 1994 earnings include the restoration to income of $6 million, after tax, of previously recorded real estate reserves. Excluding the effect of the regulatory disallowances, income from continuing operations would have been $131 million compared to $93 million in 1994.</w:t>
      </w:r>
    </w:p>
    <w:p>
      <w:pPr>
        <w:spacing w:after="0" w:line="176"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PGE ACCOUNTS FOR SUBSTANTIALLY ALL OF PORTLAND GENERAL'S ASSETS, REVENUES AND NET INCOME. THE FOLLOWING DISCUSSION FOCUSES ON PGE UTILITY OPERATIONS, UNLESS OTHERWISE NOTED.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1995 COMPARED TO 1994</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Strong operating earnings reflected the benefits of low variable  power  costs due to improved hydro conditions,  lower natural gas prices and a competitive wholesale  market.  The Company also benefited from continued sales growth and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 retail price increase.</w:t>
      </w:r>
    </w:p>
    <w:p>
      <w:pPr>
        <w:spacing w:after="0" w:line="185" w:lineRule="exact"/>
        <w:rPr>
          <w:sz w:val="20"/>
          <w:szCs w:val="20"/>
          <w:color w:val="auto"/>
        </w:rPr>
      </w:pPr>
    </w:p>
    <w:p>
      <w:pPr>
        <w:ind w:left="80"/>
        <w:spacing w:after="0"/>
        <w:tabs>
          <w:tab w:leader="none" w:pos="1640" w:val="left"/>
          <w:tab w:leader="none" w:pos="2660" w:val="left"/>
          <w:tab w:leader="none" w:pos="3120" w:val="left"/>
          <w:tab w:leader="none" w:pos="4040" w:val="left"/>
          <w:tab w:leader="none" w:pos="4400" w:val="left"/>
          <w:tab w:leader="none" w:pos="5140" w:val="left"/>
          <w:tab w:leader="none" w:pos="5600" w:val="left"/>
        </w:tabs>
        <w:rPr>
          <w:sz w:val="20"/>
          <w:szCs w:val="20"/>
          <w:color w:val="auto"/>
        </w:rPr>
      </w:pPr>
      <w:r>
        <w:rPr>
          <w:rFonts w:ascii="Courier New" w:cs="Courier New" w:eastAsia="Courier New" w:hAnsi="Courier New"/>
          <w:sz w:val="15"/>
          <w:szCs w:val="15"/>
          <w:color w:val="auto"/>
        </w:rPr>
        <w:t>Retail revenues</w:t>
        <w:tab/>
        <w:t>increased</w:t>
        <w:tab/>
        <w:t>$32</w:t>
        <w:tab/>
        <w:t>million,</w:t>
        <w:tab/>
        <w:t>or</w:t>
        <w:tab/>
        <w:t>nearly</w:t>
        <w:tab/>
        <w:t>4%,</w:t>
        <w:tab/>
        <w:t>due largely to the</w:t>
      </w:r>
    </w:p>
    <w:p>
      <w:pPr>
        <w:spacing w:after="0" w:line="8" w:lineRule="exact"/>
        <w:rPr>
          <w:sz w:val="20"/>
          <w:szCs w:val="20"/>
          <w:color w:val="auto"/>
        </w:rPr>
      </w:pPr>
    </w:p>
    <w:p>
      <w:pPr>
        <w:ind w:right="2939" w:firstLine="92"/>
        <w:spacing w:after="0" w:line="250" w:lineRule="auto"/>
        <w:rPr>
          <w:sz w:val="20"/>
          <w:szCs w:val="20"/>
          <w:color w:val="auto"/>
        </w:rPr>
      </w:pPr>
      <w:r>
        <w:rPr>
          <w:rFonts w:ascii="Courier New" w:cs="Courier New" w:eastAsia="Courier New" w:hAnsi="Courier New"/>
          <w:sz w:val="15"/>
          <w:szCs w:val="15"/>
          <w:color w:val="auto"/>
        </w:rPr>
        <w:t>Company's general rate increase and continued load growth. An average 5% general rate increase effective April 1, coupled with a 263,000 MWh increase in</w:t>
      </w:r>
    </w:p>
    <w:p>
      <w:pPr>
        <w:spacing w:after="0" w:line="1" w:lineRule="exact"/>
        <w:rPr>
          <w:sz w:val="20"/>
          <w:szCs w:val="20"/>
          <w:color w:val="auto"/>
        </w:rPr>
      </w:pPr>
    </w:p>
    <w:p>
      <w:pPr>
        <w:ind w:left="180"/>
        <w:spacing w:after="0"/>
        <w:tabs>
          <w:tab w:leader="none" w:pos="2380" w:val="left"/>
          <w:tab w:leader="none" w:pos="2740" w:val="left"/>
          <w:tab w:leader="none" w:pos="3200" w:val="left"/>
        </w:tabs>
        <w:rPr>
          <w:sz w:val="20"/>
          <w:szCs w:val="20"/>
          <w:color w:val="auto"/>
        </w:rPr>
      </w:pPr>
      <w:r>
        <w:rPr>
          <w:rFonts w:ascii="Courier New" w:cs="Courier New" w:eastAsia="Courier New" w:hAnsi="Courier New"/>
          <w:sz w:val="15"/>
          <w:szCs w:val="15"/>
          <w:color w:val="auto"/>
        </w:rPr>
        <w:t>energy sales, resulted</w:t>
        <w:tab/>
        <w:t>in</w:t>
        <w:tab/>
        <w:t>$45</w:t>
        <w:tab/>
        <w:t>million of additional revenue.</w:t>
      </w:r>
    </w:p>
    <w:p>
      <w:pPr>
        <w:spacing w:after="0" w:line="8" w:lineRule="exact"/>
        <w:rPr>
          <w:sz w:val="20"/>
          <w:szCs w:val="20"/>
          <w:color w:val="auto"/>
        </w:rPr>
      </w:pPr>
    </w:p>
    <w:p>
      <w:pPr>
        <w:ind w:left="80"/>
        <w:spacing w:after="0"/>
        <w:tabs>
          <w:tab w:leader="none" w:pos="2180" w:val="left"/>
        </w:tabs>
        <w:rPr>
          <w:sz w:val="20"/>
          <w:szCs w:val="20"/>
          <w:color w:val="auto"/>
        </w:rPr>
      </w:pPr>
      <w:r>
        <w:rPr>
          <w:rFonts w:ascii="Courier New" w:cs="Courier New" w:eastAsia="Courier New" w:hAnsi="Courier New"/>
          <w:sz w:val="15"/>
          <w:szCs w:val="15"/>
          <w:color w:val="auto"/>
        </w:rPr>
        <w:t>An increase in retail</w:t>
        <w:tab/>
        <w:t>customers of 14,600 and a continuing</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strong  local  economy  resulted  in weather-adjusted load  growth  of  2.8%. Industrial customers contributed the major portion of load growth for the year due to  the recent expansion of high-technology  and  supporting industries in the region.  Weather-adjusted load for residential customers  increased  1.2% over  last  year.  Over  12,900  residential customers were added during 1995.</w:t>
      </w:r>
    </w:p>
    <w:p>
      <w:pPr>
        <w:spacing w:after="0" w:line="2" w:lineRule="exact"/>
        <w:rPr>
          <w:sz w:val="20"/>
          <w:szCs w:val="20"/>
          <w:color w:val="auto"/>
        </w:rPr>
      </w:pPr>
    </w:p>
    <w:p>
      <w:pPr>
        <w:ind w:left="180" w:right="3119"/>
        <w:spacing w:after="0" w:line="250" w:lineRule="auto"/>
        <w:rPr>
          <w:sz w:val="20"/>
          <w:szCs w:val="20"/>
          <w:color w:val="auto"/>
        </w:rPr>
      </w:pPr>
      <w:r>
        <w:rPr>
          <w:rFonts w:ascii="Courier New" w:cs="Courier New" w:eastAsia="Courier New" w:hAnsi="Courier New"/>
          <w:sz w:val="15"/>
          <w:szCs w:val="15"/>
          <w:color w:val="auto"/>
        </w:rPr>
        <w:t>Retail revenue increases were partially offset by warmer than normal weather during winter heating months which decreased residential demand for energy, and a decrease in accrued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a result of fewer power cost deferrals and SAVE incentive revenues.</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Wholesale  sales  contributed  $95  million  or  approximately  10%  of  total operating revenues.  The Company's aggressive marketing efforts resulted in  a 25%  increase  in   sales; however, revenues declined $11 million as average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prices decreased 28%.</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Variable power costs fell $54 million, or 15%, despite increased  Company load as the average cost of power decreased  from  19.1 to 15.9 mills (10 mills = 1 cent).  Improved hydro conditions, mild weather,  cheaper  natural  gas,  and competition among  suppliers all contributed to abundant and low-cost supplies of secondary energy in the region.  Company hydro generation increased 20%, or 412,000  MWh,  reflecting  good water conditions on the Clackamas River system</w:t>
      </w:r>
    </w:p>
    <w:p>
      <w:pPr>
        <w:spacing w:after="0" w:line="3" w:lineRule="exact"/>
        <w:rPr>
          <w:sz w:val="20"/>
          <w:szCs w:val="20"/>
          <w:color w:val="auto"/>
        </w:rPr>
      </w:pPr>
    </w:p>
    <w:p>
      <w:pPr>
        <w:ind w:left="80"/>
        <w:spacing w:after="0"/>
        <w:tabs>
          <w:tab w:leader="none" w:pos="2840" w:val="left"/>
          <w:tab w:leader="none" w:pos="3940" w:val="left"/>
        </w:tabs>
        <w:rPr>
          <w:sz w:val="20"/>
          <w:szCs w:val="20"/>
          <w:color w:val="auto"/>
        </w:rPr>
      </w:pPr>
      <w:r>
        <w:rPr>
          <w:rFonts w:ascii="Courier New" w:cs="Courier New" w:eastAsia="Courier New" w:hAnsi="Courier New"/>
          <w:sz w:val="15"/>
          <w:szCs w:val="15"/>
          <w:color w:val="auto"/>
        </w:rPr>
        <w:t>similar to those experienced</w:t>
        <w:tab/>
        <w:t>throughout</w:t>
        <w:tab/>
        <w:t>the</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0" w:right="1440" w:bottom="1440" w:gutter="0" w:footer="0" w:header="0"/>
        </w:sectPr>
      </w:pPr>
    </w:p>
    <w:bookmarkStart w:id="26" w:name="page27"/>
    <w:bookmarkEnd w:id="26"/>
    <w:p>
      <w:pPr>
        <w:ind w:right="3119"/>
        <w:spacing w:after="0" w:line="251" w:lineRule="auto"/>
        <w:rPr>
          <w:sz w:val="20"/>
          <w:szCs w:val="20"/>
          <w:color w:val="auto"/>
        </w:rPr>
      </w:pPr>
      <w:r>
        <w:rPr>
          <w:rFonts w:ascii="Courier New" w:cs="Courier New" w:eastAsia="Courier New" w:hAnsi="Courier New"/>
          <w:sz w:val="15"/>
          <w:szCs w:val="15"/>
          <w:color w:val="auto"/>
        </w:rPr>
        <w:t>West. Energy purchases were up 28% due to increased loads and thermal displacement, while abundant supplies of energy drove secondary prices below 1994 levels. Secondary purchases averaged 11.3 mills, ranging from 1.8 to 28 mills, compared to an average 20.1 mills in 1994.</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Throughout the year PGE was able to economically dispatch or displace thermal generation in response to movements in the cost of short-term power. Low-cost hydro significantly displaced PGE thermal generation, which decreased 32% from 1994. Beaver generated electricity at 38% lower cost due to favorable gas prices.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RESOURCE MIX/VARIABLE POWER COSTS</w:t>
            </w: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55"/>
        </w:trPr>
        <w:tc>
          <w:tcPr>
            <w:tcW w:w="2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Average Variable</w:t>
            </w:r>
          </w:p>
        </w:tc>
      </w:tr>
      <w:tr>
        <w:trPr>
          <w:trHeight w:val="177"/>
        </w:trPr>
        <w:tc>
          <w:tcPr>
            <w:tcW w:w="2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Resource Mix</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Power Cost (Mills/KWh)</w:t>
            </w:r>
          </w:p>
        </w:tc>
      </w:tr>
      <w:tr>
        <w:trPr>
          <w:trHeight w:val="177"/>
        </w:trPr>
        <w:tc>
          <w:tcPr>
            <w:tcW w:w="218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1995</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Generation</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10.6</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Firm Purchases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22.7</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25.7</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Secondary Purchases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11.3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20.1</w:t>
            </w:r>
          </w:p>
        </w:tc>
      </w:tr>
      <w:tr>
        <w:trPr>
          <w:trHeight w:val="177"/>
        </w:trPr>
        <w:tc>
          <w:tcPr>
            <w:tcW w:w="2180" w:type="dxa"/>
            <w:vAlign w:val="bottom"/>
          </w:tcPr>
          <w:p>
            <w:pPr>
              <w:ind w:left="200"/>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15.9</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19.1</w:t>
            </w:r>
          </w:p>
        </w:tc>
      </w:tr>
    </w:tbl>
    <w:p>
      <w:pPr>
        <w:spacing w:after="0" w:line="200" w:lineRule="exact"/>
        <w:rPr>
          <w:sz w:val="20"/>
          <w:szCs w:val="20"/>
          <w:color w:val="auto"/>
        </w:rPr>
      </w:pPr>
    </w:p>
    <w:p>
      <w:pPr>
        <w:spacing w:after="0" w:line="338" w:lineRule="exact"/>
        <w:rPr>
          <w:sz w:val="20"/>
          <w:szCs w:val="20"/>
          <w:color w:val="auto"/>
        </w:rPr>
      </w:pPr>
    </w:p>
    <w:p>
      <w:pPr>
        <w:jc w:val="both"/>
        <w:ind w:right="2939" w:firstLine="92"/>
        <w:spacing w:after="0" w:line="251" w:lineRule="auto"/>
        <w:rPr>
          <w:sz w:val="20"/>
          <w:szCs w:val="20"/>
          <w:color w:val="auto"/>
        </w:rPr>
      </w:pPr>
      <w:r>
        <w:rPr>
          <w:rFonts w:ascii="Courier New" w:cs="Courier New" w:eastAsia="Courier New" w:hAnsi="Courier New"/>
          <w:sz w:val="15"/>
          <w:szCs w:val="15"/>
          <w:color w:val="auto"/>
        </w:rPr>
        <w:t>Operating expenses (excluding variable power costs, depreciation and income taxes) were $10 million, or 4%, higher primarily due to storm damages incurred in December 1995. A combination of wind and ice storms caused a record number of customer outages in PGE's service territory. Repair efforts to restore customers' service included around the clock efforts from PGE personnel and contract crews at a total cost exceeding $10 million, of which PGE is self-insured for the first $5 million.</w:t>
      </w:r>
    </w:p>
    <w:p>
      <w:pPr>
        <w:spacing w:after="0" w:line="176" w:lineRule="exact"/>
        <w:rPr>
          <w:sz w:val="20"/>
          <w:szCs w:val="20"/>
          <w:color w:val="auto"/>
        </w:rPr>
      </w:pPr>
    </w:p>
    <w:p>
      <w:pPr>
        <w:ind w:right="2939" w:firstLine="99"/>
        <w:spacing w:after="0" w:line="250" w:lineRule="auto"/>
        <w:tabs>
          <w:tab w:leader="none" w:pos="3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March 1995 general rate order disallowed recovery of 13% of PGE's Trojan investment resulting in a $37 million after-tax charge to income. PGE also recorded a $13 million after-tax third quarter loss as a result of an OPUC order which</w:t>
      </w:r>
    </w:p>
    <w:p>
      <w:pPr>
        <w:spacing w:after="0" w:line="1" w:lineRule="exact"/>
        <w:rPr>
          <w:rFonts w:ascii="Courier New" w:cs="Courier New" w:eastAsia="Courier New" w:hAnsi="Courier New"/>
          <w:sz w:val="15"/>
          <w:szCs w:val="15"/>
          <w:color w:val="auto"/>
        </w:rPr>
      </w:pPr>
    </w:p>
    <w:p>
      <w:pPr>
        <w:ind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disallowed recovery of a portion of the Company's deferred power costs. For further information on the OPUC order, see Note 13, Regulatory Matters.</w:t>
      </w:r>
    </w:p>
    <w:p>
      <w:pPr>
        <w:spacing w:after="0" w:line="174" w:lineRule="exact"/>
        <w:rPr>
          <w:sz w:val="20"/>
          <w:szCs w:val="20"/>
          <w:color w:val="auto"/>
        </w:rPr>
      </w:pPr>
    </w:p>
    <w:p>
      <w:pPr>
        <w:ind w:right="2939" w:firstLine="92"/>
        <w:spacing w:after="0" w:line="251" w:lineRule="auto"/>
        <w:rPr>
          <w:sz w:val="20"/>
          <w:szCs w:val="20"/>
          <w:color w:val="auto"/>
        </w:rPr>
      </w:pPr>
      <w:r>
        <w:rPr>
          <w:rFonts w:ascii="Courier New" w:cs="Courier New" w:eastAsia="Courier New" w:hAnsi="Courier New"/>
          <w:sz w:val="15"/>
          <w:szCs w:val="15"/>
          <w:color w:val="auto"/>
        </w:rPr>
        <w:t>Depreciation increased $10 million, or 8%, largely due to higher depreciation rates effective with the Company's general rate increase. Income taxes increased $18 million primarily due to an increase in before-tax operating income. The Company benefited from a one-time state tax refund of approximately $4 million which contributed to a lower effective tax rate for the year.</w:t>
      </w:r>
    </w:p>
    <w:p>
      <w:pPr>
        <w:spacing w:after="0" w:line="354"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construction of Coyote Springs accounted for the increases in capitalized interest during each year, which partially offset a corresponding increase in interest expense. Income also includes a $5 million charge for increased charitable donations.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COMPARED TO 1993</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Portland  General's  1994  earnings of $100 million, $1.99 per share, compared favorably  to  1993 earnings of  $89  million,  $1.88  per  share.   In  1994 previously recorded real estate reserves of $6 million, after tax, or $.13 per share, were restored  to  income  as a result of the substantial completion of divestiture of real estate investments.  Income from continuing operations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 million compared to $89 million in 1993.</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Customer growth and increased wholesale  activity  resulted  in  strong energy sales  for  the year. KWh sales increased 8% over the prior year, adding  $60 million to revenues.   Weather-adjusted  retail  load grew approximately 2.5% with  the addition of nearly 13,700 retail customers.   Wholesale  kWh  sales escalated 69% reflecting the availability of low cost power for resale and the Company's  active  wholesale marketing of energy throughout the western United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States.</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828" w:right="1440" w:bottom="1440" w:gutter="0" w:footer="0" w:header="0"/>
        </w:sectPr>
      </w:pPr>
    </w:p>
    <w:bookmarkStart w:id="27" w:name="page28"/>
    <w:bookmarkEnd w:id="27"/>
    <w:p>
      <w:pPr>
        <w:jc w:val="both"/>
        <w:ind w:left="80" w:right="2939"/>
        <w:spacing w:after="0" w:line="251" w:lineRule="auto"/>
        <w:rPr>
          <w:sz w:val="20"/>
          <w:szCs w:val="20"/>
          <w:color w:val="auto"/>
        </w:rPr>
      </w:pPr>
      <w:r>
        <w:rPr>
          <w:rFonts w:ascii="Courier New" w:cs="Courier New" w:eastAsia="Courier New" w:hAnsi="Courier New"/>
          <w:sz w:val="15"/>
          <w:szCs w:val="15"/>
          <w:color w:val="auto"/>
        </w:rPr>
        <w:t>Accrued revenues of $19 million, relating to power cost deferrals, were down substantially from $67 million in 1993. PGE deferred for later collection a portion of incremental Trojan replacement power costs for nine months during 1993. Nuclear cost savings allowed PGE to operate the last nine months of 1994 without the need for additional power cost deferrals.</w:t>
      </w:r>
    </w:p>
    <w:p>
      <w:pPr>
        <w:spacing w:after="0" w:line="176" w:lineRule="exact"/>
        <w:rPr>
          <w:sz w:val="20"/>
          <w:szCs w:val="20"/>
          <w:color w:val="auto"/>
        </w:rPr>
      </w:pPr>
    </w:p>
    <w:p>
      <w:pPr>
        <w:ind w:left="80" w:right="2939" w:hanging="91"/>
        <w:spacing w:after="0" w:line="250" w:lineRule="auto"/>
        <w:rPr>
          <w:sz w:val="20"/>
          <w:szCs w:val="20"/>
          <w:color w:val="auto"/>
        </w:rPr>
      </w:pPr>
      <w:r>
        <w:rPr>
          <w:rFonts w:ascii="Courier New" w:cs="Courier New" w:eastAsia="Courier New" w:hAnsi="Courier New"/>
          <w:sz w:val="15"/>
          <w:szCs w:val="15"/>
          <w:color w:val="auto"/>
        </w:rPr>
        <w:t>An</w:t>
      </w:r>
      <w:r>
        <w:rPr>
          <w:sz w:val="20"/>
          <w:szCs w:val="20"/>
          <w:color w:val="auto"/>
        </w:rPr>
        <w:t xml:space="preserve"> </w:t>
      </w:r>
      <w:r>
        <w:rPr>
          <w:rFonts w:ascii="Courier New" w:cs="Courier New" w:eastAsia="Courier New" w:hAnsi="Courier New"/>
          <w:sz w:val="15"/>
          <w:szCs w:val="15"/>
          <w:color w:val="auto"/>
        </w:rPr>
        <w:t>8% increase in total sales combined with a 14% decline in PGE's hydro generation contributed to a $35 million increase in variable power costs.</w:t>
      </w:r>
    </w:p>
    <w:p>
      <w:pPr>
        <w:spacing w:after="0" w:line="1" w:lineRule="exact"/>
        <w:rPr>
          <w:sz w:val="20"/>
          <w:szCs w:val="20"/>
          <w:color w:val="auto"/>
        </w:rPr>
      </w:pPr>
    </w:p>
    <w:p>
      <w:pPr>
        <w:jc w:val="both"/>
        <w:ind w:left="80" w:right="2939" w:firstLine="92"/>
        <w:spacing w:after="0" w:line="250" w:lineRule="auto"/>
        <w:rPr>
          <w:sz w:val="20"/>
          <w:szCs w:val="20"/>
          <w:color w:val="auto"/>
        </w:rPr>
      </w:pPr>
      <w:r>
        <w:rPr>
          <w:rFonts w:ascii="Courier New" w:cs="Courier New" w:eastAsia="Courier New" w:hAnsi="Courier New"/>
          <w:sz w:val="15"/>
          <w:szCs w:val="15"/>
          <w:color w:val="auto"/>
        </w:rPr>
        <w:t>Strong performance at PGE's thermal generating facilities allowed PGE to generate 47% of its total system load compared to 42% in 1993. Generation at</w:t>
      </w:r>
    </w:p>
    <w:p>
      <w:pPr>
        <w:spacing w:after="0" w:line="1" w:lineRule="exact"/>
        <w:rPr>
          <w:sz w:val="20"/>
          <w:szCs w:val="20"/>
          <w:color w:val="auto"/>
        </w:rPr>
      </w:pPr>
    </w:p>
    <w:p>
      <w:pPr>
        <w:jc w:val="both"/>
        <w:ind w:left="80" w:right="2939" w:firstLine="92"/>
        <w:spacing w:after="0" w:line="250" w:lineRule="auto"/>
        <w:rPr>
          <w:sz w:val="20"/>
          <w:szCs w:val="20"/>
          <w:color w:val="auto"/>
        </w:rPr>
      </w:pPr>
      <w:r>
        <w:rPr>
          <w:rFonts w:ascii="Courier New" w:cs="Courier New" w:eastAsia="Courier New" w:hAnsi="Courier New"/>
          <w:sz w:val="15"/>
          <w:szCs w:val="15"/>
          <w:color w:val="auto"/>
        </w:rPr>
        <w:t>coal fired plants increased 20%, with all plants producing above 1993 levels. Despite the increased generation at its thermal plants, average fuel</w:t>
      </w:r>
    </w:p>
    <w:p>
      <w:pPr>
        <w:spacing w:after="0" w:line="1" w:lineRule="exact"/>
        <w:rPr>
          <w:sz w:val="20"/>
          <w:szCs w:val="20"/>
          <w:color w:val="auto"/>
        </w:rPr>
      </w:pPr>
    </w:p>
    <w:p>
      <w:pPr>
        <w:jc w:val="both"/>
        <w:ind w:left="80" w:right="2939" w:firstLine="92"/>
        <w:spacing w:after="0" w:line="252" w:lineRule="auto"/>
        <w:rPr>
          <w:sz w:val="20"/>
          <w:szCs w:val="20"/>
          <w:color w:val="auto"/>
        </w:rPr>
      </w:pPr>
      <w:r>
        <w:rPr>
          <w:rFonts w:ascii="Courier New" w:cs="Courier New" w:eastAsia="Courier New" w:hAnsi="Courier New"/>
          <w:sz w:val="15"/>
          <w:szCs w:val="15"/>
          <w:color w:val="auto"/>
        </w:rPr>
        <w:t>costs decreased by 4% due to low natural gas prices. These factors contributed to a reduction in total average variable power costs to 19.1 mills/kWh from 19.4 mills/kWh in 1993.</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3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Operating</w:t>
            </w:r>
          </w:p>
        </w:tc>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expenses   (excluding   variable</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power</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costs,</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r>
      <w:tr>
        <w:trPr>
          <w:trHeight w:val="177"/>
        </w:trPr>
        <w:tc>
          <w:tcPr>
            <w:tcW w:w="47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and  amortization)  decreased  by  $24  million.</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Continued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800" w:type="dxa"/>
            <w:vAlign w:val="bottom"/>
          </w:tcPr>
          <w:p>
            <w:pPr>
              <w:spacing w:after="0"/>
              <w:rPr>
                <w:sz w:val="20"/>
                <w:szCs w:val="20"/>
                <w:color w:val="auto"/>
              </w:rPr>
            </w:pPr>
            <w:r>
              <w:rPr>
                <w:rFonts w:ascii="Courier New" w:cs="Courier New" w:eastAsia="Courier New" w:hAnsi="Courier New"/>
                <w:sz w:val="15"/>
                <w:szCs w:val="15"/>
                <w:color w:val="auto"/>
              </w:rPr>
              <w:t>emphasis</w:t>
            </w:r>
          </w:p>
        </w:tc>
        <w:tc>
          <w:tcPr>
            <w:tcW w:w="3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cost reductions at Trojan resulted</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9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million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in decreased</w:t>
            </w:r>
          </w:p>
        </w:tc>
      </w:tr>
      <w:tr>
        <w:trPr>
          <w:trHeight w:val="177"/>
        </w:trPr>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nuclear</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operating expenses.</w:t>
            </w:r>
          </w:p>
        </w:tc>
        <w:tc>
          <w:tcPr>
            <w:tcW w:w="46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Since plant closure in 1993, the number  of  PGE</w:t>
            </w:r>
          </w:p>
        </w:tc>
      </w:tr>
      <w:tr>
        <w:trPr>
          <w:trHeight w:val="177"/>
        </w:trPr>
        <w:tc>
          <w:tcPr>
            <w:tcW w:w="800" w:type="dxa"/>
            <w:vAlign w:val="bottom"/>
          </w:tcPr>
          <w:p>
            <w:pPr>
              <w:spacing w:after="0"/>
              <w:rPr>
                <w:sz w:val="20"/>
                <w:szCs w:val="20"/>
                <w:color w:val="auto"/>
              </w:rPr>
            </w:pPr>
            <w:r>
              <w:rPr>
                <w:rFonts w:ascii="Courier New" w:cs="Courier New" w:eastAsia="Courier New" w:hAnsi="Courier New"/>
                <w:sz w:val="15"/>
                <w:szCs w:val="15"/>
                <w:color w:val="auto"/>
              </w:rPr>
              <w:t>nuclear</w:t>
            </w:r>
          </w:p>
        </w:tc>
        <w:tc>
          <w:tcPr>
            <w:tcW w:w="3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employees  has  dropped  from  984  to</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166</w:t>
            </w: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correspondingly annual</w:t>
            </w:r>
          </w:p>
        </w:tc>
      </w:tr>
      <w:tr>
        <w:trPr>
          <w:trHeight w:val="177"/>
        </w:trPr>
        <w:tc>
          <w:tcPr>
            <w:tcW w:w="4440" w:type="dxa"/>
            <w:vAlign w:val="bottom"/>
            <w:gridSpan w:val="4"/>
          </w:tcPr>
          <w:p>
            <w:pPr>
              <w:spacing w:after="0"/>
              <w:rPr>
                <w:sz w:val="20"/>
                <w:szCs w:val="20"/>
                <w:color w:val="auto"/>
              </w:rPr>
            </w:pPr>
            <w:r>
              <w:rPr>
                <w:rFonts w:ascii="Courier New" w:cs="Courier New" w:eastAsia="Courier New" w:hAnsi="Courier New"/>
                <w:sz w:val="15"/>
                <w:szCs w:val="15"/>
                <w:color w:val="auto"/>
              </w:rPr>
              <w:t>nuclear operating expenses have declined from</w:t>
            </w:r>
          </w:p>
        </w:tc>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approximately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million to</w:t>
            </w:r>
          </w:p>
        </w:tc>
      </w:tr>
      <w:tr>
        <w:trPr>
          <w:trHeight w:val="177"/>
        </w:trPr>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$15  million.</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Increases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in  operating  costs</w:t>
            </w:r>
          </w:p>
        </w:tc>
        <w:tc>
          <w:tcPr>
            <w:tcW w:w="27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on PGE's distribution system</w:t>
            </w:r>
          </w:p>
        </w:tc>
      </w:tr>
      <w:tr>
        <w:trPr>
          <w:trHeight w:val="177"/>
        </w:trPr>
        <w:tc>
          <w:tcPr>
            <w:tcW w:w="4440" w:type="dxa"/>
            <w:vAlign w:val="bottom"/>
            <w:gridSpan w:val="4"/>
          </w:tcPr>
          <w:p>
            <w:pPr>
              <w:spacing w:after="0"/>
              <w:rPr>
                <w:sz w:val="20"/>
                <w:szCs w:val="20"/>
                <w:color w:val="auto"/>
              </w:rPr>
            </w:pPr>
            <w:r>
              <w:rPr>
                <w:rFonts w:ascii="Courier New" w:cs="Courier New" w:eastAsia="Courier New" w:hAnsi="Courier New"/>
                <w:sz w:val="15"/>
                <w:szCs w:val="15"/>
                <w:color w:val="auto"/>
              </w:rPr>
              <w:t>partially offset nuclear cost savings.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83"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The  $4  million increase in other income reflected an  increase  in  accrued interest on  deferred  power  costs  and  a  gain  on  the sale of non-utility property, partially offset by provisions for litigation  costs.  Allowance for funds used during construction increased $4 million, primarily due to the level of construction expenditures at Coyote Springs in 1994, which  helped  offset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increased interest costs on short-term borrowings.</w:t>
      </w:r>
    </w:p>
    <w:p>
      <w:pPr>
        <w:spacing w:after="0" w:line="36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FINANCIAL CONDITION</w:t>
      </w:r>
    </w:p>
    <w:p>
      <w:pPr>
        <w:spacing w:after="0" w:line="185" w:lineRule="exact"/>
        <w:rPr>
          <w:sz w:val="20"/>
          <w:szCs w:val="20"/>
          <w:color w:val="auto"/>
        </w:rPr>
      </w:pPr>
    </w:p>
    <w:p>
      <w:pPr>
        <w:jc w:val="both"/>
        <w:ind w:left="80" w:right="2939"/>
        <w:spacing w:after="0" w:line="250" w:lineRule="auto"/>
        <w:rPr>
          <w:sz w:val="20"/>
          <w:szCs w:val="20"/>
          <w:color w:val="auto"/>
        </w:rPr>
      </w:pPr>
      <w:r>
        <w:rPr>
          <w:rFonts w:ascii="Courier New" w:cs="Courier New" w:eastAsia="Courier New" w:hAnsi="Courier New"/>
          <w:sz w:val="15"/>
          <w:szCs w:val="15"/>
          <w:color w:val="auto"/>
        </w:rPr>
        <w:t>During 1995 regulatory actions resulted in the write-down and elimination of certain regulatory assets and liabilities. The March 1995 general rate order, discussed in Note 13, Regulatory Matters,</w:t>
      </w:r>
    </w:p>
    <w:p>
      <w:pPr>
        <w:spacing w:after="0" w:line="1" w:lineRule="exact"/>
        <w:rPr>
          <w:sz w:val="20"/>
          <w:szCs w:val="20"/>
          <w:color w:val="auto"/>
        </w:rPr>
      </w:pPr>
    </w:p>
    <w:p>
      <w:pPr>
        <w:ind w:left="180"/>
        <w:spacing w:after="0"/>
        <w:tabs>
          <w:tab w:leader="none" w:pos="1080" w:val="left"/>
        </w:tabs>
        <w:rPr>
          <w:sz w:val="20"/>
          <w:szCs w:val="20"/>
          <w:color w:val="auto"/>
        </w:rPr>
      </w:pPr>
      <w:r>
        <w:rPr>
          <w:rFonts w:ascii="Courier New" w:cs="Courier New" w:eastAsia="Courier New" w:hAnsi="Courier New"/>
          <w:sz w:val="15"/>
          <w:szCs w:val="15"/>
          <w:color w:val="auto"/>
        </w:rPr>
        <w:t>resulted</w:t>
        <w:tab/>
        <w:t>in the write-down of 13% of PGE's investment in Trojan.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Continued amortization and the regulatory offset of</w:t>
      </w:r>
    </w:p>
    <w:p>
      <w:pPr>
        <w:spacing w:after="0" w:line="8" w:lineRule="exact"/>
        <w:rPr>
          <w:sz w:val="20"/>
          <w:szCs w:val="20"/>
          <w:color w:val="auto"/>
        </w:rPr>
      </w:pPr>
    </w:p>
    <w:p>
      <w:pPr>
        <w:ind w:left="80" w:right="4959"/>
        <w:spacing w:after="0" w:line="253" w:lineRule="auto"/>
        <w:rPr>
          <w:sz w:val="20"/>
          <w:szCs w:val="20"/>
          <w:color w:val="auto"/>
        </w:rPr>
      </w:pPr>
      <w:r>
        <w:rPr>
          <w:rFonts w:ascii="Courier New" w:cs="Courier New" w:eastAsia="Courier New" w:hAnsi="Courier New"/>
          <w:sz w:val="15"/>
          <w:szCs w:val="15"/>
          <w:color w:val="auto"/>
        </w:rPr>
        <w:t>$20 million, discussed below, also contributed to the decrease in the Trojan investment balance.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November 1995 the Company placed Coyote Springs in service.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Concurrently, a rate proceeding was finalized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which provided recovery of the fixed and capital costs of the plant.</w:t>
      </w:r>
    </w:p>
    <w:p>
      <w:pPr>
        <w:spacing w:after="0" w:line="185" w:lineRule="exact"/>
        <w:rPr>
          <w:sz w:val="20"/>
          <w:szCs w:val="20"/>
          <w:color w:val="auto"/>
        </w:rPr>
      </w:pPr>
    </w:p>
    <w:p>
      <w:pPr>
        <w:ind w:left="180" w:right="2939"/>
        <w:spacing w:after="0" w:line="250" w:lineRule="auto"/>
        <w:rPr>
          <w:sz w:val="20"/>
          <w:szCs w:val="20"/>
          <w:color w:val="auto"/>
        </w:rPr>
      </w:pPr>
      <w:r>
        <w:rPr>
          <w:rFonts w:ascii="Courier New" w:cs="Courier New" w:eastAsia="Courier New" w:hAnsi="Courier New"/>
          <w:sz w:val="15"/>
          <w:szCs w:val="15"/>
          <w:color w:val="auto"/>
        </w:rPr>
        <w:t>The November 1995 proceeding also approved partial recovery of PGE's outstanding power costs deferrals, recorded as unbilled and accrued revenues.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order adopted</w:t>
      </w:r>
    </w:p>
    <w:p>
      <w:pPr>
        <w:spacing w:after="0" w:line="8" w:lineRule="exact"/>
        <w:rPr>
          <w:sz w:val="20"/>
          <w:szCs w:val="20"/>
          <w:color w:val="auto"/>
        </w:rPr>
      </w:pPr>
    </w:p>
    <w:p>
      <w:pPr>
        <w:ind w:left="80" w:right="3119"/>
        <w:spacing w:after="0" w:line="250" w:lineRule="auto"/>
        <w:rPr>
          <w:sz w:val="20"/>
          <w:szCs w:val="20"/>
          <w:color w:val="auto"/>
        </w:rPr>
      </w:pPr>
      <w:r>
        <w:rPr>
          <w:rFonts w:ascii="Courier New" w:cs="Courier New" w:eastAsia="Courier New" w:hAnsi="Courier New"/>
          <w:sz w:val="15"/>
          <w:szCs w:val="15"/>
          <w:color w:val="auto"/>
        </w:rPr>
        <w:t>the Company's proposal to offset the uncollected balances of all power cost deferrals approved for recovery, a portion of</w:t>
      </w:r>
    </w:p>
    <w:p>
      <w:pPr>
        <w:spacing w:after="0" w:line="1" w:lineRule="exact"/>
        <w:rPr>
          <w:sz w:val="20"/>
          <w:szCs w:val="20"/>
          <w:color w:val="auto"/>
        </w:rPr>
      </w:pPr>
    </w:p>
    <w:p>
      <w:pPr>
        <w:ind w:left="80"/>
        <w:spacing w:after="0"/>
        <w:tabs>
          <w:tab w:leader="none" w:pos="3380" w:val="left"/>
        </w:tabs>
        <w:rPr>
          <w:sz w:val="20"/>
          <w:szCs w:val="20"/>
          <w:color w:val="auto"/>
        </w:rPr>
      </w:pPr>
      <w:r>
        <w:rPr>
          <w:rFonts w:ascii="Courier New" w:cs="Courier New" w:eastAsia="Courier New" w:hAnsi="Courier New"/>
          <w:sz w:val="15"/>
          <w:szCs w:val="15"/>
          <w:color w:val="auto"/>
        </w:rPr>
        <w:t>the Trojan Investment, and certain</w:t>
        <w:tab/>
        <w:t>other regulatory assets</w:t>
      </w:r>
    </w:p>
    <w:p>
      <w:pPr>
        <w:spacing w:after="0" w:line="8" w:lineRule="exact"/>
        <w:rPr>
          <w:sz w:val="20"/>
          <w:szCs w:val="20"/>
          <w:color w:val="auto"/>
        </w:rPr>
      </w:pPr>
    </w:p>
    <w:p>
      <w:pPr>
        <w:ind w:left="80" w:right="3399"/>
        <w:spacing w:after="0" w:line="250" w:lineRule="auto"/>
        <w:rPr>
          <w:sz w:val="20"/>
          <w:szCs w:val="20"/>
          <w:color w:val="auto"/>
        </w:rPr>
      </w:pPr>
      <w:r>
        <w:rPr>
          <w:rFonts w:ascii="Courier New" w:cs="Courier New" w:eastAsia="Courier New" w:hAnsi="Courier New"/>
          <w:sz w:val="15"/>
          <w:szCs w:val="15"/>
          <w:color w:val="auto"/>
        </w:rPr>
        <w:t>against the Company's $117 million deferred gain remaining from the 1985 sale of a portion of</w:t>
      </w:r>
    </w:p>
    <w:p>
      <w:pPr>
        <w:spacing w:after="0" w:line="1"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Boardman and the Intertie. See Note 13, Regulatory Matters, in the Notes to the Financial Statements for additional discussion regarding the November 1995 order.</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CASH FLOW</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PORTLAND GENERAL CORPORATION</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Portland General requires cash to pay dividends to its common stockholders, to provide  funds to its subsidiaries, to meet debt service obligations and  for day-to-day  operations.   Sources of cash are dividends from PGE, asset sales, leasing rentals, short- and  intermediate-term  borrowings,  and  the  sale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Portland General's common stock.</w:t>
      </w:r>
    </w:p>
    <w:p>
      <w:pPr>
        <w:spacing w:after="0" w:line="185" w:lineRule="exact"/>
        <w:rPr>
          <w:sz w:val="20"/>
          <w:szCs w:val="20"/>
          <w:color w:val="auto"/>
        </w:rPr>
      </w:pPr>
    </w:p>
    <w:p>
      <w:pPr>
        <w:ind w:left="80" w:right="2939" w:firstLine="92"/>
        <w:spacing w:after="0" w:line="250" w:lineRule="auto"/>
        <w:rPr>
          <w:sz w:val="20"/>
          <w:szCs w:val="20"/>
          <w:color w:val="auto"/>
        </w:rPr>
      </w:pPr>
      <w:r>
        <w:rPr>
          <w:rFonts w:ascii="Courier New" w:cs="Courier New" w:eastAsia="Courier New" w:hAnsi="Courier New"/>
          <w:sz w:val="15"/>
          <w:szCs w:val="15"/>
          <w:color w:val="auto"/>
        </w:rPr>
        <w:t>During 1995, Portland General discontinued its commercial paper program. In order to meet periodic liquidity and operational needs, Portland General has maintained a one-year credit facility of $15 million from which no borrowings were made during 1995.</w:t>
      </w:r>
    </w:p>
    <w:p>
      <w:pPr>
        <w:spacing w:after="0" w:line="2" w:lineRule="exact"/>
        <w:rPr>
          <w:sz w:val="20"/>
          <w:szCs w:val="20"/>
          <w:color w:val="auto"/>
        </w:rPr>
      </w:pPr>
    </w:p>
    <w:p>
      <w:pPr>
        <w:ind w:left="80" w:right="3579"/>
        <w:spacing w:after="0" w:line="253" w:lineRule="auto"/>
        <w:rPr>
          <w:sz w:val="20"/>
          <w:szCs w:val="20"/>
          <w:color w:val="auto"/>
        </w:rPr>
      </w:pPr>
      <w:r>
        <w:rPr>
          <w:rFonts w:ascii="Courier New" w:cs="Courier New" w:eastAsia="Courier New" w:hAnsi="Courier New"/>
          <w:sz w:val="15"/>
          <w:szCs w:val="15"/>
          <w:color w:val="auto"/>
        </w:rPr>
        <w:t>As of year-end 1995 Portland General had $30 million of debt which matures in 1996.</w:t>
      </w:r>
    </w:p>
    <w:p>
      <w:pPr>
        <w:spacing w:after="0" w:line="174" w:lineRule="exact"/>
        <w:rPr>
          <w:sz w:val="20"/>
          <w:szCs w:val="20"/>
          <w:color w:val="auto"/>
        </w:rPr>
      </w:pPr>
    </w:p>
    <w:p>
      <w:pPr>
        <w:ind w:left="80" w:right="2939" w:firstLine="92"/>
        <w:spacing w:after="0" w:line="250" w:lineRule="auto"/>
        <w:rPr>
          <w:sz w:val="20"/>
          <w:szCs w:val="20"/>
          <w:color w:val="auto"/>
        </w:rPr>
      </w:pPr>
      <w:r>
        <w:rPr>
          <w:rFonts w:ascii="Courier New" w:cs="Courier New" w:eastAsia="Courier New" w:hAnsi="Courier New"/>
          <w:sz w:val="15"/>
          <w:szCs w:val="15"/>
          <w:color w:val="auto"/>
        </w:rPr>
        <w:t>Portland General received $50 million in dividends from PGE. In addition, Portland General received $10 million in proceeds from the issuance of new</w:t>
      </w:r>
    </w:p>
    <w:p>
      <w:pPr>
        <w:spacing w:after="0" w:line="1" w:lineRule="exact"/>
        <w:rPr>
          <w:sz w:val="20"/>
          <w:szCs w:val="20"/>
          <w:color w:val="auto"/>
        </w:rPr>
      </w:pPr>
    </w:p>
    <w:p>
      <w:pPr>
        <w:ind w:left="180"/>
        <w:spacing w:after="0"/>
        <w:tabs>
          <w:tab w:leader="none" w:pos="900" w:val="left"/>
          <w:tab w:leader="none" w:pos="1260" w:val="left"/>
          <w:tab w:leader="none" w:pos="5520" w:val="left"/>
        </w:tabs>
        <w:rPr>
          <w:sz w:val="20"/>
          <w:szCs w:val="20"/>
          <w:color w:val="auto"/>
        </w:rPr>
      </w:pPr>
      <w:r>
        <w:rPr>
          <w:rFonts w:ascii="Courier New" w:cs="Courier New" w:eastAsia="Courier New" w:hAnsi="Courier New"/>
          <w:sz w:val="15"/>
          <w:szCs w:val="15"/>
          <w:color w:val="auto"/>
        </w:rPr>
        <w:t>shares</w:t>
        <w:tab/>
        <w:t>of</w:t>
        <w:tab/>
        <w:t>common stock under its Dividend Reinvestment</w:t>
      </w:r>
      <w:r>
        <w:rPr>
          <w:sz w:val="20"/>
          <w:szCs w:val="20"/>
          <w:color w:val="auto"/>
        </w:rPr>
        <w:tab/>
      </w:r>
      <w:r>
        <w:rPr>
          <w:rFonts w:ascii="Courier New" w:cs="Courier New" w:eastAsia="Courier New" w:hAnsi="Courier New"/>
          <w:sz w:val="14"/>
          <w:szCs w:val="14"/>
          <w:color w:val="auto"/>
        </w:rPr>
        <w:t>and</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50" w:right="1440" w:bottom="1081" w:gutter="0" w:footer="0" w:header="0"/>
        </w:sectPr>
      </w:pPr>
    </w:p>
    <w:bookmarkStart w:id="28" w:name="page29"/>
    <w:bookmarkEnd w:id="28"/>
    <w:p>
      <w:pPr>
        <w:ind w:left="100"/>
        <w:spacing w:after="0"/>
        <w:tabs>
          <w:tab w:leader="none" w:pos="1000" w:val="left"/>
        </w:tabs>
        <w:rPr>
          <w:sz w:val="20"/>
          <w:szCs w:val="20"/>
          <w:color w:val="auto"/>
        </w:rPr>
      </w:pPr>
      <w:r>
        <w:rPr>
          <w:rFonts w:ascii="Courier New" w:cs="Courier New" w:eastAsia="Courier New" w:hAnsi="Courier New"/>
          <w:sz w:val="15"/>
          <w:szCs w:val="15"/>
          <w:color w:val="auto"/>
        </w:rPr>
        <w:t>Optional</w:t>
        <w:tab/>
        <w:t>Cash</w:t>
      </w:r>
    </w:p>
    <w:p>
      <w:pPr>
        <w:spacing w:after="0" w:line="8" w:lineRule="exact"/>
        <w:rPr>
          <w:sz w:val="20"/>
          <w:szCs w:val="20"/>
          <w:color w:val="auto"/>
        </w:rPr>
      </w:pPr>
    </w:p>
    <w:p>
      <w:pPr>
        <w:jc w:val="both"/>
        <w:ind w:right="2939"/>
        <w:spacing w:after="0" w:line="252" w:lineRule="auto"/>
        <w:rPr>
          <w:sz w:val="20"/>
          <w:szCs w:val="20"/>
          <w:color w:val="auto"/>
        </w:rPr>
      </w:pPr>
      <w:r>
        <w:rPr>
          <w:rFonts w:ascii="Courier New" w:cs="Courier New" w:eastAsia="Courier New" w:hAnsi="Courier New"/>
          <w:sz w:val="15"/>
          <w:szCs w:val="15"/>
          <w:color w:val="auto"/>
        </w:rPr>
        <w:t>Payment Plan (DRIP). Beginning in November 1995 Portland General began open market purchases of common stock for the DRIP program rather than issuing new shares.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185"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CASH PROVIDED BY OPERATIONS is used to meet the day-to-day cash requirements of PGE. Supplemental cash is obtained from external borrowings as needed.</w:t>
      </w:r>
    </w:p>
    <w:p>
      <w:pPr>
        <w:spacing w:after="0" w:line="174"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A significant portion of cash from operations  comes  from  depreciation  and amortization  of  utility  plant,  charges  which  are  recovered  in customer revenues  but require no current cash outlay.  Changes in accounts receivable and accounts  payable  can  also be significant contributors or users of cash. Improved cash flow for the current  year  reflects the Company's general price increase  and  lower variable power costs.  Cash  flows  were  not  adversely</w:t>
      </w:r>
    </w:p>
    <w:p>
      <w:pPr>
        <w:spacing w:after="0" w:line="3" w:lineRule="exact"/>
        <w:rPr>
          <w:sz w:val="20"/>
          <w:szCs w:val="20"/>
          <w:color w:val="auto"/>
        </w:rPr>
      </w:pPr>
    </w:p>
    <w:p>
      <w:pPr>
        <w:ind w:right="2939" w:firstLine="92"/>
        <w:spacing w:after="0" w:line="250" w:lineRule="auto"/>
        <w:rPr>
          <w:sz w:val="20"/>
          <w:szCs w:val="20"/>
          <w:color w:val="auto"/>
        </w:rPr>
      </w:pPr>
      <w:r>
        <w:rPr>
          <w:rFonts w:ascii="Courier New" w:cs="Courier New" w:eastAsia="Courier New" w:hAnsi="Courier New"/>
          <w:sz w:val="15"/>
          <w:szCs w:val="15"/>
          <w:color w:val="auto"/>
        </w:rPr>
        <w:t>affected by the $50 million non-cash charge to income for regulatory disallowances. 1994 cash flows were affected by a $20 million tax prepayment related to a 1985 WNP-3 abandonment loss deduction which was challenged by</w:t>
      </w:r>
    </w:p>
    <w:p>
      <w:pPr>
        <w:spacing w:after="0" w:line="1"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the IRS.  During 1995 Portland General reached  a  settlement  with  the  IRS regarding  the  deduction.   The  settlement  did  not  materially  affect the Company's   cash  requirements  (see  Note  3,  Income  Taxes,  for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INVESTING ACTIVITIES include generation, transmission and distribution facilities improvements, as well as energy efficiency programs. 1995 capital expenditures of $232 million were primarily for the expansion and upgrade of</w:t>
      </w:r>
    </w:p>
    <w:p>
      <w:pPr>
        <w:spacing w:after="0" w:line="1" w:lineRule="exact"/>
        <w:rPr>
          <w:sz w:val="20"/>
          <w:szCs w:val="20"/>
          <w:color w:val="auto"/>
        </w:rPr>
      </w:pPr>
    </w:p>
    <w:p>
      <w:pPr>
        <w:jc w:val="both"/>
        <w:ind w:right="2939" w:firstLine="92"/>
        <w:spacing w:after="0" w:line="251" w:lineRule="auto"/>
        <w:rPr>
          <w:sz w:val="20"/>
          <w:szCs w:val="20"/>
          <w:color w:val="auto"/>
        </w:rPr>
      </w:pPr>
      <w:r>
        <w:rPr>
          <w:rFonts w:ascii="Courier New" w:cs="Courier New" w:eastAsia="Courier New" w:hAnsi="Courier New"/>
          <w:sz w:val="15"/>
          <w:szCs w:val="15"/>
          <w:color w:val="auto"/>
        </w:rPr>
        <w:t>its transmission and distribution system and completion of Coyote Springs. Annual capital expenditures are expected to be approximately $170 million over the next few years. The majority of anticipated capital expenditures are for improvements to the Company's expanding distribution system to support the addition of new customers to PGE's service territory.</w:t>
      </w:r>
    </w:p>
    <w:p>
      <w:pPr>
        <w:spacing w:after="0" w:line="176" w:lineRule="exact"/>
        <w:rPr>
          <w:sz w:val="20"/>
          <w:szCs w:val="20"/>
          <w:color w:val="auto"/>
        </w:rPr>
      </w:pPr>
    </w:p>
    <w:p>
      <w:pPr>
        <w:jc w:val="both"/>
        <w:ind w:right="2939" w:firstLine="92"/>
        <w:spacing w:after="0" w:line="251" w:lineRule="auto"/>
        <w:rPr>
          <w:sz w:val="20"/>
          <w:szCs w:val="20"/>
          <w:color w:val="auto"/>
        </w:rPr>
      </w:pPr>
      <w:r>
        <w:rPr>
          <w:rFonts w:ascii="Courier New" w:cs="Courier New" w:eastAsia="Courier New" w:hAnsi="Courier New"/>
          <w:sz w:val="15"/>
          <w:szCs w:val="15"/>
          <w:color w:val="auto"/>
        </w:rPr>
        <w:t>The Company plans to proceed with obtaining required site permits for potential new generating resources but does not anticipate new construction in the foreseeable future. The Company will continue to make energy efficiency expenditures but at approximately 50% of 1995 levels.</w:t>
      </w:r>
    </w:p>
    <w:p>
      <w:pPr>
        <w:spacing w:after="0" w:line="176" w:lineRule="exact"/>
        <w:rPr>
          <w:sz w:val="20"/>
          <w:szCs w:val="20"/>
          <w:color w:val="auto"/>
        </w:rPr>
      </w:pPr>
    </w:p>
    <w:p>
      <w:pPr>
        <w:jc w:val="both"/>
        <w:ind w:right="2939"/>
        <w:spacing w:after="0" w:line="252" w:lineRule="auto"/>
        <w:rPr>
          <w:sz w:val="20"/>
          <w:szCs w:val="20"/>
          <w:color w:val="auto"/>
        </w:rPr>
      </w:pPr>
      <w:r>
        <w:rPr>
          <w:rFonts w:ascii="Courier New" w:cs="Courier New" w:eastAsia="Courier New" w:hAnsi="Courier New"/>
          <w:sz w:val="15"/>
          <w:szCs w:val="15"/>
          <w:color w:val="auto"/>
        </w:rPr>
        <w:t>FINANCING ACTIVITIES provide supplemental cash for day-to-day operations and capital requirements as needed. During 1996 internal funding is expected to cover the Company's capital expenditures.</w:t>
      </w:r>
    </w:p>
    <w:p>
      <w:pPr>
        <w:spacing w:after="0" w:line="17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PGE  maintains  varying levels of short-term debt, primarily in the  form  of commercial paper,  which  serve  as  the  primary form of daily liquidity with 1995 balances ranging from $30 million to $170 million. PGE  has  committed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borrowing</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facilities totaling $200 million which  are used primarily as backup for PGE's $200 million commercial paper facility.   In  July 1995, PGE extended the life of  its $200 million credit facility to five years  and  reduced  the  annual commitment  fee  to  ensure  adequate  liquidity  and  take  advantage  of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attractive market for credit.</w:t>
      </w:r>
    </w:p>
    <w:p>
      <w:pPr>
        <w:spacing w:after="0" w:line="185" w:lineRule="exact"/>
        <w:rPr>
          <w:sz w:val="20"/>
          <w:szCs w:val="20"/>
          <w:color w:val="auto"/>
        </w:rPr>
      </w:pPr>
    </w:p>
    <w:p>
      <w:pPr>
        <w:ind w:right="2939" w:firstLine="92"/>
        <w:spacing w:after="0" w:line="251" w:lineRule="auto"/>
        <w:rPr>
          <w:sz w:val="20"/>
          <w:szCs w:val="20"/>
          <w:color w:val="auto"/>
        </w:rPr>
      </w:pPr>
      <w:r>
        <w:rPr>
          <w:rFonts w:ascii="Courier New" w:cs="Courier New" w:eastAsia="Courier New" w:hAnsi="Courier New"/>
          <w:sz w:val="15"/>
          <w:szCs w:val="15"/>
          <w:color w:val="auto"/>
        </w:rPr>
        <w:t>In 1995 PGE redeemed $80 million of preferred stock including a $10 million sinking fund payment. To fund the redemption, PGE issued $75 million of Junior Subordinated Deferrable Interest Debentures due 2035, which are listed on the NYSE.</w:t>
      </w:r>
    </w:p>
    <w:p>
      <w:pPr>
        <w:spacing w:after="0" w:line="176"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In May 1995 PGE issued $75 million of medium term notes secured by its First Mortgage Bond Indenture with maturities ranging from 5 to 12 years. Concurrently with the issuance of the debt, PGE settled two outstanding forward interest rate swap agreements, each with a notional amount of $25 million, which were initiated in November 1994. The termination resulted in a $5 million payment which was deferred and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amortized over the average life of the bonds issued.</w:t>
      </w:r>
    </w:p>
    <w:p>
      <w:pPr>
        <w:spacing w:after="0" w:line="185" w:lineRule="exact"/>
        <w:rPr>
          <w:sz w:val="20"/>
          <w:szCs w:val="20"/>
          <w:color w:val="auto"/>
        </w:rPr>
      </w:pPr>
    </w:p>
    <w:p>
      <w:pPr>
        <w:jc w:val="both"/>
        <w:ind w:right="2939"/>
        <w:spacing w:after="0" w:line="250" w:lineRule="auto"/>
        <w:rPr>
          <w:sz w:val="20"/>
          <w:szCs w:val="20"/>
          <w:color w:val="auto"/>
        </w:rPr>
      </w:pPr>
      <w:r>
        <w:rPr>
          <w:rFonts w:ascii="Courier New" w:cs="Courier New" w:eastAsia="Courier New" w:hAnsi="Courier New"/>
          <w:sz w:val="15"/>
          <w:szCs w:val="15"/>
          <w:color w:val="auto"/>
        </w:rPr>
        <w:t>PGE filed a shelf registration statement for $250 million providing for the issuance of secured debt as well as unsecured senior and junior debentures. The registration statement allows for the debt to be issued for terms ranging from nine months to 40 years as either fixed or floating rate debt. With the</w:t>
      </w:r>
    </w:p>
    <w:p>
      <w:pPr>
        <w:spacing w:after="0" w:line="2" w:lineRule="exact"/>
        <w:rPr>
          <w:sz w:val="20"/>
          <w:szCs w:val="20"/>
          <w:color w:val="auto"/>
        </w:rPr>
      </w:pPr>
    </w:p>
    <w:p>
      <w:pPr>
        <w:ind w:left="100"/>
        <w:spacing w:after="0"/>
        <w:tabs>
          <w:tab w:leader="none" w:pos="1000" w:val="left"/>
        </w:tabs>
        <w:rPr>
          <w:sz w:val="20"/>
          <w:szCs w:val="20"/>
          <w:color w:val="auto"/>
        </w:rPr>
      </w:pPr>
      <w:r>
        <w:rPr>
          <w:rFonts w:ascii="Courier New" w:cs="Courier New" w:eastAsia="Courier New" w:hAnsi="Courier New"/>
          <w:sz w:val="15"/>
          <w:szCs w:val="15"/>
          <w:color w:val="auto"/>
        </w:rPr>
        <w:t>issuance</w:t>
        <w:tab/>
        <w:t>of the $75 million</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650" w:right="1440" w:bottom="1440" w:gutter="0" w:footer="0" w:header="0"/>
        </w:sectPr>
      </w:pPr>
    </w:p>
    <w:bookmarkStart w:id="29" w:name="page30"/>
    <w:bookmarkEnd w:id="29"/>
    <w:p>
      <w:pPr>
        <w:ind w:left="100"/>
        <w:spacing w:after="0"/>
        <w:rPr>
          <w:sz w:val="20"/>
          <w:szCs w:val="20"/>
          <w:color w:val="auto"/>
        </w:rPr>
      </w:pPr>
      <w:r>
        <w:rPr>
          <w:rFonts w:ascii="Courier New" w:cs="Courier New" w:eastAsia="Courier New" w:hAnsi="Courier New"/>
          <w:sz w:val="15"/>
          <w:szCs w:val="15"/>
          <w:color w:val="auto"/>
        </w:rPr>
        <w:t>of debentures discussed above, PGE currently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$175 million of debt issuance capacity under its existing shelf registration.</w:t>
      </w:r>
    </w:p>
    <w:p>
      <w:pPr>
        <w:spacing w:after="0" w:line="185" w:lineRule="exact"/>
        <w:rPr>
          <w:sz w:val="20"/>
          <w:szCs w:val="20"/>
          <w:color w:val="auto"/>
        </w:rPr>
      </w:pPr>
    </w:p>
    <w:p>
      <w:pPr>
        <w:jc w:val="both"/>
        <w:ind w:right="2939"/>
        <w:spacing w:after="0" w:line="250" w:lineRule="auto"/>
        <w:rPr>
          <w:sz w:val="20"/>
          <w:szCs w:val="20"/>
          <w:color w:val="auto"/>
        </w:rPr>
      </w:pPr>
      <w:r>
        <w:rPr>
          <w:rFonts w:ascii="Courier New" w:cs="Courier New" w:eastAsia="Courier New" w:hAnsi="Courier New"/>
          <w:sz w:val="15"/>
          <w:szCs w:val="15"/>
          <w:color w:val="auto"/>
        </w:rPr>
        <w:t>The issuance of additional preferred stock and First Mortgage Bonds requires PGE to meet earnings coverage and security provisions set forth in the Articles of Incorporation and the Indenture securing its First Mortgage Bonds.</w:t>
      </w:r>
    </w:p>
    <w:p>
      <w:pPr>
        <w:spacing w:after="0" w:line="1" w:lineRule="exact"/>
        <w:rPr>
          <w:sz w:val="20"/>
          <w:szCs w:val="20"/>
          <w:color w:val="auto"/>
        </w:rPr>
      </w:pPr>
    </w:p>
    <w:p>
      <w:pPr>
        <w:jc w:val="both"/>
        <w:ind w:right="2939" w:firstLine="92"/>
        <w:spacing w:after="0" w:line="253" w:lineRule="auto"/>
        <w:rPr>
          <w:sz w:val="20"/>
          <w:szCs w:val="20"/>
          <w:color w:val="auto"/>
        </w:rPr>
      </w:pPr>
      <w:r>
        <w:rPr>
          <w:rFonts w:ascii="Courier New" w:cs="Courier New" w:eastAsia="Courier New" w:hAnsi="Courier New"/>
          <w:sz w:val="15"/>
          <w:szCs w:val="15"/>
          <w:color w:val="auto"/>
        </w:rPr>
        <w:t>As of December 31, 1995, PGE could issue $408 million of preferred stock and $455 million of additional First Mortgage Bonds.</w:t>
      </w:r>
    </w:p>
    <w:p>
      <w:pPr>
        <w:spacing w:after="0" w:line="174"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In January 1996 the Company issued a $35 million variable rate note to a commercial bank maturing in January 1997 to fund the early redemption of 7.75% and 7.95% First Mortgage Bonds.</w:t>
      </w:r>
    </w:p>
    <w:p>
      <w:pPr>
        <w:spacing w:after="0" w:line="35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FINANCIAL AND OPERATING OUTLOOK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The Energy Policy Act of 1992 (Energy Act) set the stage for change in federal and   state  regulations  aimed  at  increasing  both  wholesale  and  retail competition  in  the  electric industry.  The Energy Act eased restrictions on independent power production  and  granted  authority  to FERC to mandate open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 for the wholesale transmission of electricity.</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FERC has taken steps to provide a framework for increased  competition  in the electric  industry.   In March 1995 it issued a Notice of Proposed Rulemaking (NOPR) regarding non-discriminatory  open access transmission requirements for all public utilities.  The proposed rules  address  several  issues  including stranded  asset  recovery  and  open access transmission of electricity.   If adopted,  the  proposed  open access  transmission  requirements  would  give wholesale competitors access  to  PGE's  transmission facilities and, in turn, give PGE access to others' transmission facilities.  PGE filed  an open access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transmission tariff with FERC but has not yet received an order.</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Since the passage of the Energy Act, various  state  utility  commissions have addressed  proposals which would gradually allow customers direct  access  to generation suppliers,  marketers,  brokers  and  other  service providers in a competitive marketplace for energy services.  Although presently  operating in</w:t>
      </w:r>
    </w:p>
    <w:p>
      <w:pPr>
        <w:spacing w:after="0" w:line="2" w:lineRule="exact"/>
        <w:rPr>
          <w:sz w:val="20"/>
          <w:szCs w:val="20"/>
          <w:color w:val="auto"/>
        </w:rPr>
      </w:pPr>
    </w:p>
    <w:p>
      <w:pPr>
        <w:jc w:val="both"/>
        <w:ind w:right="2939" w:firstLine="99"/>
        <w:spacing w:after="0" w:line="251" w:lineRule="auto"/>
        <w:tabs>
          <w:tab w:leader="none" w:pos="3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cost-based regulated environment, PGE expects increasing competition from other forms of energy and other suppliers of electricity. While the Company is unable to determine the future impact of increased competition, it believes that ultimately it will result in reduced wholesale and retail prices.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OREGON REGULATORY ENVIRONMENT</w:t>
      </w:r>
    </w:p>
    <w:p>
      <w:pPr>
        <w:spacing w:after="0" w:line="8"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The OPUC is approaching  the  issues  of  retail  competition  on an informal, utility-by-utility   basis,   rather   than   through  generic,  broad-based proceedings.   The OPUC has had a long-standing policy  of  allowing  special contracts for customers  that  have  competitive  options, and  many  of PGE's largest customers receive power under such contracts.  In addition, the  OPUC approved  an  innovative  rate schedule under which PGE is sharing some of the risks and rewards of a more competitive wholesale market with large industrial and commercial customers not  already  under  special  contract.   The OPUC is exploring  performance-based  ratemaking  in  a  rate case for another Oregon</w:t>
      </w:r>
    </w:p>
    <w:p>
      <w:pPr>
        <w:spacing w:after="0" w:line="4" w:lineRule="exact"/>
        <w:rPr>
          <w:sz w:val="20"/>
          <w:szCs w:val="20"/>
          <w:color w:val="auto"/>
        </w:rPr>
      </w:pPr>
    </w:p>
    <w:p>
      <w:pPr>
        <w:ind w:right="3019" w:firstLine="92"/>
        <w:spacing w:after="0" w:line="253" w:lineRule="auto"/>
        <w:rPr>
          <w:sz w:val="20"/>
          <w:szCs w:val="20"/>
          <w:color w:val="auto"/>
        </w:rPr>
      </w:pPr>
      <w:r>
        <w:rPr>
          <w:rFonts w:ascii="Courier New" w:cs="Courier New" w:eastAsia="Courier New" w:hAnsi="Courier New"/>
          <w:sz w:val="15"/>
          <w:szCs w:val="15"/>
          <w:color w:val="auto"/>
        </w:rPr>
        <w:t>investor-owned utility and, with regard to PGE, has expressed interest in receiving proposals for accelerated recovery of regulatory assets.</w:t>
      </w:r>
    </w:p>
    <w:p>
      <w:pPr>
        <w:spacing w:after="0" w:line="174" w:lineRule="exact"/>
        <w:rPr>
          <w:sz w:val="20"/>
          <w:szCs w:val="20"/>
          <w:color w:val="auto"/>
        </w:rPr>
      </w:pPr>
    </w:p>
    <w:p>
      <w:pPr>
        <w:ind w:left="100" w:right="2939" w:hanging="91"/>
        <w:spacing w:after="0" w:line="250" w:lineRule="auto"/>
        <w:rPr>
          <w:sz w:val="20"/>
          <w:szCs w:val="20"/>
          <w:color w:val="auto"/>
        </w:rPr>
      </w:pPr>
      <w:r>
        <w:rPr>
          <w:rFonts w:ascii="Courier New" w:cs="Courier New" w:eastAsia="Courier New" w:hAnsi="Courier New"/>
          <w:sz w:val="15"/>
          <w:szCs w:val="15"/>
          <w:color w:val="auto"/>
        </w:rPr>
        <w:t>Recent rate orders have substantially reduced the Company's regulatory risks, particularly the uncertainty associated with the recovery of various</w:t>
      </w:r>
    </w:p>
    <w:p>
      <w:pPr>
        <w:spacing w:after="0" w:line="1"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regulatory assets.  The  OPUC  approved  recovery  of  87%  of PGE's remaining investment in Trojan and full recovery of Trojan's decommissioning  costs (see Item  3, Legal  Proceedings, for discussion on legal challenges to the OPUC's authorization).   The   OPUC  also  approved  a   proposal  under  which  PGE</w:t>
      </w:r>
    </w:p>
    <w:p>
      <w:pPr>
        <w:spacing w:after="0" w:line="2" w:lineRule="exact"/>
        <w:rPr>
          <w:sz w:val="20"/>
          <w:szCs w:val="20"/>
          <w:color w:val="auto"/>
        </w:rPr>
      </w:pPr>
    </w:p>
    <w:p>
      <w:pPr>
        <w:jc w:val="both"/>
        <w:ind w:right="3399"/>
        <w:spacing w:after="0" w:line="253" w:lineRule="auto"/>
        <w:rPr>
          <w:sz w:val="20"/>
          <w:szCs w:val="20"/>
          <w:color w:val="auto"/>
        </w:rPr>
      </w:pPr>
      <w:r>
        <w:rPr>
          <w:rFonts w:ascii="Courier New" w:cs="Courier New" w:eastAsia="Courier New" w:hAnsi="Courier New"/>
          <w:sz w:val="15"/>
          <w:szCs w:val="15"/>
          <w:color w:val="auto"/>
        </w:rPr>
        <w:t>simultaneously eliminated certain regulatory assets and liabilities (see Note 13, Regulatory Matters, for further discussion of 1995 rate orders).</w:t>
      </w:r>
    </w:p>
    <w:p>
      <w:pPr>
        <w:spacing w:after="0" w:line="174" w:lineRule="exact"/>
        <w:rPr>
          <w:sz w:val="20"/>
          <w:szCs w:val="20"/>
          <w:color w:val="auto"/>
        </w:rPr>
      </w:pPr>
    </w:p>
    <w:p>
      <w:pPr>
        <w:jc w:val="both"/>
        <w:ind w:right="2939"/>
        <w:spacing w:after="0" w:line="252" w:lineRule="auto"/>
        <w:rPr>
          <w:sz w:val="20"/>
          <w:szCs w:val="20"/>
          <w:color w:val="auto"/>
        </w:rPr>
      </w:pPr>
      <w:r>
        <w:rPr>
          <w:rFonts w:ascii="Courier New" w:cs="Courier New" w:eastAsia="Courier New" w:hAnsi="Courier New"/>
          <w:sz w:val="15"/>
          <w:szCs w:val="15"/>
          <w:color w:val="auto"/>
        </w:rPr>
        <w:t>It remains to be determined what effect future competitive factors may have on retail rates in Oregon and the Company's ability to fully recover remaining regulatory assets.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650" w:right="1440" w:bottom="1440" w:gutter="0" w:footer="0" w:header="0"/>
        </w:sectPr>
      </w:pPr>
    </w:p>
    <w:bookmarkStart w:id="30" w:name="page31"/>
    <w:bookmarkEnd w:id="30"/>
    <w:p>
      <w:pPr>
        <w:ind w:left="80"/>
        <w:spacing w:after="0"/>
        <w:rPr>
          <w:sz w:val="20"/>
          <w:szCs w:val="20"/>
          <w:color w:val="auto"/>
        </w:rPr>
      </w:pPr>
      <w:r>
        <w:rPr>
          <w:rFonts w:ascii="Courier New" w:cs="Courier New" w:eastAsia="Courier New" w:hAnsi="Courier New"/>
          <w:sz w:val="15"/>
          <w:szCs w:val="15"/>
          <w:color w:val="auto"/>
        </w:rPr>
        <w:t>CUSTOMER GROWTH AND ENERGY SALES</w:t>
      </w:r>
    </w:p>
    <w:p>
      <w:pPr>
        <w:spacing w:after="0" w:line="8"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The growth of PGE's retail customer  base  by  over  14,600  contributed to an average  2.8%  increase  in  weather-adjusted retail kWh sales.  The  Company continues to benefit from consistent growth in its residential customer class. During  1995,  the addition of  approximately  12,900  residential  customers resulted in a 1.2%  load  growth  for  this  customer class.  Over the past 10 years increases in the number of residential customers  has  resulted  in  an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average annual residential load growth of 1.2%.</w:t>
      </w:r>
    </w:p>
    <w:p>
      <w:pPr>
        <w:spacing w:after="0" w:line="185" w:lineRule="exact"/>
        <w:rPr>
          <w:sz w:val="20"/>
          <w:szCs w:val="20"/>
          <w:color w:val="auto"/>
        </w:rPr>
      </w:pPr>
    </w:p>
    <w:p>
      <w:pPr>
        <w:jc w:val="right"/>
        <w:ind w:left="80" w:right="3119"/>
        <w:spacing w:after="0" w:line="250" w:lineRule="auto"/>
        <w:rPr>
          <w:sz w:val="20"/>
          <w:szCs w:val="20"/>
          <w:color w:val="auto"/>
        </w:rPr>
      </w:pPr>
      <w:r>
        <w:rPr>
          <w:rFonts w:ascii="Courier New" w:cs="Courier New" w:eastAsia="Courier New" w:hAnsi="Courier New"/>
          <w:sz w:val="15"/>
          <w:szCs w:val="15"/>
          <w:color w:val="auto"/>
        </w:rPr>
        <w:t>In 1995, industrial  customers  expanded  their  demand for energy by  4.9%, making  them  the most rapidly growing customer class within PGE's  service</w:t>
      </w:r>
    </w:p>
    <w:p>
      <w:pPr>
        <w:spacing w:after="0" w:line="1" w:lineRule="exact"/>
        <w:rPr>
          <w:sz w:val="20"/>
          <w:szCs w:val="20"/>
          <w:color w:val="auto"/>
        </w:rPr>
      </w:pPr>
    </w:p>
    <w:p>
      <w:pPr>
        <w:ind w:left="80" w:right="2939"/>
        <w:spacing w:after="0" w:line="253" w:lineRule="auto"/>
        <w:rPr>
          <w:sz w:val="20"/>
          <w:szCs w:val="20"/>
          <w:color w:val="auto"/>
        </w:rPr>
      </w:pPr>
      <w:r>
        <w:rPr>
          <w:rFonts w:ascii="Courier New" w:cs="Courier New" w:eastAsia="Courier New" w:hAnsi="Courier New"/>
          <w:sz w:val="15"/>
          <w:szCs w:val="15"/>
          <w:color w:val="auto"/>
        </w:rPr>
        <w:t>territory. Above average growth in this class is expected to contribute to an overall retail load growth of approximately 4.6% in 1996.</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COMMODITY PRICE RISK MANAGEMENT</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The Company is exposed  to</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market risk arising</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from the</w:t>
            </w: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need to purchase fuel</w:t>
            </w:r>
          </w:p>
        </w:tc>
      </w:tr>
      <w:tr>
        <w:trPr>
          <w:trHeight w:val="177"/>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for its generating units (both</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rPr>
              <w:t>natural</w:t>
            </w:r>
          </w:p>
        </w:tc>
        <w:tc>
          <w:tcPr>
            <w:tcW w:w="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gas</w:t>
            </w:r>
          </w:p>
        </w:tc>
        <w:tc>
          <w:tcPr>
            <w:tcW w:w="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and</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coal)</w:t>
            </w: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well as the direct</w:t>
            </w:r>
          </w:p>
        </w:tc>
      </w:tr>
      <w:tr>
        <w:trPr>
          <w:trHeight w:val="177"/>
        </w:trPr>
        <w:tc>
          <w:tcPr>
            <w:tcW w:w="416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purchase  and sale of wholesale electricity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in</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support</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of</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its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retail  and</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wholesale markets.   PGE</w:t>
            </w:r>
          </w:p>
        </w:tc>
        <w:tc>
          <w:tcPr>
            <w:tcW w:w="17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operates without a</w:t>
            </w:r>
          </w:p>
        </w:tc>
        <w:tc>
          <w:tcPr>
            <w:tcW w:w="30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power cost adjustment tariff, and</w:t>
            </w:r>
          </w:p>
        </w:tc>
      </w:tr>
      <w:tr>
        <w:trPr>
          <w:trHeight w:val="177"/>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therefore adjustments for power</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rPr>
              <w:t>costs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above</w:t>
            </w:r>
          </w:p>
        </w:tc>
        <w:tc>
          <w:tcPr>
            <w:tcW w:w="180" w:type="dxa"/>
            <w:vAlign w:val="bottom"/>
          </w:tcPr>
          <w:p>
            <w:pPr>
              <w:spacing w:after="0"/>
              <w:rPr>
                <w:sz w:val="15"/>
                <w:szCs w:val="15"/>
                <w:color w:val="auto"/>
              </w:rPr>
            </w:pPr>
          </w:p>
        </w:tc>
        <w:tc>
          <w:tcPr>
            <w:tcW w:w="28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or below those used in existing</w:t>
            </w:r>
          </w:p>
        </w:tc>
      </w:tr>
      <w:tr>
        <w:trPr>
          <w:trHeight w:val="177"/>
        </w:trPr>
        <w:tc>
          <w:tcPr>
            <w:tcW w:w="4340" w:type="dxa"/>
            <w:vAlign w:val="bottom"/>
            <w:gridSpan w:val="5"/>
          </w:tcPr>
          <w:p>
            <w:pPr>
              <w:spacing w:after="0"/>
              <w:rPr>
                <w:sz w:val="20"/>
                <w:szCs w:val="20"/>
                <w:color w:val="auto"/>
              </w:rPr>
            </w:pPr>
            <w:r>
              <w:rPr>
                <w:rFonts w:ascii="Courier New" w:cs="Courier New" w:eastAsia="Courier New" w:hAnsi="Courier New"/>
                <w:sz w:val="15"/>
                <w:szCs w:val="15"/>
                <w:color w:val="auto"/>
              </w:rPr>
              <w:t>general tariffs are not automatically reflected</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w w:val="99"/>
              </w:rPr>
              <w:t>in</w:t>
            </w:r>
          </w:p>
        </w:tc>
        <w:tc>
          <w:tcPr>
            <w:tcW w:w="8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retail</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customers' rates.</w:t>
            </w:r>
          </w:p>
        </w:tc>
      </w:tr>
      <w:tr>
        <w:trPr>
          <w:trHeight w:val="177"/>
        </w:trPr>
        <w:tc>
          <w:tcPr>
            <w:tcW w:w="4340" w:type="dxa"/>
            <w:vAlign w:val="bottom"/>
            <w:gridSpan w:val="5"/>
          </w:tcPr>
          <w:p>
            <w:pPr>
              <w:spacing w:after="0"/>
              <w:rPr>
                <w:sz w:val="20"/>
                <w:szCs w:val="20"/>
                <w:color w:val="auto"/>
              </w:rPr>
            </w:pPr>
            <w:r>
              <w:rPr>
                <w:rFonts w:ascii="Courier New" w:cs="Courier New" w:eastAsia="Courier New" w:hAnsi="Courier New"/>
                <w:sz w:val="15"/>
                <w:szCs w:val="15"/>
                <w:color w:val="auto"/>
              </w:rPr>
              <w:t>Through the formation of the trading floor, PGE</w:t>
            </w:r>
          </w:p>
        </w:tc>
        <w:tc>
          <w:tcPr>
            <w:tcW w:w="18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has integrated  its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wholesale</w:t>
            </w:r>
          </w:p>
        </w:tc>
      </w:tr>
    </w:tbl>
    <w:p>
      <w:pPr>
        <w:spacing w:after="0" w:line="5"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marketing, fuels, power operations and price risk management functions.   This has  led  to  a more efficient energy  production and procurement process, as well as an expansion of the Company's ability to offer its customers a variety</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rPr>
              <w:t>of energy solutions</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and</w:t>
            </w: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pricing.   This</w:t>
            </w: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expansion  of product offerings, in</w:t>
            </w:r>
          </w:p>
        </w:tc>
      </w:tr>
      <w:tr>
        <w:trPr>
          <w:trHeight w:val="177"/>
        </w:trPr>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rPr>
              <w:t>conjunction  with</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4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development of a broader, more competitive  wholesale</w:t>
            </w:r>
          </w:p>
        </w:tc>
      </w:tr>
      <w:tr>
        <w:trPr>
          <w:trHeight w:val="177"/>
        </w:trPr>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rPr>
              <w:t>electricity market,</w:t>
            </w:r>
          </w:p>
        </w:tc>
        <w:tc>
          <w:tcPr>
            <w:tcW w:w="520" w:type="dxa"/>
            <w:vAlign w:val="bottom"/>
          </w:tcPr>
          <w:p>
            <w:pPr>
              <w:ind w:left="60"/>
              <w:spacing w:after="0"/>
              <w:rPr>
                <w:sz w:val="20"/>
                <w:szCs w:val="20"/>
                <w:color w:val="auto"/>
              </w:rPr>
            </w:pPr>
            <w:r>
              <w:rPr>
                <w:rFonts w:ascii="Courier New" w:cs="Courier New" w:eastAsia="Courier New" w:hAnsi="Courier New"/>
                <w:sz w:val="15"/>
                <w:szCs w:val="15"/>
                <w:color w:val="auto"/>
                <w:w w:val="97"/>
              </w:rPr>
              <w:t>means</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the  Company</w:t>
            </w:r>
          </w:p>
        </w:tc>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must actively manage its market price</w:t>
            </w:r>
          </w:p>
        </w:tc>
      </w:tr>
    </w:tbl>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risk.</w:t>
      </w:r>
    </w:p>
    <w:p>
      <w:pPr>
        <w:spacing w:after="0" w:line="185"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The Company uses financial instruments, such as commodity futures, options, forwards and swaps, to hedge the price of natural gas and electricity and reduce the Company's exposure to market fluctuations in the price of natural gas and electricity. In addition to hedging</w:t>
      </w:r>
    </w:p>
    <w:p>
      <w:pPr>
        <w:spacing w:after="0" w:line="2" w:lineRule="exact"/>
        <w:rPr>
          <w:sz w:val="20"/>
          <w:szCs w:val="20"/>
          <w:color w:val="auto"/>
        </w:rPr>
      </w:pPr>
    </w:p>
    <w:p>
      <w:pPr>
        <w:ind w:left="180" w:right="3119"/>
        <w:spacing w:after="0" w:line="250" w:lineRule="auto"/>
        <w:rPr>
          <w:sz w:val="20"/>
          <w:szCs w:val="20"/>
          <w:color w:val="auto"/>
        </w:rPr>
      </w:pPr>
      <w:r>
        <w:rPr>
          <w:rFonts w:ascii="Courier New" w:cs="Courier New" w:eastAsia="Courier New" w:hAnsi="Courier New"/>
          <w:sz w:val="15"/>
          <w:szCs w:val="15"/>
          <w:color w:val="auto"/>
        </w:rPr>
        <w:t>activities, Company policy has been expanded to allow for the use of financial instruments for trading purposes in support of Company operations</w:t>
      </w:r>
    </w:p>
    <w:p>
      <w:pPr>
        <w:spacing w:after="0" w:line="1"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although no trading of financial instruments was done during the year. In 1995, transactions consisted primarily of fixed for floating swap agreements where the Company receives or makes payments based on the differential between a specified price and the actual price of natural gas or electricity. Swap contracts</w:t>
      </w:r>
    </w:p>
    <w:p>
      <w:pPr>
        <w:spacing w:after="0" w:line="2" w:lineRule="exact"/>
        <w:rPr>
          <w:sz w:val="20"/>
          <w:szCs w:val="20"/>
          <w:color w:val="auto"/>
        </w:rPr>
      </w:pPr>
    </w:p>
    <w:p>
      <w:pPr>
        <w:ind w:left="80" w:right="2939"/>
        <w:spacing w:after="0" w:line="252" w:lineRule="auto"/>
        <w:rPr>
          <w:sz w:val="20"/>
          <w:szCs w:val="20"/>
          <w:color w:val="auto"/>
        </w:rPr>
      </w:pPr>
      <w:r>
        <w:rPr>
          <w:rFonts w:ascii="Courier New" w:cs="Courier New" w:eastAsia="Courier New" w:hAnsi="Courier New"/>
          <w:sz w:val="15"/>
          <w:szCs w:val="15"/>
          <w:color w:val="auto"/>
        </w:rPr>
        <w:t>generally require monthly cash settlements over the term of the contract. The Company is exposed to credit risk in the event of non-performance by the counterparties and has established guidelines to mitigate that risk.</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POWER &amp; FUEL SUPPLY</w:t>
      </w:r>
    </w:p>
    <w:p>
      <w:pPr>
        <w:spacing w:after="0" w:line="8" w:lineRule="exact"/>
        <w:rPr>
          <w:sz w:val="20"/>
          <w:szCs w:val="20"/>
          <w:color w:val="auto"/>
        </w:rPr>
      </w:pPr>
    </w:p>
    <w:p>
      <w:pPr>
        <w:jc w:val="both"/>
        <w:ind w:left="80" w:right="2939" w:firstLine="92"/>
        <w:spacing w:after="0" w:line="251" w:lineRule="auto"/>
        <w:rPr>
          <w:sz w:val="20"/>
          <w:szCs w:val="20"/>
          <w:color w:val="auto"/>
        </w:rPr>
      </w:pPr>
      <w:r>
        <w:rPr>
          <w:rFonts w:ascii="Courier New" w:cs="Courier New" w:eastAsia="Courier New" w:hAnsi="Courier New"/>
          <w:sz w:val="15"/>
          <w:szCs w:val="15"/>
          <w:color w:val="auto"/>
        </w:rPr>
        <w:t>PGE's base of hydro and thermal generating capacity provides the Company with the flexibility needed to respond to seasonal fluctuations in the demand for electricity both within its Oregon service territory and from its wholesale customers. PGE plans to generate 35% of its energy requirements during 1996, approximately the same level achieved during 1995.</w:t>
      </w:r>
    </w:p>
    <w:p>
      <w:pPr>
        <w:spacing w:after="0" w:line="176"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PGE maintains flexibility in fuel supply  contracts  to allow for the economic dispatch of PGE's thermal resources in conjunction with  hydro  operations and the  current market price of wholesale power.  The Company  benefits  from  a strategic  location  which  places  it  adjacent  to two competing natural gas</w:t>
      </w:r>
    </w:p>
    <w:p>
      <w:pPr>
        <w:spacing w:after="0" w:line="2" w:lineRule="exact"/>
        <w:rPr>
          <w:sz w:val="20"/>
          <w:szCs w:val="20"/>
          <w:color w:val="auto"/>
        </w:rPr>
      </w:pPr>
    </w:p>
    <w:p>
      <w:pPr>
        <w:jc w:val="both"/>
        <w:ind w:right="2839" w:firstLine="277"/>
        <w:spacing w:after="0" w:line="250" w:lineRule="auto"/>
        <w:rPr>
          <w:sz w:val="20"/>
          <w:szCs w:val="20"/>
          <w:color w:val="auto"/>
        </w:rPr>
      </w:pPr>
      <w:r>
        <w:rPr>
          <w:rFonts w:ascii="Courier New" w:cs="Courier New" w:eastAsia="Courier New" w:hAnsi="Courier New"/>
          <w:sz w:val="15"/>
          <w:szCs w:val="15"/>
          <w:color w:val="auto"/>
        </w:rPr>
        <w:t>pipelines with access to three significant producing basins. Firm transportation on both pipelines provides an adequate supply of natural gas to meet plant generating capacities. In addition, the Company maintains a</w:t>
      </w:r>
    </w:p>
    <w:p>
      <w:pPr>
        <w:spacing w:after="0" w:line="1" w:lineRule="exact"/>
        <w:rPr>
          <w:sz w:val="20"/>
          <w:szCs w:val="20"/>
          <w:color w:val="auto"/>
        </w:rPr>
      </w:pPr>
    </w:p>
    <w:p>
      <w:pPr>
        <w:ind w:left="80" w:right="2939" w:firstLine="92"/>
        <w:spacing w:after="0" w:line="253" w:lineRule="auto"/>
        <w:rPr>
          <w:sz w:val="20"/>
          <w:szCs w:val="20"/>
          <w:color w:val="auto"/>
        </w:rPr>
      </w:pPr>
      <w:r>
        <w:rPr>
          <w:rFonts w:ascii="Courier New" w:cs="Courier New" w:eastAsia="Courier New" w:hAnsi="Courier New"/>
          <w:sz w:val="15"/>
          <w:szCs w:val="15"/>
          <w:color w:val="auto"/>
        </w:rPr>
        <w:t>flexible portfolio of physical supply which relies heavily on short-term agreements and spot-market purchases to fuel plant operations.</w:t>
      </w:r>
    </w:p>
    <w:p>
      <w:pPr>
        <w:spacing w:after="0" w:line="174"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During 1995  the Company relied on wholesale purchases to supply approximately 64% of its energy needs, and PGE expects to purchase approximately 65% of its 1996 load requirements.   PGE  has  long-term  power contracts with four hydro projects on the mid-Columbia River which provide  PGE  with  590  MW.   Early predictions  of  1996  water  conditions  indicate  they will be about normal;</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however, efforts to restore salmon</w:t>
      </w:r>
    </w:p>
    <w:p>
      <w:pPr>
        <w:spacing w:after="0" w:line="8" w:lineRule="exact"/>
        <w:rPr>
          <w:sz w:val="20"/>
          <w:szCs w:val="20"/>
          <w:color w:val="auto"/>
        </w:rPr>
      </w:pPr>
    </w:p>
    <w:p>
      <w:pPr>
        <w:ind w:left="80" w:right="3299"/>
        <w:spacing w:after="0" w:line="253" w:lineRule="auto"/>
        <w:rPr>
          <w:sz w:val="20"/>
          <w:szCs w:val="20"/>
          <w:color w:val="auto"/>
        </w:rPr>
      </w:pPr>
      <w:r>
        <w:rPr>
          <w:rFonts w:ascii="Courier New" w:cs="Courier New" w:eastAsia="Courier New" w:hAnsi="Courier New"/>
          <w:sz w:val="15"/>
          <w:szCs w:val="15"/>
          <w:color w:val="auto"/>
        </w:rPr>
        <w:t>runs on the Columbia and Snake Rivers may affect the supply and price of purchased power (see Restoration</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50" w:right="1440" w:bottom="1440" w:gutter="0" w:footer="0" w:header="0"/>
        </w:sectPr>
      </w:pPr>
    </w:p>
    <w:bookmarkStart w:id="31" w:name="page32"/>
    <w:bookmarkEnd w:id="31"/>
    <w:p>
      <w:pPr>
        <w:ind w:left="80"/>
        <w:spacing w:after="0"/>
        <w:rPr>
          <w:sz w:val="20"/>
          <w:szCs w:val="20"/>
          <w:color w:val="auto"/>
        </w:rPr>
      </w:pPr>
      <w:r>
        <w:rPr>
          <w:rFonts w:ascii="Courier New" w:cs="Courier New" w:eastAsia="Courier New" w:hAnsi="Courier New"/>
          <w:sz w:val="15"/>
          <w:szCs w:val="15"/>
          <w:color w:val="auto"/>
        </w:rPr>
        <w:t>of Salmon Runs</w:t>
      </w:r>
    </w:p>
    <w:p>
      <w:pPr>
        <w:spacing w:after="0" w:line="8" w:lineRule="exact"/>
        <w:rPr>
          <w:sz w:val="20"/>
          <w:szCs w:val="20"/>
          <w:color w:val="auto"/>
        </w:rPr>
      </w:pPr>
    </w:p>
    <w:p>
      <w:pPr>
        <w:jc w:val="both"/>
        <w:ind w:left="80" w:right="2939"/>
        <w:spacing w:after="0" w:line="251" w:lineRule="auto"/>
        <w:rPr>
          <w:sz w:val="20"/>
          <w:szCs w:val="20"/>
          <w:color w:val="auto"/>
        </w:rPr>
      </w:pPr>
      <w:r>
        <w:rPr>
          <w:rFonts w:ascii="Courier New" w:cs="Courier New" w:eastAsia="Courier New" w:hAnsi="Courier New"/>
          <w:sz w:val="15"/>
          <w:szCs w:val="15"/>
          <w:color w:val="auto"/>
        </w:rPr>
        <w:t>below). Additional factors that could affect purchased power include weather conditions in the Northwest during winter months and in the Southwest during summer months, as well as the performance of major generating facilities in both regions.</w:t>
      </w:r>
    </w:p>
    <w:p>
      <w:pPr>
        <w:spacing w:after="0" w:line="176" w:lineRule="exact"/>
        <w:rPr>
          <w:sz w:val="20"/>
          <w:szCs w:val="20"/>
          <w:color w:val="auto"/>
        </w:rPr>
      </w:pPr>
    </w:p>
    <w:p>
      <w:pPr>
        <w:jc w:val="both"/>
        <w:ind w:left="80" w:right="2939" w:firstLine="92"/>
        <w:spacing w:after="0" w:line="250" w:lineRule="auto"/>
        <w:rPr>
          <w:sz w:val="20"/>
          <w:szCs w:val="20"/>
          <w:color w:val="auto"/>
        </w:rPr>
      </w:pPr>
      <w:r>
        <w:rPr>
          <w:rFonts w:ascii="Courier New" w:cs="Courier New" w:eastAsia="Courier New" w:hAnsi="Courier New"/>
          <w:sz w:val="15"/>
          <w:szCs w:val="15"/>
          <w:color w:val="auto"/>
        </w:rPr>
        <w:t>PGE has increasingly relied upon short-term purchases to meet its energy needs. The Company anticipates that an active wholesale market and surplus of generating capacity</w:t>
      </w:r>
    </w:p>
    <w:p>
      <w:pPr>
        <w:spacing w:after="0" w:line="1" w:lineRule="exact"/>
        <w:rPr>
          <w:sz w:val="20"/>
          <w:szCs w:val="20"/>
          <w:color w:val="auto"/>
        </w:rPr>
      </w:pPr>
    </w:p>
    <w:p>
      <w:pPr>
        <w:jc w:val="both"/>
        <w:ind w:left="80" w:right="2939"/>
        <w:spacing w:after="0" w:line="251" w:lineRule="auto"/>
        <w:rPr>
          <w:sz w:val="20"/>
          <w:szCs w:val="20"/>
          <w:color w:val="auto"/>
        </w:rPr>
      </w:pPr>
      <w:r>
        <w:rPr>
          <w:rFonts w:ascii="Courier New" w:cs="Courier New" w:eastAsia="Courier New" w:hAnsi="Courier New"/>
          <w:sz w:val="15"/>
          <w:szCs w:val="15"/>
          <w:color w:val="auto"/>
        </w:rPr>
        <w:t>within the WSCC (see the Power Supply discussion under Item 1, Business, for further information regarding the WSCC) should provide sufficient wholesale energy available at competitive prices to supplement Company generation and purchases under existing firm power contracts.</w:t>
      </w:r>
    </w:p>
    <w:p>
      <w:pPr>
        <w:spacing w:after="0" w:line="176"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RESTORATION  OF  SALMON  RUNS  -  Several  species  of Snake River salmon are protected as threatened under the Endangered Species Act  (ESA).   The federal government  has  taken  emergency  actions  that  have reduced the amount  of electricity generated at the Columbia and Snake River  dams  in  an attempt to save  the  endangered  fish.   In  January 1995 the National Marine Fisheries Service (NMFS) released a draft plan  calling  for  altering the management of federal dams and reservoirs in the Columbia River basin  in  order  to protect dwindling  salmon  stocks.   The  plan takes steps to boost river flows while young  salmon  are migrating and further  reduces  the  water  available  for generation.  The  release  of  the NMFS final plan is scheduled for early 1996</w:t>
      </w:r>
    </w:p>
    <w:p>
      <w:pPr>
        <w:spacing w:after="0" w:line="4" w:lineRule="exact"/>
        <w:rPr>
          <w:sz w:val="20"/>
          <w:szCs w:val="20"/>
          <w:color w:val="auto"/>
        </w:rPr>
      </w:pPr>
    </w:p>
    <w:p>
      <w:pPr>
        <w:ind w:left="80" w:right="2939" w:firstLine="92"/>
        <w:spacing w:after="0" w:line="251" w:lineRule="auto"/>
        <w:rPr>
          <w:sz w:val="20"/>
          <w:szCs w:val="20"/>
          <w:color w:val="auto"/>
        </w:rPr>
      </w:pPr>
      <w:r>
        <w:rPr>
          <w:rFonts w:ascii="Courier New" w:cs="Courier New" w:eastAsia="Courier New" w:hAnsi="Courier New"/>
          <w:sz w:val="15"/>
          <w:szCs w:val="15"/>
          <w:color w:val="auto"/>
        </w:rPr>
        <w:t>and is expected to call for salmon protection measures similar to those adopted by the draft plan. NMFS is empowered by the ESA to require salmon protection measures by the U.S. Bureau of Reclamation and the U.S. Army Corps of Engineers which operate the federal dams.</w:t>
      </w:r>
    </w:p>
    <w:p>
      <w:pPr>
        <w:spacing w:after="0" w:line="176" w:lineRule="exact"/>
        <w:rPr>
          <w:sz w:val="20"/>
          <w:szCs w:val="20"/>
          <w:color w:val="auto"/>
        </w:rPr>
      </w:pPr>
    </w:p>
    <w:p>
      <w:pPr>
        <w:ind w:left="80" w:right="2939" w:firstLine="92"/>
        <w:spacing w:after="0" w:line="251" w:lineRule="auto"/>
        <w:rPr>
          <w:sz w:val="20"/>
          <w:szCs w:val="20"/>
          <w:color w:val="auto"/>
        </w:rPr>
      </w:pPr>
      <w:r>
        <w:rPr>
          <w:rFonts w:ascii="Courier New" w:cs="Courier New" w:eastAsia="Courier New" w:hAnsi="Courier New"/>
          <w:sz w:val="15"/>
          <w:szCs w:val="15"/>
          <w:color w:val="auto"/>
        </w:rPr>
        <w:t>The Columbia River and its tributaries produce nearly two thirds of the electricity used in the region. PGE purchases power from many sources, including the mid-Columbia dams. Reductions in the amount of water allowed to flow through the dams' turbines reduce generation and increase the cost of power available to purchase on a non-contract, or secondary, basis. The attempt to improve fish passage by releasing more water from the reservoirs in the spring and summer could mean less water available in the fall and winter when the demand for electricity in the Pacific Northwest is the highest and could lead to higher power costs.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HYDRO RELICENSING</w:t>
      </w:r>
    </w:p>
    <w:p>
      <w:pPr>
        <w:spacing w:after="0" w:line="8"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PGE HYDRO - PGE's hydroelectric plants are some of the Company's most valuable resources supplying economical generation and flexible load following</w:t>
      </w:r>
    </w:p>
    <w:p>
      <w:pPr>
        <w:spacing w:after="0" w:line="1"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capabilities.  Company-owned hydro generation produced  2.4  million  MWh  of renewable  energy  in  1995, meeting  11%  of PGE's load.  PGE's hydroelectric plants, which operate under federal licenses,  will  be up for renewal between the  years  2001  and  2006.   The license for the 408-MW Pelton/Round  Butte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 - the Company's largest hydro resource - is the first up for renewal.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PGE</w:t>
      </w:r>
    </w:p>
    <w:p>
      <w:pPr>
        <w:spacing w:after="0" w:line="8" w:lineRule="exact"/>
        <w:rPr>
          <w:sz w:val="20"/>
          <w:szCs w:val="20"/>
          <w:color w:val="auto"/>
        </w:rPr>
      </w:pPr>
    </w:p>
    <w:p>
      <w:pPr>
        <w:jc w:val="both"/>
        <w:ind w:left="80" w:right="2939" w:firstLine="92"/>
        <w:spacing w:after="0" w:line="251" w:lineRule="auto"/>
        <w:rPr>
          <w:sz w:val="20"/>
          <w:szCs w:val="20"/>
          <w:color w:val="auto"/>
        </w:rPr>
      </w:pPr>
      <w:r>
        <w:rPr>
          <w:rFonts w:ascii="Courier New" w:cs="Courier New" w:eastAsia="Courier New" w:hAnsi="Courier New"/>
          <w:sz w:val="15"/>
          <w:szCs w:val="15"/>
          <w:color w:val="auto"/>
        </w:rPr>
        <w:t>will file a notice of intent with FERC officially beginning the anticipated minimum five year relicensing process. Should the relicensing process not be completed prior to the expiration of the original license, annual licenses will be issued, usually under the original terms and conditions.</w:t>
      </w:r>
    </w:p>
    <w:p>
      <w:pPr>
        <w:spacing w:after="0" w:line="176"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The relicensing process includes the involvement of numerous interested parties such as governmental agencies, public interest groups and communities, with much of the focus on environmental concerns. PGE has already performed many pre-filing activities including nearly 50 public meetings with such groups. The cost of relicensing includes legal and filing fees as well as the cost of environmental studies, possible fish passage measures and wildlife</w:t>
      </w:r>
    </w:p>
    <w:p>
      <w:pPr>
        <w:spacing w:after="0" w:line="3" w:lineRule="exact"/>
        <w:rPr>
          <w:sz w:val="20"/>
          <w:szCs w:val="20"/>
          <w:color w:val="auto"/>
        </w:rPr>
      </w:pPr>
    </w:p>
    <w:p>
      <w:pPr>
        <w:jc w:val="both"/>
        <w:ind w:left="80" w:right="2939" w:firstLine="92"/>
        <w:spacing w:after="0" w:line="251" w:lineRule="auto"/>
        <w:rPr>
          <w:sz w:val="20"/>
          <w:szCs w:val="20"/>
          <w:color w:val="auto"/>
        </w:rPr>
      </w:pPr>
      <w:r>
        <w:rPr>
          <w:rFonts w:ascii="Courier New" w:cs="Courier New" w:eastAsia="Courier New" w:hAnsi="Courier New"/>
          <w:sz w:val="15"/>
          <w:szCs w:val="15"/>
          <w:color w:val="auto"/>
        </w:rPr>
        <w:t>habitat enhancements. Relicensing cost may be a significant factor in determining whether a project remains cost-effective after a new license is obtained, especially for smaller projects. Although FERC has never denied an application or issued a license to anyone other than the incumbent licensee, this is no assurance that a new license will be granted.</w:t>
      </w:r>
    </w:p>
    <w:p>
      <w:pPr>
        <w:spacing w:after="0" w:line="176"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MID-COLUMBIA HYDRO - PGE's long-term power purchase contracts with certain public utility districts in the state of Washington expire between 2005 and 2017. Certain Idaho Electric Utility Co-operatives have initiated proceedings with FERC seeking to change the allocation of generation from the Priest Rapids and Wanapum dams between electric utilities in the region upon expiration of the current contracts. FERC is expected to rule on the matter during 1996.</w:t>
      </w:r>
    </w:p>
    <w:p>
      <w:pPr>
        <w:spacing w:after="0" w:line="3" w:lineRule="exact"/>
        <w:rPr>
          <w:sz w:val="20"/>
          <w:szCs w:val="20"/>
          <w:color w:val="auto"/>
        </w:rPr>
      </w:pPr>
    </w:p>
    <w:p>
      <w:pPr>
        <w:jc w:val="both"/>
        <w:ind w:right="3019"/>
        <w:spacing w:after="0" w:line="251" w:lineRule="auto"/>
        <w:rPr>
          <w:sz w:val="20"/>
          <w:szCs w:val="20"/>
          <w:color w:val="auto"/>
        </w:rPr>
      </w:pPr>
      <w:r>
        <w:rPr>
          <w:rFonts w:ascii="Courier New" w:cs="Courier New" w:eastAsia="Courier New" w:hAnsi="Courier New"/>
          <w:sz w:val="15"/>
          <w:szCs w:val="15"/>
          <w:color w:val="auto"/>
        </w:rPr>
        <w:t>PGE will seek renewal of these contracts under terms and conditions similar to the original. However, an unfavorable FERC ruling could result in a reduction of the amount of power from the two projects that PGE could acquire beyond the expiration dates of the current contracts. For further information regarding the power purchase contracts on the mid-Columbia dams, including Priest Rapids and Wanapum, see Note 9, Commitments, in the Notes to Financial Statements.</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50"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NUCLEAR DECOMMISSIONING</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In January 1995 PGE submitted its Trojan decommissioning  plan  to the NRC and EFSC.   The plan, which estimates PGE's cost to decommission Trojan  at  $358 million in  nominal  dollars  (actual  dollars  to  be  spent  in  each year), represents a site-specific decommissioning estimate performed for Trojan by an engineering firm experienced in decommissioning nuclear plants.  This estimate assumes  that  the  majority of decommissioning activities will occur between 1997 and 2001, beginning  with  the  removal of certain large plant components while construction of a temporary dry  spent  fuel  storage facility is taking place.  The plan anticipates final site restoration activities  will  begin in 2018 after PGE completes shipment of spent fuel to a USDOE facility (see  Note 11,  Trojan Nuclear Plant, for further discussion of the decommissioning plan and other  Trojan  issues).   PGE  anticipates approval of its decommissioning</w:t>
      </w:r>
    </w:p>
    <w:p>
      <w:pPr>
        <w:spacing w:after="0" w:line="5" w:lineRule="exact"/>
        <w:rPr>
          <w:sz w:val="20"/>
          <w:szCs w:val="20"/>
          <w:color w:val="auto"/>
        </w:rPr>
      </w:pPr>
    </w:p>
    <w:p>
      <w:pPr>
        <w:ind w:left="80" w:right="4219"/>
        <w:spacing w:after="0" w:line="256" w:lineRule="auto"/>
        <w:rPr>
          <w:sz w:val="20"/>
          <w:szCs w:val="20"/>
          <w:color w:val="auto"/>
        </w:rPr>
      </w:pPr>
      <w:r>
        <w:rPr>
          <w:rFonts w:ascii="Courier New" w:cs="Courier New" w:eastAsia="Courier New" w:hAnsi="Courier New"/>
          <w:sz w:val="15"/>
          <w:szCs w:val="15"/>
          <w:color w:val="auto"/>
        </w:rPr>
        <w:t>plan during 1996 following the completion of a review process. During 1995, PGE successfully completed the removal and burial of</w:t>
      </w:r>
    </w:p>
    <w:p>
      <w:pPr>
        <w:spacing w:after="0" w:line="34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50" w:right="1440" w:bottom="1440" w:gutter="0" w:footer="0" w:header="0"/>
        </w:sectPr>
      </w:pPr>
    </w:p>
    <w:bookmarkStart w:id="33" w:name="page34"/>
    <w:bookmarkEnd w:id="33"/>
    <w:p>
      <w:pPr>
        <w:ind w:left="80"/>
        <w:spacing w:after="0"/>
        <w:tabs>
          <w:tab w:leader="none" w:pos="900" w:val="left"/>
          <w:tab w:leader="none" w:pos="1260" w:val="left"/>
          <w:tab w:leader="none" w:pos="3840" w:val="left"/>
        </w:tabs>
        <w:rPr>
          <w:sz w:val="20"/>
          <w:szCs w:val="20"/>
          <w:color w:val="auto"/>
        </w:rPr>
      </w:pPr>
      <w:r>
        <w:rPr>
          <w:rFonts w:ascii="Courier New" w:cs="Courier New" w:eastAsia="Courier New" w:hAnsi="Courier New"/>
          <w:sz w:val="15"/>
          <w:szCs w:val="15"/>
          <w:color w:val="auto"/>
        </w:rPr>
        <w:t>certain</w:t>
        <w:tab/>
        <w:t>of</w:t>
        <w:tab/>
        <w:t>Trojan's large components.</w:t>
        <w:tab/>
        <w:t>Meanwhile, the Company is</w:t>
      </w:r>
    </w:p>
    <w:p>
      <w:pPr>
        <w:spacing w:after="0" w:line="8" w:lineRule="exact"/>
        <w:rPr>
          <w:sz w:val="20"/>
          <w:szCs w:val="20"/>
          <w:color w:val="auto"/>
        </w:rPr>
      </w:pPr>
    </w:p>
    <w:p>
      <w:pPr>
        <w:ind w:left="80" w:right="2939"/>
        <w:spacing w:after="0" w:line="253" w:lineRule="auto"/>
        <w:rPr>
          <w:sz w:val="20"/>
          <w:szCs w:val="20"/>
          <w:color w:val="auto"/>
        </w:rPr>
      </w:pPr>
      <w:r>
        <w:rPr>
          <w:rFonts w:ascii="Courier New" w:cs="Courier New" w:eastAsia="Courier New" w:hAnsi="Courier New"/>
          <w:sz w:val="15"/>
          <w:szCs w:val="15"/>
          <w:color w:val="auto"/>
        </w:rPr>
        <w:t>pursuing the licensing and planning issues in preparation for decommissioning activities to begin following plan approval.</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NEW ACCOUNTING STANDARDS</w:t>
      </w:r>
    </w:p>
    <w:p>
      <w:pPr>
        <w:spacing w:after="0" w:line="8" w:lineRule="exact"/>
        <w:rPr>
          <w:sz w:val="20"/>
          <w:szCs w:val="20"/>
          <w:color w:val="auto"/>
        </w:rPr>
      </w:pPr>
    </w:p>
    <w:p>
      <w:pPr>
        <w:ind w:left="180" w:right="2939" w:hanging="91"/>
        <w:spacing w:after="0" w:line="256" w:lineRule="auto"/>
        <w:rPr>
          <w:sz w:val="20"/>
          <w:szCs w:val="20"/>
          <w:color w:val="auto"/>
        </w:rPr>
      </w:pPr>
      <w:r>
        <w:rPr>
          <w:rFonts w:ascii="Courier New" w:cs="Courier New" w:eastAsia="Courier New" w:hAnsi="Courier New"/>
          <w:sz w:val="15"/>
          <w:szCs w:val="15"/>
          <w:color w:val="auto"/>
        </w:rPr>
        <w:t>SFAS No. 121, "Accounting for</w:t>
      </w:r>
      <w:r>
        <w:rPr>
          <w:sz w:val="20"/>
          <w:szCs w:val="20"/>
          <w:color w:val="auto"/>
        </w:rPr>
        <w:t xml:space="preserve"> </w:t>
      </w:r>
      <w:r>
        <w:rPr>
          <w:rFonts w:ascii="Courier New" w:cs="Courier New" w:eastAsia="Courier New" w:hAnsi="Courier New"/>
          <w:sz w:val="15"/>
          <w:szCs w:val="15"/>
          <w:color w:val="auto"/>
        </w:rPr>
        <w:t>the Impairment of Long-Lived Assets and Long-Lived Assets to be Disposed Of", imposes a stricter criterion for continuing to carry</w:t>
      </w:r>
    </w:p>
    <w:p>
      <w:pPr>
        <w:spacing w:after="0" w:line="170"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regulatory assets, requiring that such assets be probable of recovery at each balance sheet date. As of December 31, 1995, all regulatory assets are being collected in rates charged to customers.</w:t>
      </w:r>
    </w:p>
    <w:p>
      <w:pPr>
        <w:spacing w:after="0" w:line="17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Company's accounting  policies  conform  to  generally accepted accounting principles and consider the effects of ratemaking  practices.  The Company has recorded  certain  regulatory  assets and is dependent  upon  the  regulatory process to ensure that future revenues  will  be  provided  to  recover  these costs.  In the event that  all or a portion of the Company's operations are no</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longer subject to cost-</w:t>
      </w:r>
    </w:p>
    <w:p>
      <w:pPr>
        <w:spacing w:after="0" w:line="8" w:lineRule="exact"/>
        <w:rPr>
          <w:sz w:val="20"/>
          <w:szCs w:val="20"/>
          <w:color w:val="auto"/>
        </w:rPr>
      </w:pPr>
    </w:p>
    <w:p>
      <w:pPr>
        <w:jc w:val="both"/>
        <w:ind w:right="3019" w:firstLine="92"/>
        <w:spacing w:after="0" w:line="250" w:lineRule="auto"/>
        <w:rPr>
          <w:sz w:val="20"/>
          <w:szCs w:val="20"/>
          <w:color w:val="auto"/>
        </w:rPr>
      </w:pPr>
      <w:r>
        <w:rPr>
          <w:rFonts w:ascii="Courier New" w:cs="Courier New" w:eastAsia="Courier New" w:hAnsi="Courier New"/>
          <w:sz w:val="15"/>
          <w:szCs w:val="15"/>
          <w:color w:val="auto"/>
        </w:rPr>
        <w:t>based regulation (due to a change in regulation or the effects of competition), the Company could be required to recognize the impairment of and write down its long-lived assets to their fair value as well as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write off any remaining regulatory assets.</w:t>
      </w:r>
    </w:p>
    <w:p>
      <w:pPr>
        <w:spacing w:after="0" w:line="185"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SFAS No. 123, "Accounting for Stock-Based Compensation", effective in 1996, encourages companies to recognize compensation expense for the fair value of stock-based compensation. The Company has limited use of stock-based compensation and does not anticipate that the adoption of this standard will have a material impact on the financial position or results of operations or cash flows of</w:t>
      </w:r>
    </w:p>
    <w:p>
      <w:pPr>
        <w:spacing w:after="0" w:line="3" w:lineRule="exact"/>
        <w:rPr>
          <w:sz w:val="20"/>
          <w:szCs w:val="20"/>
          <w:color w:val="auto"/>
        </w:rPr>
      </w:pPr>
    </w:p>
    <w:p>
      <w:pPr>
        <w:ind w:right="3479"/>
        <w:spacing w:after="0" w:line="252" w:lineRule="auto"/>
        <w:rPr>
          <w:sz w:val="20"/>
          <w:szCs w:val="20"/>
          <w:color w:val="auto"/>
        </w:rPr>
      </w:pPr>
      <w:r>
        <w:rPr>
          <w:rFonts w:ascii="Courier New" w:cs="Courier New" w:eastAsia="Courier New" w:hAnsi="Courier New"/>
          <w:sz w:val="15"/>
          <w:szCs w:val="15"/>
          <w:color w:val="auto"/>
        </w:rPr>
        <w:t>the Company. For further information on the Company's stock compensation plans see Note 4, Common and Preferred Stock, in the Notes to Financial Statements.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NONUTILITY</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BONNEVILLE PACIFIC  LITIGATION  -  Portland  General,  Holdings,  and  certain affiliated individuals, along with others, have been named as defendants  in a class  action  by  investors in Bonneville Pacific and in a suit filed by the bankruptcy  trustee  for  Bonneville  Pacific.   The  class  action  includes allegations of various  violations  of federal and Utah securities laws and of the Racketeer Influenced and Corrupt  Organizations  Act  (RICO).  The suit by the bankruptcy trustee for Bonneville Pacific alleges RICO violations and RICO</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conspiracy, collusive tort, civil conspiracy, common</w:t>
      </w:r>
    </w:p>
    <w:p>
      <w:pPr>
        <w:spacing w:after="0" w:line="8" w:lineRule="exact"/>
        <w:rPr>
          <w:sz w:val="20"/>
          <w:szCs w:val="20"/>
          <w:color w:val="auto"/>
        </w:rPr>
      </w:pPr>
    </w:p>
    <w:p>
      <w:pPr>
        <w:ind w:left="80" w:right="3019" w:hanging="91"/>
        <w:spacing w:after="0" w:line="253" w:lineRule="auto"/>
        <w:rPr>
          <w:sz w:val="20"/>
          <w:szCs w:val="20"/>
          <w:color w:val="auto"/>
        </w:rPr>
      </w:pPr>
      <w:r>
        <w:rPr>
          <w:rFonts w:ascii="Courier New" w:cs="Courier New" w:eastAsia="Courier New" w:hAnsi="Courier New"/>
          <w:sz w:val="15"/>
          <w:szCs w:val="15"/>
          <w:color w:val="auto"/>
        </w:rPr>
        <w:t>law fraud, negligent misrepresentation, breach of fiduciary duty, liability as a partner for the debts of a partnership and other actionable wrongs.</w:t>
      </w:r>
    </w:p>
    <w:p>
      <w:pPr>
        <w:spacing w:after="0" w:line="174"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Holdings has filed a complaint seeking approximately $228 million  in  damages against  Deloitte  &amp;  Touche  and  certain parties associated with Bonneville Pacific alleging that it relied on fraudulent  and  negligent  statements  and omissions  when  it  acquired  a 46% interest in and made loans to Bonneville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Pacific.</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A detailed report released in June 1992 by a U.S. Bankruptcy examiner outlined a number of questionable transactions  that  resulted in gross exaggeration of Bonneville  Pacific's  assets  prior to Holdings'  investment.   This  report includes the examiner's opinion that  there  was significant mismanagement and very  likely  fraud at Bonneville Pacific.  For  additional  information  and further details,  see  Note  14,  Legal  Matters, in  the  Notes  to Financial</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Statements.</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50" w:right="1440" w:bottom="1440" w:gutter="0" w:footer="0" w:header="0"/>
        </w:sectPr>
      </w:pPr>
    </w:p>
    <w:bookmarkStart w:id="34" w:name="page35"/>
    <w:bookmarkEnd w:id="34"/>
    <w:p>
      <w:pPr>
        <w:ind w:left="80"/>
        <w:spacing w:after="0"/>
        <w:rPr>
          <w:sz w:val="20"/>
          <w:szCs w:val="20"/>
          <w:color w:val="auto"/>
        </w:rPr>
      </w:pPr>
      <w:r>
        <w:rPr>
          <w:rFonts w:ascii="Courier New" w:cs="Courier New" w:eastAsia="Courier New" w:hAnsi="Courier New"/>
          <w:sz w:val="15"/>
          <w:szCs w:val="15"/>
          <w:color w:val="auto"/>
        </w:rPr>
        <w:t>Appendix (Electronic Filing Only)</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Omitted graphic material:</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Page 7 Retail Price v. Inflation graph comparing</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PGE retail price (cents per KWh) to Portland CPI:</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Retail Price</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rPr>
              <w:t>CPI</w:t>
            </w:r>
          </w:p>
        </w:tc>
      </w:tr>
      <w:tr>
        <w:trPr>
          <w:trHeight w:val="355"/>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1986</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108.2</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1987</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4.93</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110.9</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1988</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4.77</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114.7</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1989</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4.69</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120.3</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1990</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4.57</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127.4</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1991</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4.69</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rPr>
              <w:t>134</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1992</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4.79</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139.9</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4.86</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144.7</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1994</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4.97</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148.9</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1995</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5.16</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153.2</w:t>
            </w:r>
          </w:p>
        </w:tc>
      </w:tr>
    </w:tbl>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Page 12 January reserve margin for WSCC region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available capability less peak load (megawatts &amp; percent)</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Megawatts</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w w:val="98"/>
              </w:rPr>
              <w:t>Percent</w:t>
            </w:r>
          </w:p>
        </w:tc>
      </w:tr>
      <w:tr>
        <w:trPr>
          <w:trHeight w:val="355"/>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1992</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34,689</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35.2</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22,997</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21.7</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1994</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31,033</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31.0</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1995</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31,018</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28.8</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1996</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32,076</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29.3</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1997</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30,578</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27.4</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1998</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31,970</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28.1</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1999</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31,883</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27.6</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2000</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30,943</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26.3</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2001</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29,039</w:t>
            </w:r>
          </w:p>
        </w:tc>
        <w:tc>
          <w:tcPr>
            <w:tcW w:w="1160" w:type="dxa"/>
            <w:vAlign w:val="bottom"/>
          </w:tcPr>
          <w:p>
            <w:pPr>
              <w:ind w:left="520"/>
              <w:spacing w:after="0"/>
              <w:rPr>
                <w:sz w:val="20"/>
                <w:szCs w:val="20"/>
                <w:color w:val="auto"/>
              </w:rPr>
            </w:pPr>
            <w:r>
              <w:rPr>
                <w:rFonts w:ascii="Courier New" w:cs="Courier New" w:eastAsia="Courier New" w:hAnsi="Courier New"/>
                <w:sz w:val="15"/>
                <w:szCs w:val="15"/>
                <w:color w:val="auto"/>
              </w:rPr>
              <w:t>24.3</w:t>
            </w:r>
          </w:p>
        </w:tc>
      </w:tr>
    </w:tbl>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Page 13 1995 Actual Power Sources pie chart: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(megawatt hours)</w:t>
      </w:r>
    </w:p>
    <w:p>
      <w:pPr>
        <w:spacing w:after="0" w:line="185" w:lineRule="exact"/>
        <w:rPr>
          <w:sz w:val="20"/>
          <w:szCs w:val="20"/>
          <w:color w:val="auto"/>
        </w:rPr>
      </w:pPr>
    </w:p>
    <w:p>
      <w:pPr>
        <w:ind w:left="80"/>
        <w:spacing w:after="0"/>
        <w:tabs>
          <w:tab w:leader="none" w:pos="2100" w:val="left"/>
        </w:tabs>
        <w:rPr>
          <w:sz w:val="20"/>
          <w:szCs w:val="20"/>
          <w:color w:val="auto"/>
        </w:rPr>
      </w:pPr>
      <w:r>
        <w:rPr>
          <w:rFonts w:ascii="Courier New" w:cs="Courier New" w:eastAsia="Courier New" w:hAnsi="Courier New"/>
          <w:sz w:val="15"/>
          <w:szCs w:val="15"/>
          <w:color w:val="auto"/>
        </w:rPr>
        <w:t>Combustion Turbines:</w:t>
        <w:tab/>
        <w:t>11% (2,272,000)</w:t>
      </w:r>
    </w:p>
    <w:p>
      <w:pPr>
        <w:spacing w:after="0" w:line="8"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5"/>
          <w:szCs w:val="15"/>
          <w:color w:val="auto"/>
        </w:rPr>
        <w:t>PGE Hydro:</w:t>
        <w:tab/>
        <w:t>11% (2,434,000)</w:t>
      </w:r>
    </w:p>
    <w:p>
      <w:pPr>
        <w:spacing w:after="0" w:line="8" w:lineRule="exact"/>
        <w:rPr>
          <w:sz w:val="20"/>
          <w:szCs w:val="20"/>
          <w:color w:val="auto"/>
        </w:rPr>
      </w:pPr>
    </w:p>
    <w:p>
      <w:pPr>
        <w:ind w:left="80"/>
        <w:spacing w:after="0"/>
        <w:tabs>
          <w:tab w:leader="none" w:pos="720" w:val="left"/>
        </w:tabs>
        <w:rPr>
          <w:sz w:val="20"/>
          <w:szCs w:val="20"/>
          <w:color w:val="auto"/>
        </w:rPr>
      </w:pPr>
      <w:r>
        <w:rPr>
          <w:rFonts w:ascii="Courier New" w:cs="Courier New" w:eastAsia="Courier New" w:hAnsi="Courier New"/>
          <w:sz w:val="15"/>
          <w:szCs w:val="15"/>
          <w:color w:val="auto"/>
        </w:rPr>
        <w:t>Coal:</w:t>
        <w:tab/>
        <w:t>14% (2,933,000)</w:t>
      </w:r>
    </w:p>
    <w:p>
      <w:pPr>
        <w:spacing w:after="0" w:line="8"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5"/>
          <w:szCs w:val="15"/>
          <w:color w:val="auto"/>
        </w:rPr>
        <w:t>Purchased Power:</w:t>
        <w:tab/>
        <w:t>64% (13,948,000)</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Page 13 1996 Forecasted Power Sources pie chart: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(megawatt hours)</w:t>
      </w:r>
    </w:p>
    <w:p>
      <w:pPr>
        <w:spacing w:after="0" w:line="185"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5"/>
          <w:szCs w:val="15"/>
          <w:color w:val="auto"/>
        </w:rPr>
        <w:t>PGE Hydro:</w:t>
        <w:tab/>
        <w:t>10% (2,384,000)</w:t>
      </w:r>
    </w:p>
    <w:p>
      <w:pPr>
        <w:spacing w:after="0" w:line="8" w:lineRule="exact"/>
        <w:rPr>
          <w:sz w:val="20"/>
          <w:szCs w:val="20"/>
          <w:color w:val="auto"/>
        </w:rPr>
      </w:pPr>
    </w:p>
    <w:p>
      <w:pPr>
        <w:ind w:left="80"/>
        <w:spacing w:after="0"/>
        <w:tabs>
          <w:tab w:leader="none" w:pos="720" w:val="left"/>
        </w:tabs>
        <w:rPr>
          <w:sz w:val="20"/>
          <w:szCs w:val="20"/>
          <w:color w:val="auto"/>
        </w:rPr>
      </w:pPr>
      <w:r>
        <w:rPr>
          <w:rFonts w:ascii="Courier New" w:cs="Courier New" w:eastAsia="Courier New" w:hAnsi="Courier New"/>
          <w:sz w:val="15"/>
          <w:szCs w:val="15"/>
          <w:color w:val="auto"/>
        </w:rPr>
        <w:t>Coal:</w:t>
        <w:tab/>
        <w:t>12% (2,903,000)</w:t>
      </w:r>
    </w:p>
    <w:p>
      <w:pPr>
        <w:spacing w:after="0" w:line="8" w:lineRule="exact"/>
        <w:rPr>
          <w:sz w:val="20"/>
          <w:szCs w:val="20"/>
          <w:color w:val="auto"/>
        </w:rPr>
      </w:pPr>
    </w:p>
    <w:p>
      <w:pPr>
        <w:ind w:left="80"/>
        <w:spacing w:after="0"/>
        <w:tabs>
          <w:tab w:leader="none" w:pos="2100" w:val="left"/>
        </w:tabs>
        <w:rPr>
          <w:sz w:val="20"/>
          <w:szCs w:val="20"/>
          <w:color w:val="auto"/>
        </w:rPr>
      </w:pPr>
      <w:r>
        <w:rPr>
          <w:rFonts w:ascii="Courier New" w:cs="Courier New" w:eastAsia="Courier New" w:hAnsi="Courier New"/>
          <w:sz w:val="15"/>
          <w:szCs w:val="15"/>
          <w:color w:val="auto"/>
        </w:rPr>
        <w:t>Combustion Turbines:</w:t>
        <w:tab/>
        <w:t>13% (3,236,000)</w:t>
      </w:r>
    </w:p>
    <w:p>
      <w:pPr>
        <w:spacing w:after="0" w:line="8"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5"/>
          <w:szCs w:val="15"/>
          <w:color w:val="auto"/>
        </w:rPr>
        <w:t>Purchased Power:</w:t>
        <w:tab/>
        <w:t>65% (16,159,000)</w:t>
      </w:r>
    </w:p>
    <w:p>
      <w:pPr>
        <w:spacing w:after="0" w:line="185" w:lineRule="exact"/>
        <w:rPr>
          <w:sz w:val="20"/>
          <w:szCs w:val="20"/>
          <w:color w:val="auto"/>
        </w:rPr>
      </w:pPr>
    </w:p>
    <w:p>
      <w:pPr>
        <w:ind w:right="4879"/>
        <w:spacing w:after="0" w:line="253" w:lineRule="auto"/>
        <w:rPr>
          <w:sz w:val="20"/>
          <w:szCs w:val="20"/>
          <w:color w:val="auto"/>
        </w:rPr>
      </w:pPr>
      <w:r>
        <w:rPr>
          <w:rFonts w:ascii="Courier New" w:cs="Courier New" w:eastAsia="Courier New" w:hAnsi="Courier New"/>
          <w:sz w:val="15"/>
          <w:szCs w:val="15"/>
          <w:color w:val="auto"/>
        </w:rPr>
        <w:t>Page 18 Map of PGE's Oregon service territory and location of generating facilities.</w:t>
      </w:r>
    </w:p>
    <w:p>
      <w:pPr>
        <w:spacing w:after="0" w:line="35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Page 26 Operating Revenue and Net Income (Loss) graph:</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Millions):</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Operating</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Net</w:t>
            </w:r>
          </w:p>
        </w:tc>
      </w:tr>
      <w:tr>
        <w:trPr>
          <w:trHeight w:val="177"/>
        </w:trPr>
        <w:tc>
          <w:tcPr>
            <w:tcW w:w="880" w:type="dxa"/>
            <w:vAlign w:val="bottom"/>
          </w:tcPr>
          <w:p>
            <w:pPr>
              <w:spacing w:after="0"/>
              <w:rPr>
                <w:sz w:val="15"/>
                <w:szCs w:val="15"/>
                <w:color w:val="auto"/>
              </w:rPr>
            </w:pP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w w:val="96"/>
              </w:rPr>
              <w:t>Income</w:t>
            </w:r>
          </w:p>
        </w:tc>
      </w:tr>
      <w:tr>
        <w:trPr>
          <w:trHeight w:val="355"/>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1991</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890</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(50)</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1992</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883</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90</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947</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89</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1994</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959</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100</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1995</w:t>
            </w:r>
          </w:p>
        </w:tc>
        <w:tc>
          <w:tcPr>
            <w:tcW w:w="1840" w:type="dxa"/>
            <w:vAlign w:val="bottom"/>
          </w:tcPr>
          <w:p>
            <w:pPr>
              <w:ind w:left="520"/>
              <w:spacing w:after="0"/>
              <w:rPr>
                <w:sz w:val="20"/>
                <w:szCs w:val="20"/>
                <w:color w:val="auto"/>
              </w:rPr>
            </w:pPr>
            <w:r>
              <w:rPr>
                <w:rFonts w:ascii="Courier New" w:cs="Courier New" w:eastAsia="Courier New" w:hAnsi="Courier New"/>
                <w:sz w:val="15"/>
                <w:szCs w:val="15"/>
                <w:color w:val="auto"/>
              </w:rPr>
              <w:t>984</w:t>
            </w:r>
          </w:p>
        </w:tc>
        <w:tc>
          <w:tcPr>
            <w:tcW w:w="1060" w:type="dxa"/>
            <w:vAlign w:val="bottom"/>
          </w:tcPr>
          <w:p>
            <w:pPr>
              <w:ind w:left="520"/>
              <w:spacing w:after="0"/>
              <w:rPr>
                <w:sz w:val="20"/>
                <w:szCs w:val="20"/>
                <w:color w:val="auto"/>
              </w:rPr>
            </w:pPr>
            <w:r>
              <w:rPr>
                <w:rFonts w:ascii="Courier New" w:cs="Courier New" w:eastAsia="Courier New" w:hAnsi="Courier New"/>
                <w:sz w:val="15"/>
                <w:szCs w:val="15"/>
                <w:color w:val="auto"/>
              </w:rPr>
              <w:t>81</w:t>
            </w:r>
          </w:p>
        </w:tc>
      </w:tr>
    </w:tbl>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Page 26 PGE Electricity Sales graph:</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(Billions of kWh)</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1991</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Residential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Commercial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Industrial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Wholesale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55"/>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1992</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Residential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Commercial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Industrial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Wholesale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55"/>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Residential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Commercial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Industrial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Wholesale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5"/>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1994</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Residential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Commercial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Industrial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Wholesale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bl>
    <w:p>
      <w:pPr>
        <w:sectPr>
          <w:pgSz w:w="11900" w:h="16838" w:orient="portrait"/>
          <w:cols w:equalWidth="0" w:num="1">
            <w:col w:w="10219"/>
          </w:cols>
          <w:pgMar w:left="240" w:top="650" w:right="1440" w:bottom="0" w:gutter="0" w:footer="0" w:header="0"/>
        </w:sectPr>
      </w:pPr>
    </w:p>
    <w:bookmarkStart w:id="35" w:name="page36"/>
    <w:bookmarkEnd w:id="35"/>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1995</w:t>
            </w: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Residential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Commercial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Industrial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7"/>
        </w:trPr>
        <w:tc>
          <w:tcPr>
            <w:tcW w:w="880" w:type="dxa"/>
            <w:vAlign w:val="bottom"/>
          </w:tcPr>
          <w:p>
            <w:pPr>
              <w:spacing w:after="0"/>
              <w:rPr>
                <w:sz w:val="15"/>
                <w:szCs w:val="15"/>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Wholesale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26 Retail Revenues and Power Costs Graph: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(excluding effect of RPA credit) (Mills/kWh)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Net Variable</w:t>
            </w:r>
          </w:p>
        </w:tc>
        <w:tc>
          <w:tcPr>
            <w:tcW w:w="1120" w:type="dxa"/>
            <w:vAlign w:val="bottom"/>
          </w:tcPr>
          <w:p>
            <w:pPr>
              <w:ind w:left="380"/>
              <w:spacing w:after="0"/>
              <w:rPr>
                <w:sz w:val="20"/>
                <w:szCs w:val="20"/>
                <w:color w:val="auto"/>
              </w:rPr>
            </w:pPr>
            <w:r>
              <w:rPr>
                <w:rFonts w:ascii="Courier New" w:cs="Courier New" w:eastAsia="Courier New" w:hAnsi="Courier New"/>
                <w:sz w:val="15"/>
                <w:szCs w:val="15"/>
                <w:color w:val="auto"/>
              </w:rPr>
              <w:t>Retail</w:t>
            </w:r>
          </w:p>
        </w:tc>
      </w:tr>
      <w:tr>
        <w:trPr>
          <w:trHeight w:val="177"/>
        </w:trPr>
        <w:tc>
          <w:tcPr>
            <w:tcW w:w="880" w:type="dxa"/>
            <w:vAlign w:val="bottom"/>
          </w:tcPr>
          <w:p>
            <w:pPr>
              <w:spacing w:after="0"/>
              <w:rPr>
                <w:sz w:val="15"/>
                <w:szCs w:val="15"/>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Power</w:t>
            </w:r>
          </w:p>
        </w:tc>
        <w:tc>
          <w:tcPr>
            <w:tcW w:w="1120" w:type="dxa"/>
            <w:vAlign w:val="bottom"/>
          </w:tcPr>
          <w:p>
            <w:pPr>
              <w:ind w:left="380"/>
              <w:spacing w:after="0"/>
              <w:rPr>
                <w:sz w:val="20"/>
                <w:szCs w:val="20"/>
                <w:color w:val="auto"/>
              </w:rPr>
            </w:pPr>
            <w:r>
              <w:rPr>
                <w:rFonts w:ascii="Courier New" w:cs="Courier New" w:eastAsia="Courier New" w:hAnsi="Courier New"/>
                <w:sz w:val="15"/>
                <w:szCs w:val="15"/>
                <w:color w:val="auto"/>
                <w:w w:val="99"/>
              </w:rPr>
              <w:t>Revenues</w:t>
            </w:r>
          </w:p>
        </w:tc>
      </w:tr>
      <w:tr>
        <w:trPr>
          <w:trHeight w:val="355"/>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1991</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10</w:t>
            </w:r>
          </w:p>
        </w:tc>
        <w:tc>
          <w:tcPr>
            <w:tcW w:w="1120" w:type="dxa"/>
            <w:vAlign w:val="bottom"/>
          </w:tcPr>
          <w:p>
            <w:pPr>
              <w:ind w:left="380"/>
              <w:spacing w:after="0"/>
              <w:rPr>
                <w:sz w:val="20"/>
                <w:szCs w:val="20"/>
                <w:color w:val="auto"/>
              </w:rPr>
            </w:pPr>
            <w:r>
              <w:rPr>
                <w:rFonts w:ascii="Courier New" w:cs="Courier New" w:eastAsia="Courier New" w:hAnsi="Courier New"/>
                <w:sz w:val="15"/>
                <w:szCs w:val="15"/>
                <w:color w:val="auto"/>
              </w:rPr>
              <w:t>52</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1992</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11</w:t>
            </w:r>
          </w:p>
        </w:tc>
        <w:tc>
          <w:tcPr>
            <w:tcW w:w="1120" w:type="dxa"/>
            <w:vAlign w:val="bottom"/>
          </w:tcPr>
          <w:p>
            <w:pPr>
              <w:ind w:left="380"/>
              <w:spacing w:after="0"/>
              <w:rPr>
                <w:sz w:val="20"/>
                <w:szCs w:val="20"/>
                <w:color w:val="auto"/>
              </w:rPr>
            </w:pPr>
            <w:r>
              <w:rPr>
                <w:rFonts w:ascii="Courier New" w:cs="Courier New" w:eastAsia="Courier New" w:hAnsi="Courier New"/>
                <w:sz w:val="15"/>
                <w:szCs w:val="15"/>
                <w:color w:val="auto"/>
              </w:rPr>
              <w:t>53</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17</w:t>
            </w:r>
          </w:p>
        </w:tc>
        <w:tc>
          <w:tcPr>
            <w:tcW w:w="1120" w:type="dxa"/>
            <w:vAlign w:val="bottom"/>
          </w:tcPr>
          <w:p>
            <w:pPr>
              <w:ind w:left="380"/>
              <w:spacing w:after="0"/>
              <w:rPr>
                <w:sz w:val="20"/>
                <w:szCs w:val="20"/>
                <w:color w:val="auto"/>
              </w:rPr>
            </w:pPr>
            <w:r>
              <w:rPr>
                <w:rFonts w:ascii="Courier New" w:cs="Courier New" w:eastAsia="Courier New" w:hAnsi="Courier New"/>
                <w:sz w:val="15"/>
                <w:szCs w:val="15"/>
                <w:color w:val="auto"/>
              </w:rPr>
              <w:t>56</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1994</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16</w:t>
            </w:r>
          </w:p>
        </w:tc>
        <w:tc>
          <w:tcPr>
            <w:tcW w:w="1120" w:type="dxa"/>
            <w:vAlign w:val="bottom"/>
          </w:tcPr>
          <w:p>
            <w:pPr>
              <w:ind w:left="380"/>
              <w:spacing w:after="0"/>
              <w:rPr>
                <w:sz w:val="20"/>
                <w:szCs w:val="20"/>
                <w:color w:val="auto"/>
              </w:rPr>
            </w:pPr>
            <w:r>
              <w:rPr>
                <w:rFonts w:ascii="Courier New" w:cs="Courier New" w:eastAsia="Courier New" w:hAnsi="Courier New"/>
                <w:sz w:val="15"/>
                <w:szCs w:val="15"/>
                <w:color w:val="auto"/>
              </w:rPr>
              <w:t>53</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1995</w:t>
            </w:r>
          </w:p>
        </w:tc>
        <w:tc>
          <w:tcPr>
            <w:tcW w:w="1980" w:type="dxa"/>
            <w:vAlign w:val="bottom"/>
          </w:tcPr>
          <w:p>
            <w:pPr>
              <w:ind w:left="520"/>
              <w:spacing w:after="0"/>
              <w:rPr>
                <w:sz w:val="20"/>
                <w:szCs w:val="20"/>
                <w:color w:val="auto"/>
              </w:rPr>
            </w:pPr>
            <w:r>
              <w:rPr>
                <w:rFonts w:ascii="Courier New" w:cs="Courier New" w:eastAsia="Courier New" w:hAnsi="Courier New"/>
                <w:sz w:val="15"/>
                <w:szCs w:val="15"/>
                <w:color w:val="auto"/>
              </w:rPr>
              <w:t>14</w:t>
            </w:r>
          </w:p>
        </w:tc>
        <w:tc>
          <w:tcPr>
            <w:tcW w:w="1120" w:type="dxa"/>
            <w:vAlign w:val="bottom"/>
          </w:tcPr>
          <w:p>
            <w:pPr>
              <w:ind w:left="380"/>
              <w:spacing w:after="0"/>
              <w:rPr>
                <w:sz w:val="20"/>
                <w:szCs w:val="20"/>
                <w:color w:val="auto"/>
              </w:rPr>
            </w:pPr>
            <w:r>
              <w:rPr>
                <w:rFonts w:ascii="Courier New" w:cs="Courier New" w:eastAsia="Courier New" w:hAnsi="Courier New"/>
                <w:sz w:val="15"/>
                <w:szCs w:val="15"/>
                <w:color w:val="auto"/>
              </w:rPr>
              <w:t>54</w:t>
            </w:r>
          </w:p>
        </w:tc>
      </w:tr>
    </w:tbl>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5"/>
          <w:szCs w:val="15"/>
          <w:color w:val="auto"/>
        </w:rPr>
        <w:t>Page 27</w:t>
        <w:tab/>
        <w:t>Operating Expenses graph: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1991</w:t>
            </w: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Operating Costs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Variable Power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Depreciation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355"/>
        </w:trPr>
        <w:tc>
          <w:tcPr>
            <w:tcW w:w="7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1992</w:t>
            </w: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Operating Costs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327</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Variable Power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Depreciation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355"/>
        </w:trPr>
        <w:tc>
          <w:tcPr>
            <w:tcW w:w="7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1993</w:t>
            </w: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Operating Costs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Variable Power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Depreciation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355"/>
        </w:trPr>
        <w:tc>
          <w:tcPr>
            <w:tcW w:w="7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1994</w:t>
            </w: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Operating Costs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Variable Power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Depreciation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355"/>
        </w:trPr>
        <w:tc>
          <w:tcPr>
            <w:tcW w:w="7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1995</w:t>
            </w: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Operating Costs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Variable Power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7"/>
        </w:trPr>
        <w:tc>
          <w:tcPr>
            <w:tcW w:w="70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Depreciation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29 Utility Capital Expenditures graph: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31 Residential Customers graph: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461076</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470136</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476481</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484293</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496165</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512913</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526699</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536111</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545410</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557338</w:t>
            </w:r>
          </w:p>
        </w:tc>
      </w:tr>
      <w:tr>
        <w:trPr>
          <w:trHeight w:val="177"/>
        </w:trPr>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570253</w:t>
            </w:r>
          </w:p>
        </w:tc>
      </w:tr>
    </w:tbl>
    <w:p>
      <w:pPr>
        <w:spacing w:after="0" w:line="200" w:lineRule="exact"/>
        <w:rPr>
          <w:sz w:val="20"/>
          <w:szCs w:val="20"/>
          <w:color w:val="auto"/>
        </w:rPr>
      </w:pPr>
    </w:p>
    <w:p>
      <w:pPr>
        <w:spacing w:after="0" w:line="33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MANAGEMENT'S STATEMENT OF RESPONSIBILITY</w:t>
      </w:r>
    </w:p>
    <w:p>
      <w:pPr>
        <w:spacing w:after="0" w:line="185" w:lineRule="exact"/>
        <w:rPr>
          <w:sz w:val="20"/>
          <w:szCs w:val="20"/>
          <w:color w:val="auto"/>
        </w:rPr>
      </w:pPr>
    </w:p>
    <w:p>
      <w:pPr>
        <w:jc w:val="both"/>
        <w:ind w:right="2939" w:firstLine="92"/>
        <w:spacing w:after="0" w:line="250" w:lineRule="auto"/>
        <w:rPr>
          <w:sz w:val="20"/>
          <w:szCs w:val="20"/>
          <w:color w:val="auto"/>
        </w:rPr>
      </w:pPr>
      <w:r>
        <w:rPr>
          <w:rFonts w:ascii="Courier New" w:cs="Courier New" w:eastAsia="Courier New" w:hAnsi="Courier New"/>
          <w:sz w:val="15"/>
          <w:szCs w:val="15"/>
          <w:color w:val="auto"/>
        </w:rPr>
        <w:t>Portland General Corporation's management is responsible for the preparation and presentation of the consolidated financial statements in this report.</w:t>
      </w:r>
    </w:p>
    <w:p>
      <w:pPr>
        <w:spacing w:after="0" w:line="1"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Management  is  also  responsible for the integrity and  objectivity  of  the statements.  Generally accepted  accounting  principles  have  been  used  to prepare the statements, and in certain cases informed estimates have been used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are based on the best judgment of management.</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Management  has  established,  and  maintains, a system of internal accounting controls.   The  controls  provide  reasonable   assurance  that  assets  are safeguarded,  transactions receive appropriate authorization,  and  financial records are reliable.   Accounting  controls are supported by written policies and procedures, an operations planning  and budget process designed to achieve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objectives, and internal audits of operating activities.</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Portland General's Board of Directors includes  an  Audit  Committee  composed entirely of outside directors.  It reviews with management, internal auditors and  independent  auditors  the  adequacy  of  internal  controls,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reporting, and other audit matters.</w:t>
      </w:r>
    </w:p>
    <w:p>
      <w:pPr>
        <w:spacing w:after="0" w:line="185" w:lineRule="exact"/>
        <w:rPr>
          <w:sz w:val="20"/>
          <w:szCs w:val="20"/>
          <w:color w:val="auto"/>
        </w:rPr>
      </w:pPr>
    </w:p>
    <w:p>
      <w:pPr>
        <w:jc w:val="center"/>
        <w:ind w:right="2939"/>
        <w:spacing w:after="0" w:line="251" w:lineRule="auto"/>
        <w:rPr>
          <w:sz w:val="20"/>
          <w:szCs w:val="20"/>
          <w:color w:val="auto"/>
        </w:rPr>
      </w:pPr>
      <w:r>
        <w:rPr>
          <w:rFonts w:ascii="Courier New" w:cs="Courier New" w:eastAsia="Courier New" w:hAnsi="Courier New"/>
          <w:sz w:val="15"/>
          <w:szCs w:val="15"/>
          <w:color w:val="auto"/>
        </w:rPr>
        <w:t>Arthur Andersen LLP is Portland General's independent public accountant.  As a part  of its annual audit, selected internal accounting controls are reviewed in order  to  determine  the  nature,  timing  and extent of audit tests to be performed.  All of the corporation's financial records  and  related  data are made  available  to  Arthur Andersen LLP.  Management has also endeavored  to</w:t>
      </w:r>
    </w:p>
    <w:p>
      <w:pPr>
        <w:sectPr>
          <w:pgSz w:w="11900" w:h="16845" w:orient="portrait"/>
          <w:cols w:equalWidth="0" w:num="1">
            <w:col w:w="10139"/>
          </w:cols>
          <w:pgMar w:left="320" w:top="142" w:right="1440" w:bottom="0" w:gutter="0" w:footer="0" w:header="0"/>
        </w:sectPr>
      </w:pPr>
    </w:p>
    <w:bookmarkStart w:id="36" w:name="page37"/>
    <w:bookmarkEnd w:id="36"/>
    <w:p>
      <w:pPr>
        <w:ind w:right="2939" w:firstLine="92"/>
        <w:spacing w:after="0" w:line="253" w:lineRule="auto"/>
        <w:rPr>
          <w:sz w:val="20"/>
          <w:szCs w:val="20"/>
          <w:color w:val="auto"/>
        </w:rPr>
      </w:pPr>
      <w:r>
        <w:rPr>
          <w:rFonts w:ascii="Courier New" w:cs="Courier New" w:eastAsia="Courier New" w:hAnsi="Courier New"/>
          <w:sz w:val="15"/>
          <w:szCs w:val="15"/>
          <w:color w:val="auto"/>
        </w:rPr>
        <w:t>ensure that all representations to Arthur Andersen LLP were valid and appropriate.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Hirko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Portland General Corporation:</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We have audited  the  accompanying  consolidated  balance  sheets  of Portland General Corporation and subsidiaries as of December 31, 1995 and 1994, and the related  consolidated statements of income, retained earnings and cash  flows for each of  the  three  years  in  the period ended December 31, 1995.  These financial statements are the responsibility  of the Company's management.  Our responsibility is to express an opinion on these financial statements based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audits.</w:t>
      </w:r>
    </w:p>
    <w:p>
      <w:pPr>
        <w:spacing w:after="0" w:line="185" w:lineRule="exact"/>
        <w:rPr>
          <w:sz w:val="20"/>
          <w:szCs w:val="20"/>
          <w:color w:val="auto"/>
        </w:rPr>
      </w:pPr>
    </w:p>
    <w:p>
      <w:pPr>
        <w:jc w:val="both"/>
        <w:ind w:right="2939" w:firstLine="92"/>
        <w:spacing w:after="0" w:line="25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w:t>
      </w:r>
    </w:p>
    <w:p>
      <w:pPr>
        <w:spacing w:after="0" w:line="2"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also  includes  assessing  the  accounting  principles  used  and significant estimates  made  by  management, as well as evaluating the overall  financial statement presentation.  We believe that our audits provide a reasonable basis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our opinion.</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Portland General Corporation and subsidiaries as of December 31, 1995  and  1994,  and the results of their operations  and their cash flows for each of the three years  in  the  period ended December  31,  1995  in  conformity  with  generally accepted accounting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w:t>
      </w:r>
    </w:p>
    <w:p>
      <w:pPr>
        <w:spacing w:after="0" w:line="36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Arthur Andersen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24, 1996</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142" w:right="1440" w:bottom="1440" w:gutter="0" w:footer="0" w:header="0"/>
        </w:sectPr>
      </w:pPr>
    </w:p>
    <w:bookmarkStart w:id="37" w:name="page38"/>
    <w:bookmarkEnd w:id="37"/>
    <w:p>
      <w:pPr>
        <w:spacing w:after="0"/>
        <w:tabs>
          <w:tab w:leader="none" w:pos="110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5" w:lineRule="exact"/>
        <w:rPr>
          <w:sz w:val="20"/>
          <w:szCs w:val="20"/>
          <w:color w:val="auto"/>
        </w:rPr>
      </w:pPr>
    </w:p>
    <w:p>
      <w:pPr>
        <w:jc w:val="center"/>
        <w:ind w:right="1940"/>
        <w:spacing w:after="0"/>
        <w:rPr>
          <w:sz w:val="20"/>
          <w:szCs w:val="20"/>
          <w:color w:val="auto"/>
        </w:rPr>
      </w:pPr>
      <w:r>
        <w:rPr>
          <w:rFonts w:ascii="Courier New" w:cs="Courier New" w:eastAsia="Courier New" w:hAnsi="Courier New"/>
          <w:sz w:val="15"/>
          <w:szCs w:val="15"/>
          <w:color w:val="auto"/>
        </w:rPr>
        <w:t>PORTLAND GENERAL CORPORATION AND SUBSIDIARIES</w:t>
      </w:r>
    </w:p>
    <w:p>
      <w:pPr>
        <w:spacing w:after="0" w:line="8" w:lineRule="exact"/>
        <w:rPr>
          <w:sz w:val="20"/>
          <w:szCs w:val="20"/>
          <w:color w:val="auto"/>
        </w:rPr>
      </w:pPr>
    </w:p>
    <w:p>
      <w:pPr>
        <w:jc w:val="center"/>
        <w:ind w:right="19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600" w:type="dxa"/>
            <w:vAlign w:val="bottom"/>
          </w:tcPr>
          <w:p>
            <w:pPr>
              <w:spacing w:after="0"/>
              <w:rPr>
                <w:sz w:val="14"/>
                <w:szCs w:val="14"/>
                <w:color w:val="auto"/>
              </w:rPr>
            </w:pPr>
          </w:p>
        </w:tc>
        <w:tc>
          <w:tcPr>
            <w:tcW w:w="152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3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1993</w:t>
            </w:r>
          </w:p>
        </w:tc>
      </w:tr>
      <w:tr>
        <w:trPr>
          <w:trHeight w:val="532"/>
        </w:trPr>
        <w:tc>
          <w:tcPr>
            <w:tcW w:w="8080" w:type="dxa"/>
            <w:vAlign w:val="bottom"/>
            <w:gridSpan w:val="3"/>
          </w:tcPr>
          <w:p>
            <w:pPr>
              <w:ind w:left="3520"/>
              <w:spacing w:after="0"/>
              <w:rPr>
                <w:sz w:val="20"/>
                <w:szCs w:val="20"/>
                <w:color w:val="auto"/>
              </w:rPr>
            </w:pPr>
            <w:r>
              <w:rPr>
                <w:rFonts w:ascii="Courier New" w:cs="Courier New" w:eastAsia="Courier New" w:hAnsi="Courier New"/>
                <w:sz w:val="15"/>
                <w:szCs w:val="15"/>
                <w:color w:val="auto"/>
              </w:rPr>
              <w:t>(THOUSANDS OF DOLLARS EXCEPT PER SHARE AMOUNTS)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983,582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959,409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946,829</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Purchased power and fuel</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293,589</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347,125</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311,713</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Production and distribution</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63,841</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61,891</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73,576</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Maintenance and repairs</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47,532</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47,391</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55,320</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Administrative and other</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108,067</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100,596</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100,321</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Depreciation and amortization</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134,423</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124,081</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122,218</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Taxes other than income taxes</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51,490</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52,151</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55,730</w:t>
            </w:r>
          </w:p>
        </w:tc>
      </w:tr>
      <w:tr>
        <w:trPr>
          <w:trHeight w:val="177"/>
        </w:trPr>
        <w:tc>
          <w:tcPr>
            <w:tcW w:w="5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698,942</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733,235</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718,878</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OPERATING INCOME BEFORE INCOME TAXES</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284,640</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226,174</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227,951</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89,064</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71,878</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69,770</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195,576</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154,296</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158,181</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OTHER INCOME (DEDUCTIONS)</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60" w:type="dxa"/>
            <w:vAlign w:val="bottom"/>
          </w:tcPr>
          <w:p>
            <w:pPr>
              <w:ind w:left="200"/>
              <w:spacing w:after="0"/>
              <w:rPr>
                <w:sz w:val="20"/>
                <w:szCs w:val="20"/>
                <w:color w:val="auto"/>
              </w:rPr>
            </w:pPr>
            <w:r>
              <w:rPr>
                <w:rFonts w:ascii="Courier New" w:cs="Courier New" w:eastAsia="Courier New" w:hAnsi="Courier New"/>
                <w:sz w:val="15"/>
                <w:szCs w:val="15"/>
                <w:color w:val="auto"/>
              </w:rPr>
              <w:t>Regulatory disallowances - net of income taxes of $25,542</w:t>
            </w:r>
          </w:p>
        </w:tc>
        <w:tc>
          <w:tcPr>
            <w:tcW w:w="60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(49,567)</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Interest expense</w:t>
            </w:r>
          </w:p>
        </w:tc>
        <w:tc>
          <w:tcPr>
            <w:tcW w:w="60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(79,128)</w:t>
            </w:r>
          </w:p>
        </w:tc>
        <w:tc>
          <w:tcPr>
            <w:tcW w:w="14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(71,653)</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(70,802)</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Allowance for funds used during construction</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11,065</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4,314</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785</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Preferred dividend requirement - PGE</w:t>
            </w:r>
          </w:p>
        </w:tc>
        <w:tc>
          <w:tcPr>
            <w:tcW w:w="60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(9,644)</w:t>
            </w:r>
          </w:p>
        </w:tc>
        <w:tc>
          <w:tcPr>
            <w:tcW w:w="14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(10,800)</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(12,046)</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Other - net of income taxes</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12,734</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16,901</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13,000</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81,036</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93,058</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89,118</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Gain on disposal of real estate operations -</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60" w:type="dxa"/>
            <w:vAlign w:val="bottom"/>
          </w:tcPr>
          <w:p>
            <w:pPr>
              <w:ind w:left="380"/>
              <w:spacing w:after="0"/>
              <w:rPr>
                <w:sz w:val="20"/>
                <w:szCs w:val="20"/>
                <w:color w:val="auto"/>
              </w:rPr>
            </w:pPr>
            <w:r>
              <w:rPr>
                <w:rFonts w:ascii="Courier New" w:cs="Courier New" w:eastAsia="Courier New" w:hAnsi="Courier New"/>
                <w:sz w:val="15"/>
                <w:szCs w:val="15"/>
                <w:color w:val="auto"/>
              </w:rPr>
              <w:t>net of income taxes of $4,226</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6,472</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81,036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99,530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89,118</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Average shares outstanding</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9"/>
              </w:rPr>
              <w:t>50,766,916</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9"/>
              </w:rPr>
              <w:t>49,896,685</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47,392,185</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Earnings per average share</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60" w:type="dxa"/>
            <w:vAlign w:val="bottom"/>
          </w:tcPr>
          <w:p>
            <w:pPr>
              <w:ind w:left="460"/>
              <w:spacing w:after="0"/>
              <w:rPr>
                <w:sz w:val="20"/>
                <w:szCs w:val="20"/>
                <w:color w:val="auto"/>
              </w:rPr>
            </w:pPr>
            <w:r>
              <w:rPr>
                <w:rFonts w:ascii="Courier New" w:cs="Courier New" w:eastAsia="Courier New" w:hAnsi="Courier New"/>
                <w:sz w:val="15"/>
                <w:szCs w:val="15"/>
                <w:color w:val="auto"/>
              </w:rPr>
              <w:t>Continuing operations</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$1.60</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$1.86</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$1.88</w:t>
            </w:r>
          </w:p>
        </w:tc>
      </w:tr>
      <w:tr>
        <w:trPr>
          <w:trHeight w:val="177"/>
        </w:trPr>
        <w:tc>
          <w:tcPr>
            <w:tcW w:w="5960" w:type="dxa"/>
            <w:vAlign w:val="bottom"/>
          </w:tcPr>
          <w:p>
            <w:pPr>
              <w:ind w:left="460"/>
              <w:spacing w:after="0"/>
              <w:rPr>
                <w:sz w:val="20"/>
                <w:szCs w:val="20"/>
                <w:color w:val="auto"/>
              </w:rPr>
            </w:pPr>
            <w:r>
              <w:rPr>
                <w:rFonts w:ascii="Courier New" w:cs="Courier New" w:eastAsia="Courier New" w:hAnsi="Courier New"/>
                <w:sz w:val="15"/>
                <w:szCs w:val="15"/>
                <w:color w:val="auto"/>
              </w:rPr>
              <w:t>Discontinued operations</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0.13</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Earnings per average share</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$1.60</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$1.88</w:t>
            </w:r>
          </w:p>
        </w:tc>
      </w:tr>
      <w:tr>
        <w:trPr>
          <w:trHeight w:val="177"/>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Dividends declared per share</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$1.20</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w:t>
            </w:r>
          </w:p>
        </w:tc>
      </w:tr>
      <w:tr>
        <w:trPr>
          <w:trHeight w:val="355"/>
        </w:trPr>
        <w:tc>
          <w:tcPr>
            <w:tcW w:w="8080" w:type="dxa"/>
            <w:vAlign w:val="bottom"/>
            <w:gridSpan w:val="3"/>
          </w:tcPr>
          <w:p>
            <w:pPr>
              <w:ind w:left="3880"/>
              <w:spacing w:after="0"/>
              <w:rPr>
                <w:sz w:val="20"/>
                <w:szCs w:val="20"/>
                <w:color w:val="auto"/>
              </w:rPr>
            </w:pPr>
            <w:r>
              <w:rPr>
                <w:rFonts w:ascii="Courier New" w:cs="Courier New" w:eastAsia="Courier New" w:hAnsi="Courier New"/>
                <w:sz w:val="15"/>
                <w:szCs w:val="15"/>
                <w:color w:val="auto"/>
              </w:rPr>
              <w:t>PORTLAND GENERAL CORPORATION AND SUBSIDIARIES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8080" w:type="dxa"/>
            <w:vAlign w:val="bottom"/>
            <w:gridSpan w:val="3"/>
          </w:tcPr>
          <w:p>
            <w:pPr>
              <w:ind w:left="3880"/>
              <w:spacing w:after="0"/>
              <w:rPr>
                <w:sz w:val="20"/>
                <w:szCs w:val="20"/>
                <w:color w:val="auto"/>
              </w:rPr>
            </w:pPr>
            <w:r>
              <w:rPr>
                <w:rFonts w:ascii="Courier New" w:cs="Courier New" w:eastAsia="Courier New" w:hAnsi="Courier New"/>
                <w:sz w:val="15"/>
                <w:szCs w:val="15"/>
                <w:color w:val="auto"/>
              </w:rPr>
              <w:t>CONSOLIDATED STATEMENTS OF RETAINED EARNINGS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600" w:type="dxa"/>
            <w:vAlign w:val="bottom"/>
          </w:tcPr>
          <w:p>
            <w:pPr>
              <w:spacing w:after="0"/>
              <w:rPr>
                <w:sz w:val="15"/>
                <w:szCs w:val="15"/>
                <w:color w:val="auto"/>
              </w:rPr>
            </w:pPr>
          </w:p>
        </w:tc>
        <w:tc>
          <w:tcPr>
            <w:tcW w:w="152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13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5"/>
                <w:szCs w:val="15"/>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1993</w:t>
            </w:r>
          </w:p>
        </w:tc>
      </w:tr>
      <w:tr>
        <w:trPr>
          <w:trHeight w:val="177"/>
        </w:trPr>
        <w:tc>
          <w:tcPr>
            <w:tcW w:w="5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rPr>
              <w:t>(THOUSANDS OF DOLLARS)</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118,676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81,159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50,481</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81,036</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99,530</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89,118</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ESOP TAX BENEFIT AND OTHER</w:t>
            </w:r>
          </w:p>
        </w:tc>
        <w:tc>
          <w:tcPr>
            <w:tcW w:w="60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(2,872)</w:t>
            </w:r>
          </w:p>
        </w:tc>
        <w:tc>
          <w:tcPr>
            <w:tcW w:w="140" w:type="dxa"/>
            <w:vAlign w:val="bottom"/>
          </w:tcPr>
          <w:p>
            <w:pPr>
              <w:spacing w:after="0"/>
              <w:rPr>
                <w:sz w:val="15"/>
                <w:szCs w:val="15"/>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(1,705)</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(1,524)</w:t>
            </w:r>
          </w:p>
        </w:tc>
      </w:tr>
      <w:tr>
        <w:trPr>
          <w:trHeight w:val="177"/>
        </w:trPr>
        <w:tc>
          <w:tcPr>
            <w:tcW w:w="5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196,840</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178,984</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138,075</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DIVIDENDS DECLARED ON COMMON STOCK</w:t>
            </w:r>
          </w:p>
        </w:tc>
        <w:tc>
          <w:tcPr>
            <w:tcW w:w="60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60,955</w:t>
            </w:r>
          </w:p>
        </w:tc>
        <w:tc>
          <w:tcPr>
            <w:tcW w:w="140" w:type="dxa"/>
            <w:vAlign w:val="bottom"/>
          </w:tcPr>
          <w:p>
            <w:pPr>
              <w:spacing w:after="0"/>
              <w:rPr>
                <w:sz w:val="15"/>
                <w:szCs w:val="15"/>
                <w:color w:val="auto"/>
              </w:rPr>
            </w:pP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60,308</w:t>
            </w:r>
          </w:p>
        </w:tc>
        <w:tc>
          <w:tcPr>
            <w:tcW w:w="36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56,916</w:t>
            </w:r>
          </w:p>
        </w:tc>
      </w:tr>
      <w:tr>
        <w:trPr>
          <w:trHeight w:val="177"/>
        </w:trPr>
        <w:tc>
          <w:tcPr>
            <w:tcW w:w="596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135,885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118,676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81,159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900"/>
          </w:cols>
          <w:pgMar w:left="320" w:top="828" w:right="679" w:bottom="1440" w:gutter="0" w:footer="0" w:header="0"/>
        </w:sectPr>
      </w:pPr>
    </w:p>
    <w:bookmarkStart w:id="38" w:name="page39"/>
    <w:bookmarkEnd w:id="38"/>
    <w:p>
      <w:pPr>
        <w:jc w:val="center"/>
        <w:ind w:right="3960"/>
        <w:spacing w:after="0"/>
        <w:rPr>
          <w:sz w:val="20"/>
          <w:szCs w:val="20"/>
          <w:color w:val="auto"/>
        </w:rPr>
      </w:pPr>
      <w:r>
        <w:rPr>
          <w:rFonts w:ascii="Courier New" w:cs="Courier New" w:eastAsia="Courier New" w:hAnsi="Courier New"/>
          <w:sz w:val="15"/>
          <w:szCs w:val="15"/>
          <w:color w:val="auto"/>
        </w:rPr>
        <w:t>PORTLAND GENERAL CORPORATION AND SUBSIDIARIES</w:t>
      </w:r>
    </w:p>
    <w:p>
      <w:pPr>
        <w:spacing w:after="0" w:line="8"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600" w:type="dxa"/>
            <w:vAlign w:val="bottom"/>
          </w:tcPr>
          <w:p>
            <w:pPr>
              <w:spacing w:after="0"/>
              <w:rPr>
                <w:sz w:val="14"/>
                <w:szCs w:val="14"/>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14"/>
                <w:szCs w:val="1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5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900" w:type="dxa"/>
            <w:vAlign w:val="bottom"/>
            <w:gridSpan w:val="3"/>
          </w:tcPr>
          <w:p>
            <w:pPr>
              <w:jc w:val="right"/>
              <w:ind w:right="303"/>
              <w:spacing w:after="0"/>
              <w:rPr>
                <w:sz w:val="20"/>
                <w:szCs w:val="20"/>
                <w:color w:val="auto"/>
              </w:rPr>
            </w:pPr>
            <w:r>
              <w:rPr>
                <w:rFonts w:ascii="Courier New" w:cs="Courier New" w:eastAsia="Courier New" w:hAnsi="Courier New"/>
                <w:sz w:val="15"/>
                <w:szCs w:val="15"/>
                <w:color w:val="auto"/>
              </w:rPr>
              <w:t>(THOUSANDS OF DOLLARS)</w:t>
            </w:r>
          </w:p>
        </w:tc>
      </w:tr>
      <w:tr>
        <w:trPr>
          <w:trHeight w:val="177"/>
        </w:trPr>
        <w:tc>
          <w:tcPr>
            <w:tcW w:w="8180" w:type="dxa"/>
            <w:vAlign w:val="bottom"/>
            <w:gridSpan w:val="2"/>
          </w:tcPr>
          <w:p>
            <w:pPr>
              <w:ind w:left="5260"/>
              <w:spacing w:after="0"/>
              <w:rPr>
                <w:sz w:val="20"/>
                <w:szCs w:val="20"/>
                <w:color w:val="auto"/>
              </w:rPr>
            </w:pPr>
            <w:r>
              <w:rPr>
                <w:rFonts w:ascii="Courier New" w:cs="Courier New" w:eastAsia="Courier New" w:hAnsi="Courier New"/>
                <w:sz w:val="15"/>
                <w:szCs w:val="15"/>
                <w:color w:val="auto"/>
              </w:rPr>
              <w:t>ASSETS</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ELECTRIC UTILITY PLANT - ORIGINAL COST</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Utility plant (includes Construction Work</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in Progress of $33,382 and $148,267)</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2,754,280</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2,563,476</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Accumulated depreciation</w:t>
            </w:r>
          </w:p>
        </w:tc>
        <w:tc>
          <w:tcPr>
            <w:tcW w:w="2600" w:type="dxa"/>
            <w:vAlign w:val="bottom"/>
          </w:tcPr>
          <w:p>
            <w:pPr>
              <w:spacing w:after="0"/>
              <w:rPr>
                <w:sz w:val="15"/>
                <w:szCs w:val="15"/>
                <w:color w:val="auto"/>
              </w:rPr>
            </w:pP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(1,040,014)</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(958,465)</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1,714,266</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1,605,011</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Capital leases - less amortization of $27,966 and $25,796</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9,353</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11,523</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1,723,619</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1,616,534</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PROPERTY AND INVESTMENTS</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Leveraged leases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152,666</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153,332</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Trojan decommissioning trust, at market value</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68,774</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58,485</w:t>
            </w:r>
          </w:p>
        </w:tc>
      </w:tr>
      <w:tr>
        <w:trPr>
          <w:trHeight w:val="177"/>
        </w:trPr>
        <w:tc>
          <w:tcPr>
            <w:tcW w:w="81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Corporate owned life insurance less loans of $26,432  and $21,731</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74,574</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65,687</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Other investments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28,603</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40,188</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324,617</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317,692</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11,919</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17,542</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Accounts and notes receivable</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104,815</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91,418</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Unbilled and accrued revenues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64,516</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162,151</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Inventories, at average cost</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38,338</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31,149</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Prepayments and other</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16,953</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34,455</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236,541</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336,715</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DEFERRED CHARGES</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Unamortized regulatory assets</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Trojan investment</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301,023</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402,713</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Trojan  decommissioning</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311,403</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338,718</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Income taxes recoverable</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217,366</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217,967</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Debt reacquisition costs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29,576</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32,245</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Energy efficiency programs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77,945</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58,894</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27,611</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47,787</w:t>
            </w:r>
          </w:p>
        </w:tc>
      </w:tr>
      <w:tr>
        <w:trPr>
          <w:trHeight w:val="177"/>
        </w:trPr>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WNP-3 settlement exchange agreement</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168,399</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173,308</w:t>
            </w:r>
          </w:p>
        </w:tc>
      </w:tr>
      <w:tr>
        <w:trPr>
          <w:trHeight w:val="177"/>
        </w:trPr>
        <w:tc>
          <w:tcPr>
            <w:tcW w:w="5580" w:type="dxa"/>
            <w:vAlign w:val="bottom"/>
          </w:tcPr>
          <w:p>
            <w:pPr>
              <w:ind w:left="100"/>
              <w:spacing w:after="0"/>
              <w:rPr>
                <w:sz w:val="20"/>
                <w:szCs w:val="20"/>
                <w:color w:val="auto"/>
              </w:rPr>
            </w:pPr>
            <w:r>
              <w:rPr>
                <w:rFonts w:ascii="Courier New" w:cs="Courier New" w:eastAsia="Courier New" w:hAnsi="Courier New"/>
                <w:sz w:val="15"/>
                <w:szCs w:val="15"/>
                <w:color w:val="auto"/>
              </w:rPr>
              <w:t>Miscellaneous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29,917</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16,698</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1,163,240</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1,288,330</w:t>
            </w:r>
          </w:p>
        </w:tc>
      </w:tr>
      <w:tr>
        <w:trPr>
          <w:trHeight w:val="177"/>
        </w:trPr>
        <w:tc>
          <w:tcPr>
            <w:tcW w:w="558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3,448,017</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3,559,271</w:t>
            </w:r>
          </w:p>
        </w:tc>
      </w:tr>
      <w:tr>
        <w:trPr>
          <w:trHeight w:val="177"/>
        </w:trPr>
        <w:tc>
          <w:tcPr>
            <w:tcW w:w="5580" w:type="dxa"/>
            <w:vAlign w:val="bottom"/>
          </w:tcPr>
          <w:p>
            <w:pPr>
              <w:ind w:left="4160"/>
              <w:spacing w:after="0"/>
              <w:rPr>
                <w:sz w:val="20"/>
                <w:szCs w:val="20"/>
                <w:color w:val="auto"/>
              </w:rPr>
            </w:pPr>
            <w:r>
              <w:rPr>
                <w:rFonts w:ascii="Courier New" w:cs="Courier New" w:eastAsia="Courier New" w:hAnsi="Courier New"/>
                <w:sz w:val="15"/>
                <w:szCs w:val="15"/>
                <w:color w:val="auto"/>
              </w:rPr>
              <w:t>CAPITALIZATION</w:t>
            </w:r>
          </w:p>
        </w:tc>
        <w:tc>
          <w:tcPr>
            <w:tcW w:w="260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AND LIABILITIES</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Common stock equity</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81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Common stock, $3.75 par value per share 100,000,000 shares authorized,</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51,013,549 and 50,495,492 shares outstanding</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191,301</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189,358</w:t>
            </w:r>
          </w:p>
        </w:tc>
      </w:tr>
      <w:tr>
        <w:trPr>
          <w:trHeight w:val="177"/>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Other paid-in capital - net</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574,468</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563,915</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Unearned compensation</w:t>
            </w:r>
          </w:p>
        </w:tc>
        <w:tc>
          <w:tcPr>
            <w:tcW w:w="2600" w:type="dxa"/>
            <w:vAlign w:val="bottom"/>
          </w:tcPr>
          <w:p>
            <w:pPr>
              <w:spacing w:after="0"/>
              <w:rPr>
                <w:sz w:val="15"/>
                <w:szCs w:val="15"/>
                <w:color w:val="auto"/>
              </w:rPr>
            </w:pP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(8,506)</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(13,636)</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Retained earnings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135,885</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118,676</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893,148</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858,313</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Cumulative preferred stock of subsidiary</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Subject to mandatory redemption</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40,000</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Not subject to mandatory redemption</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69,704</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890,556</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835,814</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1,823,704</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1,813,831</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Long-term debt and preferred stock due within one year</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105,114</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81,506</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Short-term borrowings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170,248</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148,598</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Accounts payable and other accruals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133,405</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104,254</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Accrued interest</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16,247</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19,915</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Dividends payable</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16,668</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18,109</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Accrued taxes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15,151</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27,778</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456,833</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400,160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Deferred income taxes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652,846</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687,670</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Deferred investment tax credits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51,211</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56,760</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Deferred gain on sale of assets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118,939</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Trojan decommissioning and transition obligation</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379,179</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396,873</w:t>
            </w:r>
          </w:p>
        </w:tc>
      </w:tr>
      <w:tr>
        <w:trPr>
          <w:trHeight w:val="177"/>
        </w:trPr>
        <w:tc>
          <w:tcPr>
            <w:tcW w:w="5580" w:type="dxa"/>
            <w:vAlign w:val="bottom"/>
          </w:tcPr>
          <w:p>
            <w:pPr>
              <w:ind w:left="280"/>
              <w:spacing w:after="0"/>
              <w:rPr>
                <w:sz w:val="20"/>
                <w:szCs w:val="20"/>
                <w:color w:val="auto"/>
              </w:rPr>
            </w:pPr>
            <w:r>
              <w:rPr>
                <w:rFonts w:ascii="Courier New" w:cs="Courier New" w:eastAsia="Courier New" w:hAnsi="Courier New"/>
                <w:sz w:val="15"/>
                <w:szCs w:val="15"/>
                <w:color w:val="auto"/>
              </w:rPr>
              <w:t>Miscellaneous</w:t>
            </w: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84,244</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85,038</w:t>
            </w:r>
          </w:p>
        </w:tc>
      </w:tr>
      <w:tr>
        <w:trPr>
          <w:trHeight w:val="177"/>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1,167,480</w:t>
            </w: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1,345,280</w:t>
            </w:r>
          </w:p>
        </w:tc>
      </w:tr>
      <w:tr>
        <w:trPr>
          <w:trHeight w:val="177"/>
        </w:trPr>
        <w:tc>
          <w:tcPr>
            <w:tcW w:w="558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3,448,017</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3,559,271</w:t>
            </w:r>
          </w:p>
        </w:tc>
      </w:tr>
      <w:tr>
        <w:trPr>
          <w:trHeight w:val="177"/>
        </w:trPr>
        <w:tc>
          <w:tcPr>
            <w:tcW w:w="8180" w:type="dxa"/>
            <w:vAlign w:val="bottom"/>
            <w:gridSpan w:val="2"/>
          </w:tcPr>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 sheets.</w:t>
            </w: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32"/>
        </w:trPr>
        <w:tc>
          <w:tcPr>
            <w:tcW w:w="5580" w:type="dxa"/>
            <w:vAlign w:val="bottom"/>
          </w:tcPr>
          <w:p>
            <w:pPr>
              <w:ind w:left="3420"/>
              <w:spacing w:after="0"/>
              <w:rPr>
                <w:sz w:val="20"/>
                <w:szCs w:val="20"/>
                <w:color w:val="auto"/>
              </w:rPr>
            </w:pPr>
            <w:r>
              <w:rPr>
                <w:rFonts w:ascii="Courier New" w:cs="Courier New" w:eastAsia="Courier New" w:hAnsi="Courier New"/>
                <w:sz w:val="15"/>
                <w:szCs w:val="15"/>
                <w:color w:val="auto"/>
              </w:rPr>
              <w:t>36</w:t>
            </w:r>
          </w:p>
        </w:tc>
        <w:tc>
          <w:tcPr>
            <w:tcW w:w="2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80"/>
          </w:cols>
          <w:pgMar w:left="320" w:top="650" w:right="499" w:bottom="1440" w:gutter="0" w:footer="0" w:header="0"/>
        </w:sectPr>
      </w:pPr>
    </w:p>
    <w:bookmarkStart w:id="39" w:name="page40"/>
    <w:bookmarkEnd w:id="39"/>
    <w:p>
      <w:pPr>
        <w:ind w:left="1480"/>
        <w:spacing w:after="0"/>
        <w:rPr>
          <w:sz w:val="20"/>
          <w:szCs w:val="20"/>
          <w:color w:val="auto"/>
        </w:rPr>
      </w:pPr>
      <w:r>
        <w:rPr>
          <w:rFonts w:ascii="Courier New" w:cs="Courier New" w:eastAsia="Courier New" w:hAnsi="Courier New"/>
          <w:sz w:val="15"/>
          <w:szCs w:val="15"/>
          <w:color w:val="auto"/>
        </w:rPr>
        <w:t>PORTLAND GENERAL CORPORATION AND SUBSIDIARIES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ind w:left="1940"/>
              <w:spacing w:after="0"/>
              <w:rPr>
                <w:sz w:val="20"/>
                <w:szCs w:val="20"/>
                <w:color w:val="auto"/>
              </w:rPr>
            </w:pPr>
            <w:r>
              <w:rPr>
                <w:rFonts w:ascii="Courier New" w:cs="Courier New" w:eastAsia="Courier New" w:hAnsi="Courier New"/>
                <w:sz w:val="15"/>
                <w:szCs w:val="15"/>
                <w:color w:val="auto"/>
              </w:rPr>
              <w:t>CONSOLIDATED STATEMENT OF CASH FLOWS</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710"/>
        </w:trPr>
        <w:tc>
          <w:tcPr>
            <w:tcW w:w="554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420" w:type="dxa"/>
            <w:vAlign w:val="bottom"/>
          </w:tcPr>
          <w:p>
            <w:pPr>
              <w:spacing w:after="0"/>
              <w:rPr>
                <w:sz w:val="24"/>
                <w:szCs w:val="24"/>
                <w:color w:val="auto"/>
              </w:rPr>
            </w:pP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1995</w:t>
            </w:r>
          </w:p>
        </w:tc>
        <w:tc>
          <w:tcPr>
            <w:tcW w:w="420" w:type="dxa"/>
            <w:vAlign w:val="bottom"/>
          </w:tcPr>
          <w:p>
            <w:pPr>
              <w:spacing w:after="0"/>
              <w:rPr>
                <w:sz w:val="24"/>
                <w:szCs w:val="24"/>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24"/>
                <w:szCs w:val="24"/>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1993</w:t>
            </w:r>
          </w:p>
        </w:tc>
      </w:tr>
      <w:tr>
        <w:trPr>
          <w:trHeight w:val="355"/>
        </w:trPr>
        <w:tc>
          <w:tcPr>
            <w:tcW w:w="5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40" w:type="dxa"/>
            <w:vAlign w:val="bottom"/>
            <w:gridSpan w:val="4"/>
          </w:tcPr>
          <w:p>
            <w:pPr>
              <w:ind w:left="240"/>
              <w:spacing w:after="0"/>
              <w:rPr>
                <w:sz w:val="20"/>
                <w:szCs w:val="20"/>
                <w:color w:val="auto"/>
              </w:rPr>
            </w:pPr>
            <w:r>
              <w:rPr>
                <w:rFonts w:ascii="Courier New" w:cs="Courier New" w:eastAsia="Courier New" w:hAnsi="Courier New"/>
                <w:sz w:val="15"/>
                <w:szCs w:val="15"/>
                <w:color w:val="auto"/>
              </w:rPr>
              <w:t>(THOUSANDS OF DOLLARS)</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PROVIDED (USED) BY -</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81,036</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99,530</w:t>
            </w:r>
          </w:p>
        </w:tc>
        <w:tc>
          <w:tcPr>
            <w:tcW w:w="3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89,118</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Adjustment to reconcile net income to net cash</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280"/>
              <w:spacing w:after="0"/>
              <w:rPr>
                <w:sz w:val="20"/>
                <w:szCs w:val="20"/>
                <w:color w:val="auto"/>
              </w:rPr>
            </w:pPr>
            <w:r>
              <w:rPr>
                <w:rFonts w:ascii="Courier New" w:cs="Courier New" w:eastAsia="Courier New" w:hAnsi="Courier New"/>
                <w:sz w:val="15"/>
                <w:szCs w:val="15"/>
                <w:color w:val="auto"/>
              </w:rPr>
              <w:t>provided by operations: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102,266</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94,217</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89,749</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Amortization of WNP-3 exchange agreement</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4,910</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4,695</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4,489</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Amortization of Trojan investment</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24,884</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26,738</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26,329</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Amortization of Trojan decommissioning</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13,336</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11,220</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11,220</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Amortization of deferred charges - other</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(1,777)</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2,712</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6,713</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Deferred income taxes - net</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(9,555)</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37,396</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61,086</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Other noncash revenues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(5,037)</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(2,570)</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(1,926)</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Regulatory Disallowances</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49,567</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Changes in working capital:</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(Increase) Decrease in receivables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(14,687)</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(22,952)</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(74,123)</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(Increase) Decrease in inventories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(7,189)</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3,264</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15,017</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Increase (Decrease) in payables</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22,122</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(5,105)</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(29,837)</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Other working capital items - net</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1,957</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(18,104)</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13,759</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Trojan decommissioning expenditures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(10,927)</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(3,360)</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Deferred charges - other</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(9,472)</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13,987</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(3,331)</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Miscellaneous - net</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15,108</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5,897</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17,728</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256,542</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247,565</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224,366</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Utility construction - new resources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(49,096)</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(87,537)</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(28,666)</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Utility construction - other</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(158,198)</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(131,675)</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(101,692)</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Energy efficiency programs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(25,013)</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(23,745)</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(18,149)</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Rentals received from leveraged leases</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21,204</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20,886</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15,530</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Nuclear decommissioning trust deposits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(16,598)</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(11,220)</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(11,220)</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Nuclear decommissioning trust withdrawals</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13,521</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Discontinued operations</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26,288</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2,600</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Other</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(1,465)</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(14,058)</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(10,763)</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(215,645)</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(221,061)</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(152,360)</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Short-term borrowings - net</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21,650</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(10,816)</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18,736</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Borrowings from Corporate Owned Life Insurance</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4,679</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21,731</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Long-term debt issued</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147,138</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74,631</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249,782</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Long-term debt retired</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(69,445)</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(49,882)</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(279,986)</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Repayment of nonrecourse borrowings for</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380"/>
              <w:spacing w:after="0"/>
              <w:rPr>
                <w:sz w:val="20"/>
                <w:szCs w:val="20"/>
                <w:color w:val="auto"/>
              </w:rPr>
            </w:pPr>
            <w:r>
              <w:rPr>
                <w:rFonts w:ascii="Courier New" w:cs="Courier New" w:eastAsia="Courier New" w:hAnsi="Courier New"/>
                <w:sz w:val="15"/>
                <w:szCs w:val="15"/>
                <w:color w:val="auto"/>
              </w:rPr>
              <w:t>leveraged leases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(18,741)</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(18,046)</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(13,095)</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Preferred stock retired</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(79,704)</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(20,000)</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Common stock issued</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10,299</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50,074</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9,520</w:t>
            </w: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Dividends paid</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(62,396)</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(59,856)</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(56,850)</w:t>
            </w:r>
          </w:p>
        </w:tc>
      </w:tr>
      <w:tr>
        <w:trPr>
          <w:trHeight w:val="177"/>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(46,520)</w:t>
            </w:r>
          </w:p>
        </w:tc>
        <w:tc>
          <w:tcPr>
            <w:tcW w:w="4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(12,164)</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(75,493)</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CASH EQUIVALENTS</w:t>
            </w:r>
          </w:p>
        </w:tc>
        <w:tc>
          <w:tcPr>
            <w:tcW w:w="42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(5,623)</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14,340</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(3,487)</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THE BEGINNING</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OF YEAR</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17,542</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3,202</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6,689</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THE END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OF YEAR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11,919</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17,542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3,202</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200"/>
              <w:spacing w:after="0"/>
              <w:rPr>
                <w:sz w:val="20"/>
                <w:szCs w:val="20"/>
                <w:color w:val="auto"/>
              </w:rPr>
            </w:pPr>
            <w:r>
              <w:rPr>
                <w:rFonts w:ascii="Courier New" w:cs="Courier New" w:eastAsia="Courier New" w:hAnsi="Courier New"/>
                <w:sz w:val="15"/>
                <w:szCs w:val="15"/>
                <w:color w:val="auto"/>
              </w:rPr>
              <w:t>Cash paid during the year:</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ind w:left="380"/>
              <w:spacing w:after="0"/>
              <w:rPr>
                <w:sz w:val="20"/>
                <w:szCs w:val="20"/>
                <w:color w:val="auto"/>
              </w:rPr>
            </w:pPr>
            <w:r>
              <w:rPr>
                <w:rFonts w:ascii="Courier New" w:cs="Courier New" w:eastAsia="Courier New" w:hAnsi="Courier New"/>
                <w:sz w:val="15"/>
                <w:szCs w:val="15"/>
                <w:color w:val="auto"/>
              </w:rPr>
              <w:t>Interest, net of amounts capitalized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66,584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60,852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73,476</w:t>
            </w:r>
          </w:p>
        </w:tc>
      </w:tr>
      <w:tr>
        <w:trPr>
          <w:trHeight w:val="177"/>
        </w:trPr>
        <w:tc>
          <w:tcPr>
            <w:tcW w:w="5540" w:type="dxa"/>
            <w:vAlign w:val="bottom"/>
          </w:tcPr>
          <w:p>
            <w:pPr>
              <w:ind w:left="380"/>
              <w:spacing w:after="0"/>
              <w:rPr>
                <w:sz w:val="20"/>
                <w:szCs w:val="20"/>
                <w:color w:val="auto"/>
              </w:rPr>
            </w:pPr>
            <w:r>
              <w:rPr>
                <w:rFonts w:ascii="Courier New" w:cs="Courier New" w:eastAsia="Courier New" w:hAnsi="Courier New"/>
                <w:sz w:val="15"/>
                <w:szCs w:val="15"/>
                <w:color w:val="auto"/>
              </w:rPr>
              <w:t>Income taxes</w:t>
            </w:r>
          </w:p>
        </w:tc>
        <w:tc>
          <w:tcPr>
            <w:tcW w:w="42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86,778</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31,539</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12,259</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 accompanying notes are an integral part of these</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10"/>
        </w:trPr>
        <w:tc>
          <w:tcPr>
            <w:tcW w:w="5540" w:type="dxa"/>
            <w:vAlign w:val="bottom"/>
          </w:tcPr>
          <w:p>
            <w:pPr>
              <w:ind w:left="3420"/>
              <w:spacing w:after="0"/>
              <w:rPr>
                <w:sz w:val="20"/>
                <w:szCs w:val="20"/>
                <w:color w:val="auto"/>
              </w:rPr>
            </w:pPr>
            <w:r>
              <w:rPr>
                <w:rFonts w:ascii="Courier New" w:cs="Courier New" w:eastAsia="Courier New" w:hAnsi="Courier New"/>
                <w:sz w:val="15"/>
                <w:szCs w:val="15"/>
                <w:color w:val="auto"/>
              </w:rPr>
              <w:t>37</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139"/>
          </w:cols>
          <w:pgMar w:left="320" w:top="650" w:right="1440" w:bottom="1440" w:gutter="0" w:footer="0" w:header="0"/>
        </w:sectPr>
      </w:pPr>
    </w:p>
    <w:bookmarkStart w:id="40" w:name="page41"/>
    <w:bookmarkEnd w:id="40"/>
    <w:p>
      <w:pPr>
        <w:ind w:left="80"/>
        <w:spacing w:after="0"/>
        <w:rPr>
          <w:sz w:val="20"/>
          <w:szCs w:val="20"/>
          <w:color w:val="auto"/>
        </w:rPr>
      </w:pPr>
      <w:r>
        <w:rPr>
          <w:rFonts w:ascii="Courier New" w:cs="Courier New" w:eastAsia="Courier New" w:hAnsi="Courier New"/>
          <w:sz w:val="15"/>
          <w:szCs w:val="15"/>
          <w:color w:val="auto"/>
        </w:rPr>
        <w:t>PORTLAND GENERAL CORPORATION AND SUBSIDIARIES NOTES TO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Portland General Corporation is an electric utility holding company. PGE, an electric utility company and Portland General's principal operating subsidiary, accounts for substantially all of Portland General's assets, revenues and net income.</w:t>
      </w:r>
    </w:p>
    <w:p>
      <w:pPr>
        <w:spacing w:after="0" w:line="176"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PGE  is engaged in the generation, purchase, transmission, distribution,  and sale of  electricity  in  the  State  of  Oregon.   PGE  also  sells energy to wholesale  customers,  predominately utilities throughout the western  United States.  PGE's Oregon service  area  is  3,170  square  miles,  including  54 incorporated  cities, of  which  Portland  and Salem are the largest, within a state-approved service area allocation of 4,070  square  miles.  At the end of 1995 PGE's service area population was approximately 1.4 million, constituting approximately 44% of the state's population.  At December 31, 1995, PGE served</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approximately 650,000 customers.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CONSOLIDATION PRINCIPLES</w:t>
      </w:r>
    </w:p>
    <w:p>
      <w:pPr>
        <w:spacing w:after="0" w:line="8"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The consolidated financial statements include the accounts of Portland General and all of its majority-owned subsidiaries. Significant intercompany balances and transactions have been eliminated.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BASIS OF ACCOUNTING</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Portland  General  and  its  subsidiaries'  financial statements  conform  to generally  accepted  accounting principles.  In  addition,  PGE's  accounting policies are in accordance  with the requirements and the ratemaking practices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 regulatory authorities having jurisdiction.</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USE OF ESTIMATES</w:t>
      </w:r>
    </w:p>
    <w:p>
      <w:pPr>
        <w:spacing w:after="0" w:line="8" w:lineRule="exact"/>
        <w:rPr>
          <w:sz w:val="20"/>
          <w:szCs w:val="20"/>
          <w:color w:val="auto"/>
        </w:rPr>
      </w:pPr>
    </w:p>
    <w:p>
      <w:pPr>
        <w:ind w:left="80" w:right="3019"/>
        <w:spacing w:after="0" w:line="250" w:lineRule="auto"/>
        <w:rPr>
          <w:sz w:val="20"/>
          <w:szCs w:val="20"/>
          <w:color w:val="auto"/>
        </w:rPr>
      </w:pPr>
      <w:r>
        <w:rPr>
          <w:rFonts w:ascii="Courier New" w:cs="Courier New" w:eastAsia="Courier New" w:hAnsi="Courier New"/>
          <w:sz w:val="15"/>
          <w:szCs w:val="15"/>
          <w:color w:val="auto"/>
        </w:rPr>
        <w:t>The preparation of financial statements requires management to make estimates and assumptions that affect the reported amounts of assets and liabilities at the date of the financial</w:t>
      </w:r>
    </w:p>
    <w:p>
      <w:pPr>
        <w:spacing w:after="0" w:line="1" w:lineRule="exact"/>
        <w:rPr>
          <w:sz w:val="20"/>
          <w:szCs w:val="20"/>
          <w:color w:val="auto"/>
        </w:rPr>
      </w:pPr>
    </w:p>
    <w:p>
      <w:pPr>
        <w:ind w:left="80" w:right="2939" w:firstLine="92"/>
        <w:spacing w:after="0" w:line="253" w:lineRule="auto"/>
        <w:rPr>
          <w:sz w:val="20"/>
          <w:szCs w:val="20"/>
          <w:color w:val="auto"/>
        </w:rPr>
      </w:pPr>
      <w:r>
        <w:rPr>
          <w:rFonts w:ascii="Courier New" w:cs="Courier New" w:eastAsia="Courier New" w:hAnsi="Courier New"/>
          <w:sz w:val="15"/>
          <w:szCs w:val="15"/>
          <w:color w:val="auto"/>
        </w:rPr>
        <w:t>statements and the reported amounts of revenues and expenses during the reporting period. Actual results could differ from those estimates.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RECLASSIFICATIONS</w:t>
      </w:r>
    </w:p>
    <w:p>
      <w:pPr>
        <w:spacing w:after="0" w:line="8" w:lineRule="exact"/>
        <w:rPr>
          <w:sz w:val="20"/>
          <w:szCs w:val="20"/>
          <w:color w:val="auto"/>
        </w:rPr>
      </w:pPr>
    </w:p>
    <w:p>
      <w:pPr>
        <w:ind w:left="80" w:right="2939" w:firstLine="92"/>
        <w:spacing w:after="0" w:line="253" w:lineRule="auto"/>
        <w:rPr>
          <w:sz w:val="20"/>
          <w:szCs w:val="20"/>
          <w:color w:val="auto"/>
        </w:rPr>
      </w:pPr>
      <w:r>
        <w:rPr>
          <w:rFonts w:ascii="Courier New" w:cs="Courier New" w:eastAsia="Courier New" w:hAnsi="Courier New"/>
          <w:sz w:val="15"/>
          <w:szCs w:val="15"/>
          <w:color w:val="auto"/>
        </w:rPr>
        <w:t>Certain amounts in prior years have been reclassified for comparative purposes.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REVENUES</w:t>
      </w:r>
    </w:p>
    <w:p>
      <w:pPr>
        <w:spacing w:after="0" w:line="8" w:lineRule="exact"/>
        <w:rPr>
          <w:sz w:val="20"/>
          <w:szCs w:val="20"/>
          <w:color w:val="auto"/>
        </w:rPr>
      </w:pPr>
    </w:p>
    <w:p>
      <w:pPr>
        <w:ind w:left="80" w:right="2939"/>
        <w:spacing w:after="0" w:line="253" w:lineRule="auto"/>
        <w:rPr>
          <w:sz w:val="20"/>
          <w:szCs w:val="20"/>
          <w:color w:val="auto"/>
        </w:rPr>
      </w:pPr>
      <w:r>
        <w:rPr>
          <w:rFonts w:ascii="Courier New" w:cs="Courier New" w:eastAsia="Courier New" w:hAnsi="Courier New"/>
          <w:sz w:val="15"/>
          <w:szCs w:val="15"/>
          <w:color w:val="auto"/>
        </w:rPr>
        <w:t>PGE accrues estimated unbilled revenues for services provided from the meter read date to month-end.</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PURCHASED POWER</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PGE credits purchased  power  costs  for  the  net amount of benefits received through  a  power purchase and sale contract with  the  BPA.   Reductions  in purchased power  costs  that  result from this exchange are passed directly to</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PGE's residential and small farm customers in the form of lower prices.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w:t>
      </w:r>
    </w:p>
    <w:p>
      <w:pPr>
        <w:spacing w:after="0" w:line="8"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PGE's depreciation is computed  on  the  straight-line  method  based  on  the estimated  average  service lives of the various classes of plant in service.</w:t>
      </w:r>
    </w:p>
    <w:p>
      <w:pPr>
        <w:spacing w:after="0" w:line="1" w:lineRule="exact"/>
        <w:rPr>
          <w:sz w:val="20"/>
          <w:szCs w:val="20"/>
          <w:color w:val="auto"/>
        </w:rPr>
      </w:pPr>
    </w:p>
    <w:p>
      <w:pPr>
        <w:ind w:left="80" w:right="2939"/>
        <w:spacing w:after="0" w:line="253" w:lineRule="auto"/>
        <w:rPr>
          <w:sz w:val="20"/>
          <w:szCs w:val="20"/>
          <w:color w:val="auto"/>
        </w:rPr>
      </w:pPr>
      <w:r>
        <w:rPr>
          <w:rFonts w:ascii="Courier New" w:cs="Courier New" w:eastAsia="Courier New" w:hAnsi="Courier New"/>
          <w:sz w:val="15"/>
          <w:szCs w:val="15"/>
          <w:color w:val="auto"/>
        </w:rPr>
        <w:t>Depreciation expense as a percent of the related average depreciable plant in service was approximately 4.0% in 1995, 3.8% in 1994 and 3.9% in 1993.</w:t>
      </w:r>
    </w:p>
    <w:p>
      <w:pPr>
        <w:spacing w:after="0" w:line="174"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cost of renewal and replacement of property units is charged to plant, and repairs and maintenance are  charged  to  expense  as  incurred.   The cost of utility  property  units  retired, other than land, is charged to accumulated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ALLOWANCE FOR FUNDS USED DURING CONSTRUCTION (AFDC)</w:t>
      </w:r>
    </w:p>
    <w:p>
      <w:pPr>
        <w:spacing w:after="0" w:line="8" w:lineRule="exact"/>
        <w:rPr>
          <w:sz w:val="20"/>
          <w:szCs w:val="20"/>
          <w:color w:val="auto"/>
        </w:rPr>
      </w:pPr>
    </w:p>
    <w:p>
      <w:pPr>
        <w:jc w:val="both"/>
        <w:ind w:left="80" w:right="2939" w:firstLine="92"/>
        <w:spacing w:after="0" w:line="251" w:lineRule="auto"/>
        <w:rPr>
          <w:sz w:val="20"/>
          <w:szCs w:val="20"/>
          <w:color w:val="auto"/>
        </w:rPr>
      </w:pPr>
      <w:r>
        <w:rPr>
          <w:rFonts w:ascii="Courier New" w:cs="Courier New" w:eastAsia="Courier New" w:hAnsi="Courier New"/>
          <w:sz w:val="15"/>
          <w:szCs w:val="15"/>
          <w:color w:val="auto"/>
        </w:rPr>
        <w:t>AFDC represents the pretax cost of borrowed funds used for construction purposes and a reasonable rate for equity funds. AFDC is capitalized as part of the cost of plant and is credited to income but does not represent current cash earnings. The average rates used by PGE were 7.16%, 4.65%, and 3.52% for the years 1995, 1994 and 1993, respectively.</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82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INCOME TAXES</w:t>
      </w:r>
    </w:p>
    <w:p>
      <w:pPr>
        <w:spacing w:after="0" w:line="8" w:lineRule="exact"/>
        <w:rPr>
          <w:sz w:val="20"/>
          <w:szCs w:val="20"/>
          <w:color w:val="auto"/>
        </w:rPr>
      </w:pPr>
    </w:p>
    <w:p>
      <w:pPr>
        <w:jc w:val="both"/>
        <w:ind w:left="100" w:right="2939" w:hanging="91"/>
        <w:spacing w:after="0" w:line="253" w:lineRule="auto"/>
        <w:rPr>
          <w:sz w:val="20"/>
          <w:szCs w:val="20"/>
          <w:color w:val="auto"/>
        </w:rPr>
      </w:pPr>
      <w:r>
        <w:rPr>
          <w:rFonts w:ascii="Courier New" w:cs="Courier New" w:eastAsia="Courier New" w:hAnsi="Courier New"/>
          <w:sz w:val="15"/>
          <w:szCs w:val="15"/>
          <w:color w:val="auto"/>
        </w:rPr>
        <w:t>Portland General files a consolidated federal</w:t>
      </w:r>
      <w:r>
        <w:rPr>
          <w:sz w:val="20"/>
          <w:szCs w:val="20"/>
          <w:color w:val="auto"/>
        </w:rPr>
        <w:t xml:space="preserve"> </w:t>
      </w:r>
      <w:r>
        <w:rPr>
          <w:rFonts w:ascii="Courier New" w:cs="Courier New" w:eastAsia="Courier New" w:hAnsi="Courier New"/>
          <w:sz w:val="15"/>
          <w:szCs w:val="15"/>
          <w:color w:val="auto"/>
        </w:rPr>
        <w:t>income tax return. Portland General's policy is to collect for tax liabilities from subsidiaries that generate taxable income and to reimburse subsidiaries for tax benefits utilized in its tax return. Deferred income taxes are</w:t>
      </w:r>
    </w:p>
    <w:p>
      <w:pPr>
        <w:spacing w:after="0" w:line="172"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provided for temporary differences between financial and income tax reporting. Amounts  recorded  for Investment Tax Credits (ITC) have been deferred and are being  amortized  to  income  over  the  approximate  lives  of  the  related properties, not to exceed  25  years.   See  Notes 3 and 3A, Income Taxes,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details.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LEASES</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CWL, a subsidiary of Holdings, acquires and leases  capital equipment.  Leases that qualify as direct financing leases and are substantially  financed  with nonrecourse  debt  at  lease  inception are accounted for as leveraged leases. Recorded investment in leases is  the  sum of the net contracts receivable and the estimated residual value, less unearned income and deferred ITC.  Unearned income and deferred ITC are amortized to income over the life of the leases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a level rate of return on net equity invested.</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components of CWL's net investment in leases as of December 31, 1995 and 1994, are as follows (thousands of dollars):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17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3380" w:type="dxa"/>
            <w:vAlign w:val="bottom"/>
          </w:tcPr>
          <w:p>
            <w:pPr>
              <w:spacing w:after="0"/>
              <w:rPr>
                <w:sz w:val="20"/>
                <w:szCs w:val="20"/>
                <w:color w:val="auto"/>
              </w:rPr>
            </w:pPr>
            <w:r>
              <w:rPr>
                <w:rFonts w:ascii="Courier New" w:cs="Courier New" w:eastAsia="Courier New" w:hAnsi="Courier New"/>
                <w:sz w:val="15"/>
                <w:szCs w:val="15"/>
                <w:color w:val="auto"/>
              </w:rPr>
              <w:t>Lease contracts receivable</w:t>
            </w:r>
          </w:p>
        </w:tc>
        <w:tc>
          <w:tcPr>
            <w:tcW w:w="17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$508,190</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$550,620</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Nonrecourse debt service</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(389,619)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(434,542)</w:t>
            </w:r>
          </w:p>
        </w:tc>
      </w:tr>
      <w:tr>
        <w:trPr>
          <w:trHeight w:val="177"/>
        </w:trPr>
        <w:tc>
          <w:tcPr>
            <w:tcW w:w="3380" w:type="dxa"/>
            <w:vAlign w:val="bottom"/>
          </w:tcPr>
          <w:p>
            <w:pPr>
              <w:ind w:left="280"/>
              <w:spacing w:after="0"/>
              <w:rPr>
                <w:sz w:val="20"/>
                <w:szCs w:val="20"/>
                <w:color w:val="auto"/>
              </w:rPr>
            </w:pPr>
            <w:r>
              <w:rPr>
                <w:rFonts w:ascii="Courier New" w:cs="Courier New" w:eastAsia="Courier New" w:hAnsi="Courier New"/>
                <w:sz w:val="15"/>
                <w:szCs w:val="15"/>
                <w:color w:val="auto"/>
              </w:rPr>
              <w:t>Net contracts receivable</w:t>
            </w:r>
          </w:p>
        </w:tc>
        <w:tc>
          <w:tcPr>
            <w:tcW w:w="17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118,571</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116,078</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Estimated residual value</w:t>
            </w:r>
          </w:p>
        </w:tc>
        <w:tc>
          <w:tcPr>
            <w:tcW w:w="17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84,610</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86,202</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Less - Unearned income</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(41,134)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(39,391)</w:t>
            </w:r>
          </w:p>
        </w:tc>
      </w:tr>
      <w:tr>
        <w:trPr>
          <w:trHeight w:val="177"/>
        </w:trPr>
        <w:tc>
          <w:tcPr>
            <w:tcW w:w="3380" w:type="dxa"/>
            <w:vAlign w:val="bottom"/>
          </w:tcPr>
          <w:p>
            <w:pPr>
              <w:ind w:left="280"/>
              <w:spacing w:after="0"/>
              <w:rPr>
                <w:sz w:val="20"/>
                <w:szCs w:val="20"/>
                <w:color w:val="auto"/>
              </w:rPr>
            </w:pPr>
            <w:r>
              <w:rPr>
                <w:rFonts w:ascii="Courier New" w:cs="Courier New" w:eastAsia="Courier New" w:hAnsi="Courier New"/>
                <w:sz w:val="15"/>
                <w:szCs w:val="15"/>
                <w:color w:val="auto"/>
              </w:rPr>
              <w:t>Investment in leveraged leases</w:t>
            </w:r>
          </w:p>
        </w:tc>
        <w:tc>
          <w:tcPr>
            <w:tcW w:w="17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162,047</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162,889</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Less - Deferred ITC</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(9,381)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(9,557)</w:t>
            </w:r>
          </w:p>
        </w:tc>
      </w:tr>
      <w:tr>
        <w:trPr>
          <w:trHeight w:val="177"/>
        </w:trPr>
        <w:tc>
          <w:tcPr>
            <w:tcW w:w="3380" w:type="dxa"/>
            <w:vAlign w:val="bottom"/>
          </w:tcPr>
          <w:p>
            <w:pPr>
              <w:ind w:left="280"/>
              <w:spacing w:after="0"/>
              <w:rPr>
                <w:sz w:val="20"/>
                <w:szCs w:val="20"/>
                <w:color w:val="auto"/>
              </w:rPr>
            </w:pPr>
            <w:r>
              <w:rPr>
                <w:rFonts w:ascii="Courier New" w:cs="Courier New" w:eastAsia="Courier New" w:hAnsi="Courier New"/>
                <w:sz w:val="15"/>
                <w:szCs w:val="15"/>
                <w:color w:val="auto"/>
              </w:rPr>
              <w:t>Investment in leases, net</w:t>
            </w:r>
          </w:p>
        </w:tc>
        <w:tc>
          <w:tcPr>
            <w:tcW w:w="17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$152,666</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$153,332</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Highly liquid investments with original maturities of three months or less are classified as cash equivalents.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PGE uses financial instruments such as commodity futures, options, forwards and swaps to hedge against exposures to interest rate, foreign currency and commodity price risks. The objective of PGE's hedging program is to mitigate risks due to market fluctuations associated with external financings or the purchase of natural gas, electricity and related products. Gains and losses from derivatives that reduce commodity price risks are recognized as fuel or purchased power expense. Gains and losses on financial instruments that reduce interest rate risk of future debt issuances are deferred and amortized over the life of the related debt as an adjustment to interest expense.</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Company policy also allows the use of the financial instruments, noted above, for trading purposes. Gains or losses on financial instruments that are used for trading purposes, or otherwise do not qualify for hedge accounting, are recognized in income on a current basis (see Note 7, Other Financial Instruments, for further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WNP-3 SETTLEMENT EXCHANGE AGREEMENT</w:t>
      </w:r>
    </w:p>
    <w:p>
      <w:pPr>
        <w:spacing w:after="0" w:line="8"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The WNP-3 Settlement Exchange Agreement, which has been excluded from PGE's rate base, is carried at present value and amortized on a constant return basis.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828" w:right="1440" w:bottom="1440" w:gutter="0" w:footer="0" w:header="0"/>
        </w:sectPr>
      </w:pPr>
    </w:p>
    <w:bookmarkStart w:id="42" w:name="page43"/>
    <w:bookmarkEnd w:id="42"/>
    <w:p>
      <w:pPr>
        <w:ind w:left="80"/>
        <w:spacing w:after="0"/>
        <w:rPr>
          <w:sz w:val="20"/>
          <w:szCs w:val="20"/>
          <w:color w:val="auto"/>
        </w:rPr>
      </w:pPr>
      <w:r>
        <w:rPr>
          <w:rFonts w:ascii="Courier New" w:cs="Courier New" w:eastAsia="Courier New" w:hAnsi="Courier New"/>
          <w:sz w:val="15"/>
          <w:szCs w:val="15"/>
          <w:color w:val="auto"/>
        </w:rPr>
        <w:t>REGULATORY ASSEETS AND LIABILITIES</w:t>
      </w:r>
    </w:p>
    <w:p>
      <w:pPr>
        <w:spacing w:after="0" w:line="8" w:lineRule="exact"/>
        <w:rPr>
          <w:sz w:val="20"/>
          <w:szCs w:val="20"/>
          <w:color w:val="auto"/>
        </w:rPr>
      </w:pPr>
    </w:p>
    <w:p>
      <w:pPr>
        <w:ind w:left="80" w:right="3019"/>
        <w:spacing w:after="0" w:line="250" w:lineRule="auto"/>
        <w:rPr>
          <w:sz w:val="20"/>
          <w:szCs w:val="20"/>
          <w:color w:val="auto"/>
        </w:rPr>
      </w:pPr>
      <w:r>
        <w:rPr>
          <w:rFonts w:ascii="Courier New" w:cs="Courier New" w:eastAsia="Courier New" w:hAnsi="Courier New"/>
          <w:sz w:val="15"/>
          <w:szCs w:val="15"/>
          <w:color w:val="auto"/>
        </w:rPr>
        <w:t>The Company is subject to the provisions of Statement of Financial Accounting Standards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 71, "Accounting for the Effects of Certain Types of Regulation" (SFAS</w:t>
      </w:r>
    </w:p>
    <w:p>
      <w:pPr>
        <w:spacing w:after="0" w:line="8" w:lineRule="exact"/>
        <w:rPr>
          <w:sz w:val="20"/>
          <w:szCs w:val="20"/>
          <w:color w:val="auto"/>
        </w:rPr>
      </w:pPr>
    </w:p>
    <w:p>
      <w:pPr>
        <w:ind w:left="80" w:right="2939"/>
        <w:spacing w:after="0" w:line="250" w:lineRule="auto"/>
        <w:rPr>
          <w:sz w:val="20"/>
          <w:szCs w:val="20"/>
          <w:color w:val="auto"/>
        </w:rPr>
      </w:pPr>
      <w:r>
        <w:rPr>
          <w:rFonts w:ascii="Courier New" w:cs="Courier New" w:eastAsia="Courier New" w:hAnsi="Courier New"/>
          <w:sz w:val="15"/>
          <w:szCs w:val="15"/>
          <w:color w:val="auto"/>
        </w:rPr>
        <w:t>No. 71). When the requirements of SFAS No. 71 are met, PGE defers, or accrues revenue for, certain costs which would otherwise be charged to expense, if</w:t>
      </w:r>
    </w:p>
    <w:p>
      <w:pPr>
        <w:spacing w:after="0" w:line="1" w:lineRule="exact"/>
        <w:rPr>
          <w:sz w:val="20"/>
          <w:szCs w:val="20"/>
          <w:color w:val="auto"/>
        </w:rPr>
      </w:pPr>
    </w:p>
    <w:p>
      <w:pPr>
        <w:ind w:left="80" w:right="3019"/>
        <w:spacing w:after="0" w:line="250" w:lineRule="auto"/>
        <w:rPr>
          <w:sz w:val="20"/>
          <w:szCs w:val="20"/>
          <w:color w:val="auto"/>
        </w:rPr>
      </w:pPr>
      <w:r>
        <w:rPr>
          <w:rFonts w:ascii="Courier New" w:cs="Courier New" w:eastAsia="Courier New" w:hAnsi="Courier New"/>
          <w:sz w:val="15"/>
          <w:szCs w:val="15"/>
          <w:color w:val="auto"/>
        </w:rPr>
        <w:t>it is probable that future rates will permit recovery of such costs (regulatory assets). In addition PGE defers, or accrues a liability for, certain revenues, gains or cost reductions which would otherwise be reflected in income but through the ratemaking process ultimately will be credited to customers (regulatory liabilities). These regulatory assets and liabilities are reflected as deferred charges, accrued revenues and other liabilities</w:t>
      </w:r>
    </w:p>
    <w:p>
      <w:pPr>
        <w:spacing w:after="0" w:line="3" w:lineRule="exact"/>
        <w:rPr>
          <w:sz w:val="20"/>
          <w:szCs w:val="20"/>
          <w:color w:val="auto"/>
        </w:rPr>
      </w:pPr>
    </w:p>
    <w:p>
      <w:pPr>
        <w:ind w:left="80" w:right="3219"/>
        <w:spacing w:after="0" w:line="253" w:lineRule="auto"/>
        <w:rPr>
          <w:sz w:val="20"/>
          <w:szCs w:val="20"/>
          <w:color w:val="auto"/>
        </w:rPr>
      </w:pPr>
      <w:r>
        <w:rPr>
          <w:rFonts w:ascii="Courier New" w:cs="Courier New" w:eastAsia="Courier New" w:hAnsi="Courier New"/>
          <w:sz w:val="15"/>
          <w:szCs w:val="15"/>
          <w:color w:val="auto"/>
        </w:rPr>
        <w:t>in the financial statements and are amortized over the period in which they are included in billings to customers.</w:t>
      </w:r>
    </w:p>
    <w:p>
      <w:pPr>
        <w:spacing w:after="0" w:line="174" w:lineRule="exact"/>
        <w:rPr>
          <w:sz w:val="20"/>
          <w:szCs w:val="20"/>
          <w:color w:val="auto"/>
        </w:rPr>
      </w:pPr>
    </w:p>
    <w:p>
      <w:pPr>
        <w:ind w:left="80" w:right="3579"/>
        <w:spacing w:after="0" w:line="253" w:lineRule="auto"/>
        <w:rPr>
          <w:sz w:val="20"/>
          <w:szCs w:val="20"/>
          <w:color w:val="auto"/>
        </w:rPr>
      </w:pPr>
      <w:r>
        <w:rPr>
          <w:rFonts w:ascii="Courier New" w:cs="Courier New" w:eastAsia="Courier New" w:hAnsi="Courier New"/>
          <w:sz w:val="15"/>
          <w:szCs w:val="15"/>
          <w:color w:val="auto"/>
        </w:rPr>
        <w:t>Regulatory assets and liabilities reflected in the Consolidated Balance Sheets of December 31 relate to the following:</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Regulatory Assets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Power cost deferrals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96,216</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Trojan-related assets</w:t>
            </w:r>
          </w:p>
        </w:tc>
        <w:tc>
          <w:tcPr>
            <w:tcW w:w="32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612,426</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741,431</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Income taxes recoverable</w:t>
            </w:r>
          </w:p>
        </w:tc>
        <w:tc>
          <w:tcPr>
            <w:tcW w:w="32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217,366</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217,967</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Debt reacquisition and other</w:t>
            </w:r>
          </w:p>
        </w:tc>
        <w:tc>
          <w:tcPr>
            <w:tcW w:w="32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57,187</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80,032</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Energy efficiency programs</w:t>
            </w:r>
          </w:p>
        </w:tc>
        <w:tc>
          <w:tcPr>
            <w:tcW w:w="32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77,945</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58,894</w:t>
            </w:r>
          </w:p>
        </w:tc>
      </w:tr>
      <w:tr>
        <w:trPr>
          <w:trHeight w:val="177"/>
        </w:trPr>
        <w:tc>
          <w:tcPr>
            <w:tcW w:w="3820" w:type="dxa"/>
            <w:vAlign w:val="bottom"/>
          </w:tcPr>
          <w:p>
            <w:pPr>
              <w:ind w:left="1020"/>
              <w:spacing w:after="0"/>
              <w:rPr>
                <w:sz w:val="20"/>
                <w:szCs w:val="20"/>
                <w:color w:val="auto"/>
              </w:rPr>
            </w:pPr>
            <w:r>
              <w:rPr>
                <w:rFonts w:ascii="Courier New" w:cs="Courier New" w:eastAsia="Courier New" w:hAnsi="Courier New"/>
                <w:sz w:val="15"/>
                <w:szCs w:val="15"/>
                <w:color w:val="auto"/>
              </w:rPr>
              <w:t>Total Regulatory Assets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964,924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1,194,540</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Regulatory Liabilities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Deferred gain on sale of assets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118,939</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Miscellaneous</w:t>
            </w:r>
          </w:p>
        </w:tc>
        <w:tc>
          <w:tcPr>
            <w:tcW w:w="32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11,801</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19,114</w:t>
            </w:r>
          </w:p>
        </w:tc>
      </w:tr>
      <w:tr>
        <w:trPr>
          <w:trHeight w:val="177"/>
        </w:trPr>
        <w:tc>
          <w:tcPr>
            <w:tcW w:w="3820" w:type="dxa"/>
            <w:vAlign w:val="bottom"/>
          </w:tcPr>
          <w:p>
            <w:pPr>
              <w:ind w:left="1020"/>
              <w:spacing w:after="0"/>
              <w:rPr>
                <w:sz w:val="20"/>
                <w:szCs w:val="20"/>
                <w:color w:val="auto"/>
              </w:rPr>
            </w:pPr>
            <w:r>
              <w:rPr>
                <w:rFonts w:ascii="Courier New" w:cs="Courier New" w:eastAsia="Courier New" w:hAnsi="Courier New"/>
                <w:sz w:val="15"/>
                <w:szCs w:val="15"/>
                <w:color w:val="auto"/>
              </w:rPr>
              <w:t>Total Regulatory Liabilities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138,053</w:t>
            </w:r>
          </w:p>
        </w:tc>
      </w:tr>
    </w:tbl>
    <w:p>
      <w:pPr>
        <w:spacing w:after="0" w:line="183"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As of December 31, 1995, all of the Company's regulatory assets and liabilities are being reflected in rates charged to customers over periods ranging from approximately 3 to 28 years. Based on rates in place at year-end 1995, the Company estimates that it will collect the majority of its regulatory assets within the next 10 years and substantially all of its regulatory assets within the next 20 years. During 1995 the Company wrote down and offset certain regulatory assets and liabilities in conjunction with regulatory actions taken by the OPUC. For further discussion of the write-down and elimination of certain regulatory assets in 1995 see Note 13, Regulatory Matters.</w:t>
      </w: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2 - EMPLOYEE BENEFITS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PENSION PLAN</w:t>
      </w:r>
    </w:p>
    <w:p>
      <w:pPr>
        <w:spacing w:after="0" w:line="8" w:lineRule="exact"/>
        <w:rPr>
          <w:sz w:val="20"/>
          <w:szCs w:val="20"/>
          <w:color w:val="auto"/>
        </w:rPr>
      </w:pPr>
    </w:p>
    <w:p>
      <w:pPr>
        <w:ind w:left="180"/>
        <w:spacing w:after="0"/>
        <w:tabs>
          <w:tab w:leader="none" w:pos="1080" w:val="left"/>
          <w:tab w:leader="none" w:pos="1920" w:val="left"/>
          <w:tab w:leader="none" w:pos="2380" w:val="left"/>
          <w:tab w:leader="none" w:pos="2660" w:val="left"/>
        </w:tabs>
        <w:rPr>
          <w:sz w:val="20"/>
          <w:szCs w:val="20"/>
          <w:color w:val="auto"/>
        </w:rPr>
      </w:pPr>
      <w:r>
        <w:rPr>
          <w:rFonts w:ascii="Courier New" w:cs="Courier New" w:eastAsia="Courier New" w:hAnsi="Courier New"/>
          <w:sz w:val="15"/>
          <w:szCs w:val="15"/>
          <w:color w:val="auto"/>
        </w:rPr>
        <w:t>Portland</w:t>
        <w:tab/>
        <w:t>General</w:t>
        <w:tab/>
        <w:t>has</w:t>
        <w:tab/>
        <w:t>a</w:t>
        <w:tab/>
        <w:t>non-contributory defined pension plan (the Plan)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covering</w:t>
      </w:r>
    </w:p>
    <w:p>
      <w:pPr>
        <w:spacing w:after="0" w:line="8"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substantially all of its employees.   Benefits  under  the  Plan  are based on years  of  service,  final  average  pay  and covered compensation.  Portland General's policy is to contribute annually to  the  Plan  at least the minimum required under the Employee Retirement Income Security Act  of  1974  but  not more  than the maximum amount deductible for income tax purposes.  The Plan's assets are  held  in  a  trust  and consist primarily of investments in common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stocks, corporate bonds and U.S. government issues.</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Portland General determines net periodic  pension  expense  according  to  the principles of SFAS No. 87, "Employers' Accounting for Pensions".  Differences between  the  actual  and  expected  return on Plan assets are included in net amortization and deferral and are considered  in  the  determination of future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pension expense.</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50" w:right="1440" w:bottom="1440" w:gutter="0" w:footer="0" w:header="0"/>
        </w:sectPr>
      </w:pPr>
    </w:p>
    <w:bookmarkStart w:id="43" w:name="page44"/>
    <w:bookmarkEnd w:id="43"/>
    <w:tbl>
      <w:tblPr>
        <w:tblLayout w:type="fixed"/>
        <w:tblInd w:w="80" w:type="dxa"/>
        <w:tblCellMar>
          <w:top w:w="0" w:type="dxa"/>
          <w:left w:w="0" w:type="dxa"/>
          <w:bottom w:w="0" w:type="dxa"/>
          <w:right w:w="0" w:type="dxa"/>
        </w:tblCellMar>
      </w:tblPr>
      <w:tr>
        <w:trPr>
          <w:trHeight w:val="172"/>
        </w:trPr>
        <w:tc>
          <w:tcPr>
            <w:tcW w:w="6920" w:type="dxa"/>
            <w:vAlign w:val="bottom"/>
            <w:gridSpan w:val="3"/>
          </w:tcPr>
          <w:p>
            <w:pPr>
              <w:spacing w:after="0"/>
              <w:rPr>
                <w:sz w:val="20"/>
                <w:szCs w:val="20"/>
                <w:color w:val="auto"/>
              </w:rPr>
            </w:pPr>
            <w:r>
              <w:rPr>
                <w:rFonts w:ascii="Courier New" w:cs="Courier New" w:eastAsia="Courier New" w:hAnsi="Courier New"/>
                <w:sz w:val="15"/>
                <w:szCs w:val="15"/>
                <w:color w:val="auto"/>
              </w:rPr>
              <w:t>The following table sets forth the Plan's  funded status and</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69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amounts recognized in Portland General's financial statements  (thousands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dollars):</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887"/>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right"/>
              <w:ind w:right="1303"/>
              <w:spacing w:after="0"/>
              <w:rPr>
                <w:sz w:val="20"/>
                <w:szCs w:val="20"/>
                <w:color w:val="auto"/>
              </w:rPr>
            </w:pPr>
            <w:r>
              <w:rPr>
                <w:rFonts w:ascii="Courier New" w:cs="Courier New" w:eastAsia="Courier New" w:hAnsi="Courier New"/>
                <w:sz w:val="15"/>
                <w:szCs w:val="15"/>
                <w:color w:val="auto"/>
                <w:w w:val="94"/>
              </w:rPr>
              <w:t>1995</w:t>
            </w:r>
          </w:p>
        </w:tc>
        <w:tc>
          <w:tcPr>
            <w:tcW w:w="460" w:type="dxa"/>
            <w:vAlign w:val="bottom"/>
          </w:tcPr>
          <w:p>
            <w:pPr>
              <w:spacing w:after="0"/>
              <w:rPr>
                <w:sz w:val="24"/>
                <w:szCs w:val="24"/>
                <w:color w:val="auto"/>
              </w:rPr>
            </w:pPr>
          </w:p>
        </w:tc>
        <w:tc>
          <w:tcPr>
            <w:tcW w:w="106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1994</w:t>
            </w:r>
          </w:p>
        </w:tc>
        <w:tc>
          <w:tcPr>
            <w:tcW w:w="800" w:type="dxa"/>
            <w:vAlign w:val="bottom"/>
          </w:tcPr>
          <w:p>
            <w:pPr>
              <w:spacing w:after="0"/>
              <w:rPr>
                <w:sz w:val="24"/>
                <w:szCs w:val="24"/>
                <w:color w:val="auto"/>
              </w:rPr>
            </w:pP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7"/>
        </w:trPr>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Accumulated benefit obligation, including</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vested benefits of $174,694 and $142,082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w w:val="98"/>
              </w:rPr>
              <w:t>187,977</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154,320</w:t>
            </w:r>
          </w:p>
        </w:tc>
        <w:tc>
          <w:tcPr>
            <w:tcW w:w="800" w:type="dxa"/>
            <w:vAlign w:val="bottom"/>
          </w:tcPr>
          <w:p>
            <w:pPr>
              <w:spacing w:after="0"/>
              <w:rPr>
                <w:sz w:val="15"/>
                <w:szCs w:val="15"/>
                <w:color w:val="auto"/>
              </w:rPr>
            </w:pPr>
          </w:p>
        </w:tc>
      </w:tr>
      <w:tr>
        <w:trPr>
          <w:trHeight w:val="177"/>
        </w:trPr>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Effect of projected future compensation levels</w:t>
            </w:r>
          </w:p>
        </w:tc>
        <w:tc>
          <w:tcPr>
            <w:tcW w:w="380" w:type="dxa"/>
            <w:vAlign w:val="bottom"/>
          </w:tcPr>
          <w:p>
            <w:pPr>
              <w:spacing w:after="0"/>
              <w:rPr>
                <w:sz w:val="15"/>
                <w:szCs w:val="15"/>
                <w:color w:val="auto"/>
              </w:rPr>
            </w:pP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34,345</w:t>
            </w:r>
          </w:p>
        </w:tc>
        <w:tc>
          <w:tcPr>
            <w:tcW w:w="460" w:type="dxa"/>
            <w:vAlign w:val="bottom"/>
          </w:tcPr>
          <w:p>
            <w:pPr>
              <w:spacing w:after="0"/>
              <w:rPr>
                <w:sz w:val="15"/>
                <w:szCs w:val="15"/>
                <w:color w:val="auto"/>
              </w:rPr>
            </w:pP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35,134</w:t>
            </w:r>
          </w:p>
        </w:tc>
        <w:tc>
          <w:tcPr>
            <w:tcW w:w="800" w:type="dxa"/>
            <w:vAlign w:val="bottom"/>
          </w:tcPr>
          <w:p>
            <w:pPr>
              <w:spacing w:after="0"/>
              <w:rPr>
                <w:sz w:val="15"/>
                <w:szCs w:val="15"/>
                <w:color w:val="auto"/>
              </w:rPr>
            </w:pPr>
          </w:p>
        </w:tc>
      </w:tr>
      <w:tr>
        <w:trPr>
          <w:trHeight w:val="177"/>
        </w:trPr>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Projected benefit obligation (PBO)</w:t>
            </w:r>
          </w:p>
        </w:tc>
        <w:tc>
          <w:tcPr>
            <w:tcW w:w="380" w:type="dxa"/>
            <w:vAlign w:val="bottom"/>
          </w:tcPr>
          <w:p>
            <w:pPr>
              <w:spacing w:after="0"/>
              <w:rPr>
                <w:sz w:val="15"/>
                <w:szCs w:val="15"/>
                <w:color w:val="auto"/>
              </w:rPr>
            </w:pP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w w:val="98"/>
              </w:rPr>
              <w:t>222,322</w:t>
            </w:r>
          </w:p>
        </w:tc>
        <w:tc>
          <w:tcPr>
            <w:tcW w:w="460" w:type="dxa"/>
            <w:vAlign w:val="bottom"/>
          </w:tcPr>
          <w:p>
            <w:pPr>
              <w:spacing w:after="0"/>
              <w:rPr>
                <w:sz w:val="15"/>
                <w:szCs w:val="15"/>
                <w:color w:val="auto"/>
              </w:rPr>
            </w:pP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189,454</w:t>
            </w:r>
          </w:p>
        </w:tc>
        <w:tc>
          <w:tcPr>
            <w:tcW w:w="80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Plan assets at fair value</w:t>
            </w:r>
          </w:p>
        </w:tc>
        <w:tc>
          <w:tcPr>
            <w:tcW w:w="380" w:type="dxa"/>
            <w:vAlign w:val="bottom"/>
          </w:tcPr>
          <w:p>
            <w:pPr>
              <w:spacing w:after="0"/>
              <w:rPr>
                <w:sz w:val="15"/>
                <w:szCs w:val="15"/>
                <w:color w:val="auto"/>
              </w:rPr>
            </w:pP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w w:val="98"/>
              </w:rPr>
              <w:t>295,516</w:t>
            </w:r>
          </w:p>
        </w:tc>
        <w:tc>
          <w:tcPr>
            <w:tcW w:w="460" w:type="dxa"/>
            <w:vAlign w:val="bottom"/>
          </w:tcPr>
          <w:p>
            <w:pPr>
              <w:spacing w:after="0"/>
              <w:rPr>
                <w:sz w:val="15"/>
                <w:szCs w:val="15"/>
                <w:color w:val="auto"/>
              </w:rPr>
            </w:pP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245,225</w:t>
            </w:r>
          </w:p>
        </w:tc>
        <w:tc>
          <w:tcPr>
            <w:tcW w:w="80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Plan assets in excess of PBO</w:t>
            </w:r>
          </w:p>
        </w:tc>
        <w:tc>
          <w:tcPr>
            <w:tcW w:w="380" w:type="dxa"/>
            <w:vAlign w:val="bottom"/>
          </w:tcPr>
          <w:p>
            <w:pPr>
              <w:spacing w:after="0"/>
              <w:rPr>
                <w:sz w:val="15"/>
                <w:szCs w:val="15"/>
                <w:color w:val="auto"/>
              </w:rPr>
            </w:pP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73,194</w:t>
            </w:r>
          </w:p>
        </w:tc>
        <w:tc>
          <w:tcPr>
            <w:tcW w:w="460" w:type="dxa"/>
            <w:vAlign w:val="bottom"/>
          </w:tcPr>
          <w:p>
            <w:pPr>
              <w:spacing w:after="0"/>
              <w:rPr>
                <w:sz w:val="15"/>
                <w:szCs w:val="15"/>
                <w:color w:val="auto"/>
              </w:rPr>
            </w:pP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55,771</w:t>
            </w:r>
          </w:p>
        </w:tc>
        <w:tc>
          <w:tcPr>
            <w:tcW w:w="80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Unrecognized net experience gain</w:t>
            </w:r>
          </w:p>
        </w:tc>
        <w:tc>
          <w:tcPr>
            <w:tcW w:w="380" w:type="dxa"/>
            <w:vAlign w:val="bottom"/>
          </w:tcPr>
          <w:p>
            <w:pPr>
              <w:spacing w:after="0"/>
              <w:rPr>
                <w:sz w:val="15"/>
                <w:szCs w:val="15"/>
                <w:color w:val="auto"/>
              </w:rPr>
            </w:pPr>
          </w:p>
        </w:tc>
        <w:tc>
          <w:tcPr>
            <w:tcW w:w="1740" w:type="dxa"/>
            <w:vAlign w:val="bottom"/>
          </w:tcPr>
          <w:p>
            <w:pPr>
              <w:jc w:val="right"/>
              <w:ind w:right="923"/>
              <w:spacing w:after="0"/>
              <w:rPr>
                <w:sz w:val="20"/>
                <w:szCs w:val="20"/>
                <w:color w:val="auto"/>
              </w:rPr>
            </w:pPr>
            <w:r>
              <w:rPr>
                <w:rFonts w:ascii="Courier New" w:cs="Courier New" w:eastAsia="Courier New" w:hAnsi="Courier New"/>
                <w:sz w:val="15"/>
                <w:szCs w:val="15"/>
                <w:color w:val="auto"/>
                <w:w w:val="99"/>
              </w:rPr>
              <w:t>(71,691)</w:t>
            </w:r>
          </w:p>
        </w:tc>
        <w:tc>
          <w:tcPr>
            <w:tcW w:w="460" w:type="dxa"/>
            <w:vAlign w:val="bottom"/>
          </w:tcPr>
          <w:p>
            <w:pPr>
              <w:spacing w:after="0"/>
              <w:rPr>
                <w:sz w:val="15"/>
                <w:szCs w:val="15"/>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(54,391)</w:t>
            </w:r>
          </w:p>
        </w:tc>
        <w:tc>
          <w:tcPr>
            <w:tcW w:w="80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costs amortized</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over 13- to 16-year periods</w:t>
            </w:r>
          </w:p>
        </w:tc>
        <w:tc>
          <w:tcPr>
            <w:tcW w:w="380" w:type="dxa"/>
            <w:vAlign w:val="bottom"/>
          </w:tcPr>
          <w:p>
            <w:pPr>
              <w:spacing w:after="0"/>
              <w:rPr>
                <w:sz w:val="15"/>
                <w:szCs w:val="15"/>
                <w:color w:val="auto"/>
              </w:rPr>
            </w:pP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13,180</w:t>
            </w:r>
          </w:p>
        </w:tc>
        <w:tc>
          <w:tcPr>
            <w:tcW w:w="460" w:type="dxa"/>
            <w:vAlign w:val="bottom"/>
          </w:tcPr>
          <w:p>
            <w:pPr>
              <w:spacing w:after="0"/>
              <w:rPr>
                <w:sz w:val="15"/>
                <w:szCs w:val="15"/>
                <w:color w:val="auto"/>
              </w:rPr>
            </w:pP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12,935</w:t>
            </w:r>
          </w:p>
        </w:tc>
        <w:tc>
          <w:tcPr>
            <w:tcW w:w="80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Unrecognized net transition asset being</w:t>
            </w: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recognized over 18 years</w:t>
            </w:r>
          </w:p>
        </w:tc>
        <w:tc>
          <w:tcPr>
            <w:tcW w:w="380" w:type="dxa"/>
            <w:vAlign w:val="bottom"/>
          </w:tcPr>
          <w:p>
            <w:pPr>
              <w:spacing w:after="0"/>
              <w:rPr>
                <w:sz w:val="15"/>
                <w:szCs w:val="15"/>
                <w:color w:val="auto"/>
              </w:rPr>
            </w:pPr>
          </w:p>
        </w:tc>
        <w:tc>
          <w:tcPr>
            <w:tcW w:w="1740" w:type="dxa"/>
            <w:vAlign w:val="bottom"/>
          </w:tcPr>
          <w:p>
            <w:pPr>
              <w:jc w:val="right"/>
              <w:ind w:right="923"/>
              <w:spacing w:after="0"/>
              <w:rPr>
                <w:sz w:val="20"/>
                <w:szCs w:val="20"/>
                <w:color w:val="auto"/>
              </w:rPr>
            </w:pPr>
            <w:r>
              <w:rPr>
                <w:rFonts w:ascii="Courier New" w:cs="Courier New" w:eastAsia="Courier New" w:hAnsi="Courier New"/>
                <w:sz w:val="15"/>
                <w:szCs w:val="15"/>
                <w:color w:val="auto"/>
                <w:w w:val="99"/>
              </w:rPr>
              <w:t>(17,618)</w:t>
            </w:r>
          </w:p>
        </w:tc>
        <w:tc>
          <w:tcPr>
            <w:tcW w:w="460" w:type="dxa"/>
            <w:vAlign w:val="bottom"/>
          </w:tcPr>
          <w:p>
            <w:pPr>
              <w:spacing w:after="0"/>
              <w:rPr>
                <w:sz w:val="15"/>
                <w:szCs w:val="15"/>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(19,575)</w:t>
            </w:r>
          </w:p>
        </w:tc>
        <w:tc>
          <w:tcPr>
            <w:tcW w:w="800" w:type="dxa"/>
            <w:vAlign w:val="bottom"/>
          </w:tcPr>
          <w:p>
            <w:pPr>
              <w:spacing w:after="0"/>
              <w:rPr>
                <w:sz w:val="15"/>
                <w:szCs w:val="15"/>
                <w:color w:val="auto"/>
              </w:rPr>
            </w:pPr>
          </w:p>
        </w:tc>
      </w:tr>
      <w:tr>
        <w:trPr>
          <w:trHeight w:val="177"/>
        </w:trPr>
        <w:tc>
          <w:tcPr>
            <w:tcW w:w="4800" w:type="dxa"/>
            <w:vAlign w:val="bottom"/>
          </w:tcPr>
          <w:p>
            <w:pPr>
              <w:spacing w:after="0"/>
              <w:rPr>
                <w:sz w:val="20"/>
                <w:szCs w:val="20"/>
                <w:color w:val="auto"/>
              </w:rPr>
            </w:pPr>
            <w:r>
              <w:rPr>
                <w:rFonts w:ascii="Courier New" w:cs="Courier New" w:eastAsia="Courier New" w:hAnsi="Courier New"/>
                <w:sz w:val="15"/>
                <w:szCs w:val="15"/>
                <w:color w:val="auto"/>
              </w:rPr>
              <w:t>Pension liability</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(2,935)</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(5,260)</w:t>
            </w:r>
          </w:p>
        </w:tc>
        <w:tc>
          <w:tcPr>
            <w:tcW w:w="800" w:type="dxa"/>
            <w:vAlign w:val="bottom"/>
          </w:tcPr>
          <w:p>
            <w:pPr>
              <w:spacing w:after="0"/>
              <w:rPr>
                <w:sz w:val="15"/>
                <w:szCs w:val="15"/>
                <w:color w:val="auto"/>
              </w:rPr>
            </w:pPr>
          </w:p>
        </w:tc>
      </w:tr>
      <w:tr>
        <w:trPr>
          <w:trHeight w:val="1065"/>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1995</w:t>
            </w:r>
          </w:p>
        </w:tc>
        <w:tc>
          <w:tcPr>
            <w:tcW w:w="15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r>
      <w:tr>
        <w:trPr>
          <w:trHeight w:val="355"/>
        </w:trPr>
        <w:tc>
          <w:tcPr>
            <w:tcW w:w="4800" w:type="dxa"/>
            <w:vAlign w:val="bottom"/>
          </w:tcPr>
          <w:p>
            <w:pPr>
              <w:spacing w:after="0"/>
              <w:rPr>
                <w:sz w:val="20"/>
                <w:szCs w:val="20"/>
                <w:color w:val="auto"/>
              </w:rPr>
            </w:pPr>
            <w:r>
              <w:rPr>
                <w:rFonts w:ascii="Courier New" w:cs="Courier New" w:eastAsia="Courier New" w:hAnsi="Courier New"/>
                <w:sz w:val="15"/>
                <w:szCs w:val="15"/>
                <w:color w:val="auto"/>
              </w:rPr>
              <w:t>ASSUMPTIONS:</w:t>
            </w: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7"/>
        </w:trPr>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Discount rate used to calculate PBO</w:t>
            </w:r>
          </w:p>
        </w:tc>
        <w:tc>
          <w:tcPr>
            <w:tcW w:w="380" w:type="dxa"/>
            <w:vAlign w:val="bottom"/>
          </w:tcPr>
          <w:p>
            <w:pPr>
              <w:spacing w:after="0"/>
              <w:rPr>
                <w:sz w:val="15"/>
                <w:szCs w:val="15"/>
                <w:color w:val="auto"/>
              </w:rPr>
            </w:pPr>
          </w:p>
        </w:tc>
        <w:tc>
          <w:tcPr>
            <w:tcW w:w="174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7.00%</w:t>
            </w:r>
          </w:p>
        </w:tc>
        <w:tc>
          <w:tcPr>
            <w:tcW w:w="15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8.50%</w:t>
            </w:r>
          </w:p>
        </w:tc>
        <w:tc>
          <w:tcPr>
            <w:tcW w:w="800" w:type="dxa"/>
            <w:vAlign w:val="bottom"/>
          </w:tcPr>
          <w:p>
            <w:pPr>
              <w:ind w:left="340"/>
              <w:spacing w:after="0"/>
              <w:rPr>
                <w:sz w:val="20"/>
                <w:szCs w:val="20"/>
                <w:color w:val="auto"/>
              </w:rPr>
            </w:pPr>
            <w:r>
              <w:rPr>
                <w:rFonts w:ascii="Courier New" w:cs="Courier New" w:eastAsia="Courier New" w:hAnsi="Courier New"/>
                <w:sz w:val="15"/>
                <w:szCs w:val="15"/>
                <w:color w:val="auto"/>
                <w:w w:val="97"/>
              </w:rPr>
              <w:t>7.25%</w:t>
            </w:r>
          </w:p>
        </w:tc>
      </w:tr>
      <w:tr>
        <w:trPr>
          <w:trHeight w:val="177"/>
        </w:trPr>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Rate of increase in future compensation levels</w:t>
            </w:r>
          </w:p>
        </w:tc>
        <w:tc>
          <w:tcPr>
            <w:tcW w:w="380" w:type="dxa"/>
            <w:vAlign w:val="bottom"/>
          </w:tcPr>
          <w:p>
            <w:pPr>
              <w:spacing w:after="0"/>
              <w:rPr>
                <w:sz w:val="15"/>
                <w:szCs w:val="15"/>
                <w:color w:val="auto"/>
              </w:rPr>
            </w:pP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5.00</w:t>
            </w:r>
          </w:p>
        </w:tc>
        <w:tc>
          <w:tcPr>
            <w:tcW w:w="15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6.50</w:t>
            </w:r>
          </w:p>
        </w:tc>
        <w:tc>
          <w:tcPr>
            <w:tcW w:w="800" w:type="dxa"/>
            <w:vAlign w:val="bottom"/>
          </w:tcPr>
          <w:p>
            <w:pPr>
              <w:ind w:left="340"/>
              <w:spacing w:after="0"/>
              <w:rPr>
                <w:sz w:val="20"/>
                <w:szCs w:val="20"/>
                <w:color w:val="auto"/>
              </w:rPr>
            </w:pPr>
            <w:r>
              <w:rPr>
                <w:rFonts w:ascii="Courier New" w:cs="Courier New" w:eastAsia="Courier New" w:hAnsi="Courier New"/>
                <w:sz w:val="15"/>
                <w:szCs w:val="15"/>
                <w:color w:val="auto"/>
              </w:rPr>
              <w:t>5.25</w:t>
            </w:r>
          </w:p>
        </w:tc>
      </w:tr>
      <w:tr>
        <w:trPr>
          <w:trHeight w:val="177"/>
        </w:trPr>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Long-term rate of return on assets</w:t>
            </w:r>
          </w:p>
        </w:tc>
        <w:tc>
          <w:tcPr>
            <w:tcW w:w="380" w:type="dxa"/>
            <w:vAlign w:val="bottom"/>
          </w:tcPr>
          <w:p>
            <w:pPr>
              <w:spacing w:after="0"/>
              <w:rPr>
                <w:sz w:val="15"/>
                <w:szCs w:val="15"/>
                <w:color w:val="auto"/>
              </w:rPr>
            </w:pPr>
          </w:p>
        </w:tc>
        <w:tc>
          <w:tcPr>
            <w:tcW w:w="174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8.50</w:t>
            </w:r>
          </w:p>
        </w:tc>
        <w:tc>
          <w:tcPr>
            <w:tcW w:w="15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8.50</w:t>
            </w:r>
          </w:p>
        </w:tc>
        <w:tc>
          <w:tcPr>
            <w:tcW w:w="800" w:type="dxa"/>
            <w:vAlign w:val="bottom"/>
          </w:tcPr>
          <w:p>
            <w:pPr>
              <w:ind w:left="340"/>
              <w:spacing w:after="0"/>
              <w:rPr>
                <w:sz w:val="20"/>
                <w:szCs w:val="20"/>
                <w:color w:val="auto"/>
              </w:rPr>
            </w:pPr>
            <w:r>
              <w:rPr>
                <w:rFonts w:ascii="Courier New" w:cs="Courier New" w:eastAsia="Courier New" w:hAnsi="Courier New"/>
                <w:sz w:val="15"/>
                <w:szCs w:val="15"/>
                <w:color w:val="auto"/>
              </w:rPr>
              <w:t>8.50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COMPONENTS OF NET PERIODIC PENSION</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7"/>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EXPENSE (THOUSANDS OF DOLLARS):</w:t>
            </w: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9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5,500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6,199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6,151</w:t>
            </w:r>
          </w:p>
        </w:tc>
      </w:tr>
      <w:tr>
        <w:trPr>
          <w:trHeight w:val="177"/>
        </w:trPr>
        <w:tc>
          <w:tcPr>
            <w:tcW w:w="1900" w:type="dxa"/>
            <w:vAlign w:val="bottom"/>
          </w:tcPr>
          <w:p>
            <w:pPr>
              <w:spacing w:after="0"/>
              <w:rPr>
                <w:sz w:val="20"/>
                <w:szCs w:val="20"/>
                <w:color w:val="auto"/>
              </w:rPr>
            </w:pPr>
            <w:r>
              <w:rPr>
                <w:rFonts w:ascii="Courier New" w:cs="Courier New" w:eastAsia="Courier New" w:hAnsi="Courier New"/>
                <w:sz w:val="15"/>
                <w:szCs w:val="15"/>
                <w:color w:val="auto"/>
              </w:rPr>
              <w:t>Interest cost on PBO</w:t>
            </w:r>
          </w:p>
        </w:tc>
        <w:tc>
          <w:tcPr>
            <w:tcW w:w="2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15,722</w:t>
            </w:r>
          </w:p>
        </w:tc>
        <w:tc>
          <w:tcPr>
            <w:tcW w:w="500" w:type="dxa"/>
            <w:vAlign w:val="bottom"/>
          </w:tcPr>
          <w:p>
            <w:pPr>
              <w:spacing w:after="0"/>
              <w:rPr>
                <w:sz w:val="15"/>
                <w:szCs w:val="15"/>
                <w:color w:val="auto"/>
              </w:rPr>
            </w:pP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14,693</w:t>
            </w:r>
          </w:p>
        </w:tc>
        <w:tc>
          <w:tcPr>
            <w:tcW w:w="56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14,241</w:t>
            </w:r>
          </w:p>
        </w:tc>
      </w:tr>
      <w:tr>
        <w:trPr>
          <w:trHeight w:val="177"/>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54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(61,377)</w:t>
            </w:r>
          </w:p>
        </w:tc>
        <w:tc>
          <w:tcPr>
            <w:tcW w:w="500" w:type="dxa"/>
            <w:vAlign w:val="bottom"/>
          </w:tcPr>
          <w:p>
            <w:pPr>
              <w:spacing w:after="0"/>
              <w:rPr>
                <w:sz w:val="15"/>
                <w:szCs w:val="15"/>
                <w:color w:val="auto"/>
              </w:rPr>
            </w:pP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6,011</w:t>
            </w:r>
          </w:p>
        </w:tc>
        <w:tc>
          <w:tcPr>
            <w:tcW w:w="5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(48,231)</w:t>
            </w:r>
          </w:p>
        </w:tc>
      </w:tr>
      <w:tr>
        <w:trPr>
          <w:trHeight w:val="177"/>
        </w:trPr>
        <w:tc>
          <w:tcPr>
            <w:tcW w:w="1900" w:type="dxa"/>
            <w:vAlign w:val="bottom"/>
          </w:tcPr>
          <w:p>
            <w:pPr>
              <w:spacing w:after="0"/>
              <w:rPr>
                <w:sz w:val="20"/>
                <w:szCs w:val="20"/>
                <w:color w:val="auto"/>
              </w:rPr>
            </w:pPr>
            <w:r>
              <w:rPr>
                <w:rFonts w:ascii="Courier New" w:cs="Courier New" w:eastAsia="Courier New" w:hAnsi="Courier New"/>
                <w:sz w:val="15"/>
                <w:szCs w:val="15"/>
                <w:color w:val="auto"/>
              </w:rPr>
              <w:t>Net amortization and</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deferral</w:t>
            </w:r>
          </w:p>
        </w:tc>
        <w:tc>
          <w:tcPr>
            <w:tcW w:w="540" w:type="dxa"/>
            <w:vAlign w:val="bottom"/>
          </w:tcPr>
          <w:p>
            <w:pPr>
              <w:spacing w:after="0"/>
              <w:rPr>
                <w:sz w:val="15"/>
                <w:szCs w:val="15"/>
                <w:color w:val="auto"/>
              </w:rPr>
            </w:pP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37,830</w:t>
            </w:r>
          </w:p>
        </w:tc>
        <w:tc>
          <w:tcPr>
            <w:tcW w:w="50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(25,971)</w:t>
            </w:r>
          </w:p>
        </w:tc>
        <w:tc>
          <w:tcPr>
            <w:tcW w:w="56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29,839</w:t>
            </w:r>
          </w:p>
        </w:tc>
      </w:tr>
      <w:tr>
        <w:trPr>
          <w:trHeight w:val="177"/>
        </w:trPr>
        <w:tc>
          <w:tcPr>
            <w:tcW w:w="1900" w:type="dxa"/>
            <w:vAlign w:val="bottom"/>
          </w:tcPr>
          <w:p>
            <w:pPr>
              <w:spacing w:after="0"/>
              <w:rPr>
                <w:sz w:val="20"/>
                <w:szCs w:val="20"/>
                <w:color w:val="auto"/>
              </w:rPr>
            </w:pPr>
            <w:r>
              <w:rPr>
                <w:rFonts w:ascii="Courier New" w:cs="Courier New" w:eastAsia="Courier New" w:hAnsi="Courier New"/>
                <w:sz w:val="15"/>
                <w:szCs w:val="15"/>
                <w:color w:val="auto"/>
              </w:rPr>
              <w:t>Net periodic pension</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expense/(benefit)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(2,325)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932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2,000</w:t>
            </w:r>
          </w:p>
        </w:tc>
      </w:tr>
    </w:tbl>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POST-RETIREMENT BENEFIT PLANS</w:t>
      </w:r>
    </w:p>
    <w:p>
      <w:pPr>
        <w:spacing w:after="0" w:line="8" w:lineRule="exact"/>
        <w:rPr>
          <w:sz w:val="20"/>
          <w:szCs w:val="20"/>
          <w:color w:val="auto"/>
        </w:rPr>
      </w:pPr>
    </w:p>
    <w:p>
      <w:pPr>
        <w:ind w:right="2939" w:firstLine="92"/>
        <w:spacing w:after="0" w:line="250" w:lineRule="auto"/>
        <w:rPr>
          <w:sz w:val="20"/>
          <w:szCs w:val="20"/>
          <w:color w:val="auto"/>
        </w:rPr>
      </w:pPr>
      <w:r>
        <w:rPr>
          <w:rFonts w:ascii="Courier New" w:cs="Courier New" w:eastAsia="Courier New" w:hAnsi="Courier New"/>
          <w:sz w:val="15"/>
          <w:szCs w:val="15"/>
          <w:color w:val="auto"/>
        </w:rPr>
        <w:t>Portland General accrues for health, medical and life insurance costs during the employees' service years, in accordance with SFAS No. 106. PGE receives recovery for the</w:t>
      </w:r>
    </w:p>
    <w:p>
      <w:pPr>
        <w:spacing w:after="0" w:line="1"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annual provision in customer rates.  Employees are covered  under  a  Defined Dollar  Medical  Benefit  Plan  which  limits Portland General's obligation by establishing a maximum contribution per  employee.   The  accumulated  benefit obligation  for  post-retirement  health  and  life  insurance  benefits at</w:t>
      </w:r>
    </w:p>
    <w:p>
      <w:pPr>
        <w:spacing w:after="0" w:line="2" w:lineRule="exact"/>
        <w:rPr>
          <w:sz w:val="20"/>
          <w:szCs w:val="20"/>
          <w:color w:val="auto"/>
        </w:rPr>
      </w:pPr>
    </w:p>
    <w:p>
      <w:pPr>
        <w:ind w:left="80"/>
        <w:spacing w:after="0"/>
        <w:tabs>
          <w:tab w:leader="none" w:pos="1820" w:val="left"/>
        </w:tabs>
        <w:rPr>
          <w:sz w:val="20"/>
          <w:szCs w:val="20"/>
          <w:color w:val="auto"/>
        </w:rPr>
      </w:pPr>
      <w:r>
        <w:rPr>
          <w:rFonts w:ascii="Courier New" w:cs="Courier New" w:eastAsia="Courier New" w:hAnsi="Courier New"/>
          <w:sz w:val="15"/>
          <w:szCs w:val="15"/>
          <w:color w:val="auto"/>
        </w:rPr>
        <w:t>December 31, 1995</w:t>
        <w:tab/>
        <w:t>was $30 million, for which there were $28 million</w:t>
      </w:r>
    </w:p>
    <w:p>
      <w:pPr>
        <w:spacing w:after="0" w:line="8" w:lineRule="exact"/>
        <w:rPr>
          <w:sz w:val="20"/>
          <w:szCs w:val="20"/>
          <w:color w:val="auto"/>
        </w:rPr>
      </w:pPr>
    </w:p>
    <w:p>
      <w:pPr>
        <w:ind w:left="80" w:right="3219"/>
        <w:spacing w:after="0" w:line="253" w:lineRule="auto"/>
        <w:rPr>
          <w:sz w:val="20"/>
          <w:szCs w:val="20"/>
          <w:color w:val="auto"/>
        </w:rPr>
      </w:pPr>
      <w:r>
        <w:rPr>
          <w:rFonts w:ascii="Courier New" w:cs="Courier New" w:eastAsia="Courier New" w:hAnsi="Courier New"/>
          <w:sz w:val="15"/>
          <w:szCs w:val="15"/>
          <w:color w:val="auto"/>
        </w:rPr>
        <w:t>of assets held in trust. The benefit obligation for post-retirement health and life insurance benefits at December 31, 1994 was $27 million.</w:t>
      </w:r>
    </w:p>
    <w:p>
      <w:pPr>
        <w:spacing w:after="0" w:line="174"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Portland General also provides senior officers with additional benefits under an unfunded Supplemental Executive Retirement Plan (SERP). Projected benefit obligations for the SERP are $15 million at December 31, 1995 and 1994.</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DEFERRED COMPENSATION</w:t>
      </w:r>
    </w:p>
    <w:p>
      <w:pPr>
        <w:spacing w:after="0" w:line="8"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Portland General provides certain employees with benefits under an unfunded Management Deferred Compensation Plan (MDCP). Obligations for the MDCP are $25 million and $21 million at December 31, 1995 and 1994,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OWNERSHIP PLAN</w:t>
      </w:r>
    </w:p>
    <w:p>
      <w:pPr>
        <w:spacing w:after="0" w:line="8" w:lineRule="exact"/>
        <w:rPr>
          <w:sz w:val="20"/>
          <w:szCs w:val="20"/>
          <w:color w:val="auto"/>
        </w:rPr>
      </w:pPr>
    </w:p>
    <w:p>
      <w:pPr>
        <w:ind w:left="80" w:right="2939" w:firstLine="92"/>
        <w:spacing w:after="0" w:line="250" w:lineRule="auto"/>
        <w:rPr>
          <w:sz w:val="20"/>
          <w:szCs w:val="20"/>
          <w:color w:val="auto"/>
        </w:rPr>
      </w:pPr>
      <w:r>
        <w:rPr>
          <w:rFonts w:ascii="Courier New" w:cs="Courier New" w:eastAsia="Courier New" w:hAnsi="Courier New"/>
          <w:sz w:val="15"/>
          <w:szCs w:val="15"/>
          <w:color w:val="auto"/>
        </w:rPr>
        <w:t>Portland General has an Employee Stock Ownership Plan (ESOP) which is a part of its 401(k) retirement savings plan. Employee contributions up to 6% of base pay are matched by employer contributions in the form of ESOP common stock. Shares of common stock to be used to match contributions by PGE employees were purchased from a $36 million loan from PGE to the ESOP trust in</w:t>
      </w:r>
    </w:p>
    <w:p>
      <w:pPr>
        <w:spacing w:after="0" w:line="2"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late  1990.   This loan is presented in the common equity section as unearned compensation.  Cash contributions from PGE and dividends on shares held in the trust are used to pay the debt service on PGE's loan.  As the loan is retired, an  equivalent  amount   of   stock   is   allocated  to  employee  accounts.</w:t>
      </w:r>
    </w:p>
    <w:p>
      <w:pPr>
        <w:spacing w:after="0" w:line="2" w:lineRule="exact"/>
        <w:rPr>
          <w:sz w:val="20"/>
          <w:szCs w:val="20"/>
          <w:color w:val="auto"/>
        </w:rPr>
      </w:pPr>
    </w:p>
    <w:p>
      <w:pPr>
        <w:jc w:val="both"/>
        <w:ind w:left="80" w:right="3219"/>
        <w:spacing w:after="0" w:line="252" w:lineRule="auto"/>
        <w:rPr>
          <w:sz w:val="20"/>
          <w:szCs w:val="20"/>
          <w:color w:val="auto"/>
        </w:rPr>
      </w:pPr>
      <w:r>
        <w:rPr>
          <w:rFonts w:ascii="Courier New" w:cs="Courier New" w:eastAsia="Courier New" w:hAnsi="Courier New"/>
          <w:sz w:val="15"/>
          <w:szCs w:val="15"/>
          <w:color w:val="auto"/>
        </w:rPr>
        <w:t>Contributions to the ESOP of $4 million for 1995 and $5 million for each of 1994 and 1993 combined with dividends on unallocated shares of $1 million for each of 1995 and 1994 and</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828" w:right="1440" w:bottom="0" w:gutter="0" w:footer="0" w:header="0"/>
        </w:sectPr>
      </w:pPr>
    </w:p>
    <w:bookmarkStart w:id="44" w:name="page45"/>
    <w:bookmarkEnd w:id="44"/>
    <w:p>
      <w:pPr>
        <w:spacing w:after="0"/>
        <w:tabs>
          <w:tab w:leader="none" w:pos="4420" w:val="left"/>
        </w:tabs>
        <w:rPr>
          <w:sz w:val="20"/>
          <w:szCs w:val="20"/>
          <w:color w:val="auto"/>
        </w:rPr>
      </w:pPr>
      <w:r>
        <w:rPr>
          <w:rFonts w:ascii="Courier New" w:cs="Courier New" w:eastAsia="Courier New" w:hAnsi="Courier New"/>
          <w:sz w:val="15"/>
          <w:szCs w:val="15"/>
          <w:color w:val="auto"/>
        </w:rPr>
        <w:t>$2 million for 1993 were used to pay principal</w:t>
        <w:tab/>
        <w:t>and</w:t>
      </w:r>
    </w:p>
    <w:p>
      <w:pPr>
        <w:spacing w:after="0" w:line="8" w:lineRule="exact"/>
        <w:rPr>
          <w:sz w:val="20"/>
          <w:szCs w:val="20"/>
          <w:color w:val="auto"/>
        </w:rPr>
      </w:pPr>
    </w:p>
    <w:p>
      <w:pPr>
        <w:jc w:val="right"/>
        <w:ind w:right="2939"/>
        <w:spacing w:after="0" w:line="250" w:lineRule="auto"/>
        <w:rPr>
          <w:sz w:val="20"/>
          <w:szCs w:val="20"/>
          <w:color w:val="auto"/>
        </w:rPr>
      </w:pPr>
      <w:r>
        <w:rPr>
          <w:rFonts w:ascii="Courier New" w:cs="Courier New" w:eastAsia="Courier New" w:hAnsi="Courier New"/>
          <w:sz w:val="15"/>
          <w:szCs w:val="15"/>
          <w:color w:val="auto"/>
        </w:rPr>
        <w:t>interest on PGE's loan.  Shares of common stock used to match contributions by employees  of Portland General and its subsidiaries are purchased on the open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INCOME TAXES</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The following  table shows the detail of taxes on income and the items used in computing the differences  between  the  statutory federal income tax rate and Portland General's effective tax rate.  NOTE:   The  table  does  not  include income  taxes  related  to  1994 gains on discontinued real estate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2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1995</w:t>
            </w:r>
          </w:p>
        </w:tc>
        <w:tc>
          <w:tcPr>
            <w:tcW w:w="14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spacing w:after="0"/>
              <w:rPr>
                <w:sz w:val="14"/>
                <w:szCs w:val="14"/>
                <w:color w:val="auto"/>
              </w:rPr>
            </w:pP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r>
      <w:tr>
        <w:trPr>
          <w:trHeight w:val="355"/>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7"/>
        </w:trPr>
        <w:tc>
          <w:tcPr>
            <w:tcW w:w="3700" w:type="dxa"/>
            <w:vAlign w:val="bottom"/>
          </w:tcPr>
          <w:p>
            <w:pPr>
              <w:ind w:left="200"/>
              <w:spacing w:after="0"/>
              <w:rPr>
                <w:sz w:val="20"/>
                <w:szCs w:val="20"/>
                <w:color w:val="auto"/>
              </w:rPr>
            </w:pPr>
            <w:r>
              <w:rPr>
                <w:rFonts w:ascii="Courier New" w:cs="Courier New" w:eastAsia="Courier New" w:hAnsi="Courier New"/>
                <w:sz w:val="15"/>
                <w:szCs w:val="15"/>
                <w:color w:val="auto"/>
              </w:rPr>
              <w:t>Currently payable</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Federal</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$ 77,845</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$ 41,833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7,874</w:t>
            </w:r>
          </w:p>
        </w:tc>
      </w:tr>
      <w:tr>
        <w:trPr>
          <w:trHeight w:val="177"/>
        </w:trPr>
        <w:tc>
          <w:tcPr>
            <w:tcW w:w="3700" w:type="dxa"/>
            <w:vAlign w:val="bottom"/>
          </w:tcPr>
          <w:p>
            <w:pPr>
              <w:ind w:left="460"/>
              <w:spacing w:after="0"/>
              <w:rPr>
                <w:sz w:val="20"/>
                <w:szCs w:val="20"/>
                <w:color w:val="auto"/>
              </w:rPr>
            </w:pPr>
            <w:r>
              <w:rPr>
                <w:rFonts w:ascii="Courier New" w:cs="Courier New" w:eastAsia="Courier New" w:hAnsi="Courier New"/>
                <w:sz w:val="15"/>
                <w:szCs w:val="15"/>
                <w:color w:val="auto"/>
              </w:rPr>
              <w:t>State</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9,230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7,072</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(4,885)</w:t>
            </w:r>
          </w:p>
        </w:tc>
      </w:tr>
      <w:tr>
        <w:trPr>
          <w:trHeight w:val="177"/>
        </w:trPr>
        <w:tc>
          <w:tcPr>
            <w:tcW w:w="370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87,075</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48,905</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2,989</w:t>
            </w:r>
          </w:p>
        </w:tc>
      </w:tr>
      <w:tr>
        <w:trPr>
          <w:trHeight w:val="177"/>
        </w:trPr>
        <w:tc>
          <w:tcPr>
            <w:tcW w:w="3700" w:type="dxa"/>
            <w:vAlign w:val="bottom"/>
          </w:tcPr>
          <w:p>
            <w:pPr>
              <w:ind w:left="200"/>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700" w:type="dxa"/>
            <w:vAlign w:val="bottom"/>
          </w:tcPr>
          <w:p>
            <w:pPr>
              <w:ind w:left="560"/>
              <w:spacing w:after="0"/>
              <w:rPr>
                <w:sz w:val="20"/>
                <w:szCs w:val="20"/>
                <w:color w:val="auto"/>
              </w:rPr>
            </w:pPr>
            <w:r>
              <w:rPr>
                <w:rFonts w:ascii="Courier New" w:cs="Courier New" w:eastAsia="Courier New" w:hAnsi="Courier New"/>
                <w:sz w:val="15"/>
                <w:szCs w:val="15"/>
                <w:color w:val="auto"/>
              </w:rPr>
              <w:t>Federal</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(15,359)</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22,269</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63,534</w:t>
            </w:r>
          </w:p>
        </w:tc>
      </w:tr>
      <w:tr>
        <w:trPr>
          <w:trHeight w:val="177"/>
        </w:trPr>
        <w:tc>
          <w:tcPr>
            <w:tcW w:w="3700" w:type="dxa"/>
            <w:vAlign w:val="bottom"/>
          </w:tcPr>
          <w:p>
            <w:pPr>
              <w:ind w:left="560"/>
              <w:spacing w:after="0"/>
              <w:rPr>
                <w:sz w:val="20"/>
                <w:szCs w:val="20"/>
                <w:color w:val="auto"/>
              </w:rPr>
            </w:pPr>
            <w:r>
              <w:rPr>
                <w:rFonts w:ascii="Courier New" w:cs="Courier New" w:eastAsia="Courier New" w:hAnsi="Courier New"/>
                <w:sz w:val="15"/>
                <w:szCs w:val="15"/>
                <w:color w:val="auto"/>
              </w:rPr>
              <w:t>State</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(6,741)</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4,472</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9,355</w:t>
            </w:r>
          </w:p>
        </w:tc>
      </w:tr>
      <w:tr>
        <w:trPr>
          <w:trHeight w:val="177"/>
        </w:trPr>
        <w:tc>
          <w:tcPr>
            <w:tcW w:w="370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(22,100)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26,741</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72,889</w:t>
            </w:r>
          </w:p>
        </w:tc>
      </w:tr>
      <w:tr>
        <w:trPr>
          <w:trHeight w:val="177"/>
        </w:trPr>
        <w:tc>
          <w:tcPr>
            <w:tcW w:w="3700" w:type="dxa"/>
            <w:vAlign w:val="bottom"/>
          </w:tcPr>
          <w:p>
            <w:pPr>
              <w:ind w:left="200"/>
              <w:spacing w:after="0"/>
              <w:rPr>
                <w:sz w:val="20"/>
                <w:szCs w:val="20"/>
                <w:color w:val="auto"/>
              </w:rPr>
            </w:pPr>
            <w:r>
              <w:rPr>
                <w:rFonts w:ascii="Courier New" w:cs="Courier New" w:eastAsia="Courier New" w:hAnsi="Courier New"/>
                <w:sz w:val="15"/>
                <w:szCs w:val="15"/>
                <w:color w:val="auto"/>
              </w:rPr>
              <w:t>Investment tax credit adjustments</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(5,725)</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(4,145)</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(4,356)</w:t>
            </w:r>
          </w:p>
        </w:tc>
      </w:tr>
      <w:tr>
        <w:trPr>
          <w:trHeight w:val="177"/>
        </w:trPr>
        <w:tc>
          <w:tcPr>
            <w:tcW w:w="370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$ 59,250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$ 71,501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71,522</w:t>
            </w:r>
          </w:p>
        </w:tc>
      </w:tr>
      <w:tr>
        <w:trPr>
          <w:trHeight w:val="177"/>
        </w:trPr>
        <w:tc>
          <w:tcPr>
            <w:tcW w:w="3700" w:type="dxa"/>
            <w:vAlign w:val="bottom"/>
          </w:tcPr>
          <w:p>
            <w:pPr>
              <w:spacing w:after="0"/>
              <w:rPr>
                <w:sz w:val="20"/>
                <w:szCs w:val="20"/>
                <w:color w:val="auto"/>
              </w:rPr>
            </w:pPr>
            <w:r>
              <w:rPr>
                <w:rFonts w:ascii="Courier New" w:cs="Courier New" w:eastAsia="Courier New" w:hAnsi="Courier New"/>
                <w:sz w:val="15"/>
                <w:szCs w:val="15"/>
                <w:color w:val="auto"/>
              </w:rPr>
              <w:t>Provision Allocated to:</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700" w:type="dxa"/>
            <w:vAlign w:val="bottom"/>
          </w:tcPr>
          <w:p>
            <w:pPr>
              <w:ind w:left="200"/>
              <w:spacing w:after="0"/>
              <w:rPr>
                <w:sz w:val="20"/>
                <w:szCs w:val="20"/>
                <w:color w:val="auto"/>
              </w:rPr>
            </w:pPr>
            <w:r>
              <w:rPr>
                <w:rFonts w:ascii="Courier New" w:cs="Courier New" w:eastAsia="Courier New" w:hAnsi="Courier New"/>
                <w:sz w:val="15"/>
                <w:szCs w:val="15"/>
                <w:color w:val="auto"/>
              </w:rPr>
              <w:t>Operations</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$ 89,064</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$ 71,878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69,770</w:t>
            </w:r>
          </w:p>
        </w:tc>
      </w:tr>
      <w:tr>
        <w:trPr>
          <w:trHeight w:val="177"/>
        </w:trPr>
        <w:tc>
          <w:tcPr>
            <w:tcW w:w="3700" w:type="dxa"/>
            <w:vAlign w:val="bottom"/>
          </w:tcPr>
          <w:p>
            <w:pPr>
              <w:ind w:left="200"/>
              <w:spacing w:after="0"/>
              <w:rPr>
                <w:sz w:val="20"/>
                <w:szCs w:val="20"/>
                <w:color w:val="auto"/>
              </w:rPr>
            </w:pPr>
            <w:r>
              <w:rPr>
                <w:rFonts w:ascii="Courier New" w:cs="Courier New" w:eastAsia="Courier New" w:hAnsi="Courier New"/>
                <w:sz w:val="15"/>
                <w:szCs w:val="15"/>
                <w:color w:val="auto"/>
              </w:rPr>
              <w:t>Other income and deductions</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(29,814)</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(377)</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1,752</w:t>
            </w:r>
          </w:p>
        </w:tc>
      </w:tr>
      <w:tr>
        <w:trPr>
          <w:trHeight w:val="177"/>
        </w:trPr>
        <w:tc>
          <w:tcPr>
            <w:tcW w:w="370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$ 59,250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$ 71,501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71,522</w:t>
            </w:r>
          </w:p>
        </w:tc>
      </w:tr>
      <w:tr>
        <w:trPr>
          <w:trHeight w:val="177"/>
        </w:trPr>
        <w:tc>
          <w:tcPr>
            <w:tcW w:w="3700" w:type="dxa"/>
            <w:vAlign w:val="bottom"/>
          </w:tcPr>
          <w:p>
            <w:pPr>
              <w:spacing w:after="0"/>
              <w:rPr>
                <w:sz w:val="20"/>
                <w:szCs w:val="20"/>
                <w:color w:val="auto"/>
              </w:rPr>
            </w:pPr>
            <w:r>
              <w:rPr>
                <w:rFonts w:ascii="Courier New" w:cs="Courier New" w:eastAsia="Courier New" w:hAnsi="Courier New"/>
                <w:sz w:val="15"/>
                <w:szCs w:val="15"/>
                <w:color w:val="auto"/>
              </w:rPr>
              <w:t>Effective Tax Rate Computation:</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700" w:type="dxa"/>
            <w:vAlign w:val="bottom"/>
          </w:tcPr>
          <w:p>
            <w:pPr>
              <w:ind w:left="200"/>
              <w:spacing w:after="0"/>
              <w:rPr>
                <w:sz w:val="20"/>
                <w:szCs w:val="20"/>
                <w:color w:val="auto"/>
              </w:rPr>
            </w:pPr>
            <w:r>
              <w:rPr>
                <w:rFonts w:ascii="Courier New" w:cs="Courier New" w:eastAsia="Courier New" w:hAnsi="Courier New"/>
                <w:sz w:val="15"/>
                <w:szCs w:val="15"/>
                <w:color w:val="auto"/>
              </w:rPr>
              <w:t>Computed tax based on</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statutory federal income</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tax rates applied to</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income before income taxes</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$ 49,101</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$ 57,596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56,224</w:t>
            </w:r>
          </w:p>
        </w:tc>
      </w:tr>
      <w:tr>
        <w:trPr>
          <w:trHeight w:val="355"/>
        </w:trPr>
        <w:tc>
          <w:tcPr>
            <w:tcW w:w="3700" w:type="dxa"/>
            <w:vAlign w:val="bottom"/>
          </w:tcPr>
          <w:p>
            <w:pPr>
              <w:ind w:left="200"/>
              <w:spacing w:after="0"/>
              <w:rPr>
                <w:sz w:val="20"/>
                <w:szCs w:val="20"/>
                <w:color w:val="auto"/>
              </w:rPr>
            </w:pPr>
            <w:r>
              <w:rPr>
                <w:rFonts w:ascii="Courier New" w:cs="Courier New" w:eastAsia="Courier New" w:hAnsi="Courier New"/>
                <w:sz w:val="15"/>
                <w:szCs w:val="15"/>
                <w:color w:val="auto"/>
              </w:rPr>
              <w:t>Increases (Decreases) resulting from:</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Flow through depreciation</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6,715</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8,283</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10,748</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Regulatory disallowance</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3,470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State and local taxes - net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4,857</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8,953</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3,288</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State of Oregon refund</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(3,668)</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Investment tax credits</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(5,725)</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(4,145)</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(4,356)</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Excess deferred taxes</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(700)</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(767)</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(3,419)</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USDOE nuclear fuel assessment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5,075</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Preferred dividend requirement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3,155</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3,526</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3,935</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2,045</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(1,945)</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w:t>
            </w:r>
          </w:p>
        </w:tc>
      </w:tr>
      <w:tr>
        <w:trPr>
          <w:trHeight w:val="177"/>
        </w:trPr>
        <w:tc>
          <w:tcPr>
            <w:tcW w:w="370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$ 59,250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$ 71,501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71,522</w:t>
            </w:r>
          </w:p>
        </w:tc>
      </w:tr>
      <w:tr>
        <w:trPr>
          <w:trHeight w:val="177"/>
        </w:trPr>
        <w:tc>
          <w:tcPr>
            <w:tcW w:w="3700" w:type="dxa"/>
            <w:vAlign w:val="bottom"/>
          </w:tcPr>
          <w:p>
            <w:pPr>
              <w:ind w:left="280"/>
              <w:spacing w:after="0"/>
              <w:rPr>
                <w:sz w:val="20"/>
                <w:szCs w:val="20"/>
                <w:color w:val="auto"/>
              </w:rPr>
            </w:pPr>
            <w:r>
              <w:rPr>
                <w:rFonts w:ascii="Courier New" w:cs="Courier New" w:eastAsia="Courier New" w:hAnsi="Courier New"/>
                <w:sz w:val="15"/>
                <w:szCs w:val="15"/>
                <w:color w:val="auto"/>
              </w:rPr>
              <w:t>Effective tax rate</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42.2%</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43.5%</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44.5%</w:t>
            </w:r>
          </w:p>
        </w:tc>
      </w:tr>
      <w:tr>
        <w:trPr>
          <w:trHeight w:val="532"/>
        </w:trPr>
        <w:tc>
          <w:tcPr>
            <w:tcW w:w="3700" w:type="dxa"/>
            <w:vAlign w:val="bottom"/>
          </w:tcPr>
          <w:p>
            <w:pPr>
              <w:ind w:left="3420"/>
              <w:spacing w:after="0"/>
              <w:rPr>
                <w:sz w:val="20"/>
                <w:szCs w:val="20"/>
                <w:color w:val="auto"/>
              </w:rPr>
            </w:pPr>
            <w:r>
              <w:rPr>
                <w:rFonts w:ascii="Courier New" w:cs="Courier New" w:eastAsia="Courier New" w:hAnsi="Courier New"/>
                <w:sz w:val="15"/>
                <w:szCs w:val="15"/>
                <w:color w:val="auto"/>
              </w:rPr>
              <w:t>42</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139"/>
          </w:cols>
          <w:pgMar w:left="320" w:top="650" w:right="1440" w:bottom="1440" w:gutter="0" w:footer="0" w:header="0"/>
        </w:sectPr>
      </w:pPr>
    </w:p>
    <w:bookmarkStart w:id="45" w:name="page46"/>
    <w:bookmarkEnd w:id="45"/>
    <w:p>
      <w:pPr>
        <w:jc w:val="both"/>
        <w:ind w:right="2939"/>
        <w:spacing w:after="0" w:line="252" w:lineRule="auto"/>
        <w:rPr>
          <w:sz w:val="20"/>
          <w:szCs w:val="20"/>
          <w:color w:val="auto"/>
        </w:rPr>
      </w:pPr>
      <w:r>
        <w:rPr>
          <w:rFonts w:ascii="Courier New" w:cs="Courier New" w:eastAsia="Courier New" w:hAnsi="Courier New"/>
          <w:sz w:val="15"/>
          <w:szCs w:val="15"/>
          <w:color w:val="auto"/>
        </w:rPr>
        <w:t>As of December 31, 1995 and 1994, the significant components of the Company's deferred income tax assets and liabilities were as follows (thousands of dollars):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Plant-in-service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86,721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72,012</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Deferred gain on sale of assets</w:t>
            </w:r>
          </w:p>
        </w:tc>
        <w:tc>
          <w:tcPr>
            <w:tcW w:w="32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47,134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60,245</w:t>
            </w:r>
          </w:p>
        </w:tc>
        <w:tc>
          <w:tcPr>
            <w:tcW w:w="52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51,924</w:t>
            </w:r>
          </w:p>
        </w:tc>
      </w:tr>
      <w:tr>
        <w:trPr>
          <w:trHeight w:val="177"/>
        </w:trPr>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146,966</w:t>
            </w:r>
          </w:p>
        </w:tc>
        <w:tc>
          <w:tcPr>
            <w:tcW w:w="52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171,070</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Plant-in-service</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(448,049)</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(444,546)</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Energy efficiency programs</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(30,314)</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(23,024)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Trojan abandonment</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(54,335)</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(80,944)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WNP-3 exchange contract</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(60,489)</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(68,698)</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Replacement power costs</w:t>
            </w:r>
          </w:p>
        </w:tc>
        <w:tc>
          <w:tcPr>
            <w:tcW w:w="32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(38,136)</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Leasing</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(142,606)</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(146,468)</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(43,470)</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(40,829)</w:t>
            </w:r>
          </w:p>
        </w:tc>
      </w:tr>
      <w:tr>
        <w:trPr>
          <w:trHeight w:val="177"/>
        </w:trPr>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(779,263)</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(842,645)</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Less current deferred taxes</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(414)</w:t>
            </w:r>
          </w:p>
        </w:tc>
        <w:tc>
          <w:tcPr>
            <w:tcW w:w="52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4,040</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(20,135)</w:t>
            </w:r>
          </w:p>
        </w:tc>
        <w:tc>
          <w:tcPr>
            <w:tcW w:w="5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(20,135)</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(652,846)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(687,670)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has recorded deferred</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tax assets and liabilities for all temporary differences between the financial statement and tax bases of assets and liabilities. Valuation allowances represent capital loss carryforwards that presently cannot be offset with capital gains.</w:t>
      </w:r>
    </w:p>
    <w:p>
      <w:pPr>
        <w:spacing w:after="0" w:line="176" w:lineRule="exact"/>
        <w:rPr>
          <w:sz w:val="20"/>
          <w:szCs w:val="20"/>
          <w:color w:val="auto"/>
        </w:rPr>
      </w:pPr>
    </w:p>
    <w:p>
      <w:pPr>
        <w:ind w:right="3299"/>
        <w:spacing w:after="0" w:line="250" w:lineRule="auto"/>
        <w:rPr>
          <w:sz w:val="20"/>
          <w:szCs w:val="20"/>
          <w:color w:val="auto"/>
        </w:rPr>
      </w:pPr>
      <w:r>
        <w:rPr>
          <w:rFonts w:ascii="Courier New" w:cs="Courier New" w:eastAsia="Courier New" w:hAnsi="Courier New"/>
          <w:sz w:val="15"/>
          <w:szCs w:val="15"/>
          <w:color w:val="auto"/>
        </w:rPr>
        <w:t>Portland General reached a settlement with the IRS on all issues regarding the 1985-1990 tax returns, including PGE's WNP-3 abandonment loss deduction. During 1996, Portland General will be filing amended state returns to reflect</w:t>
      </w:r>
    </w:p>
    <w:p>
      <w:pPr>
        <w:spacing w:after="0" w:line="2"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5"/>
          <w:szCs w:val="15"/>
          <w:color w:val="auto"/>
        </w:rPr>
        <w:t>appropriate audit adjustments. The settlement did not have a material adverse impact on the results of current operations or cash flows of Portland General.</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1005" w:right="1440" w:bottom="1440" w:gutter="0" w:footer="0" w:header="0"/>
        </w:sectPr>
      </w:pPr>
    </w:p>
    <w:bookmarkStart w:id="46" w:name="page47"/>
    <w:bookmarkEnd w:id="46"/>
    <w:p>
      <w:pPr>
        <w:ind w:left="80"/>
        <w:spacing w:after="0"/>
        <w:rPr>
          <w:sz w:val="20"/>
          <w:szCs w:val="20"/>
          <w:color w:val="auto"/>
        </w:rPr>
      </w:pPr>
      <w:r>
        <w:rPr>
          <w:rFonts w:ascii="Courier New" w:cs="Courier New" w:eastAsia="Courier New" w:hAnsi="Courier New"/>
          <w:sz w:val="15"/>
          <w:szCs w:val="15"/>
          <w:color w:val="auto"/>
        </w:rPr>
        <w:t>NOTE 4 - COMMON AND PREFERRED STOCK</w:t>
      </w:r>
    </w:p>
    <w:p>
      <w:pPr>
        <w:spacing w:after="0" w:line="36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AND PREFERRED STOCK</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CUMULATIVE PREFERRED</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22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OF SUBSIDIARY</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$3.75 Par</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Number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$100 Par</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No-Par</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Paid-in</w:t>
            </w:r>
          </w:p>
        </w:tc>
        <w:tc>
          <w:tcPr>
            <w:tcW w:w="3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Unearned</w:t>
            </w:r>
          </w:p>
        </w:tc>
      </w:tr>
      <w:tr>
        <w:trPr>
          <w:trHeight w:val="177"/>
        </w:trPr>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OF SHARES</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VALUE</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OF SHARES</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CAPITAL</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w:t>
            </w:r>
          </w:p>
        </w:tc>
      </w:tr>
      <w:tr>
        <w:trPr>
          <w:trHeight w:val="355"/>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(thousands of dollars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2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except share amounts)</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32"/>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1992</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47,099,701</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$176,624</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1,533,040</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$123,304</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$30,000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$509,802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(23,478)</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Sales of stock</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534,952</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8,802</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Redemption of stock</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(3,600)</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2,130</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Repayment of ESOP loan</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and other</w:t>
            </w:r>
          </w:p>
        </w:tc>
        <w:tc>
          <w:tcPr>
            <w:tcW w:w="98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(1,676)</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4,327</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47,634,653</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178,630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1,497,040</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119,704</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30,000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519,058</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(19,151)</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Sales of stock</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2,864,839</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10,743</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40,390</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Redemption of stock</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(4,000)</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(20,000)</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2,055</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Repayment of ESOP loan</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and other</w:t>
            </w:r>
          </w:p>
        </w:tc>
        <w:tc>
          <w:tcPr>
            <w:tcW w:w="98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2,412</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5,515</w:t>
            </w:r>
          </w:p>
        </w:tc>
      </w:tr>
      <w:tr>
        <w:trPr>
          <w:trHeight w:val="355"/>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50,495,492</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189,358</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1,297,040</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99,704</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30,000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563,915</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(13,636)</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Sales of stock</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539,057</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2,022</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9,355</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Redemption of stock</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(21,000)</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(79)</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(797,040)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(79,704)</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2,778</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Repayment of ESOP loan</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and other</w:t>
            </w:r>
          </w:p>
        </w:tc>
        <w:tc>
          <w:tcPr>
            <w:tcW w:w="98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(1,580)</w:t>
            </w:r>
          </w:p>
        </w:tc>
        <w:tc>
          <w:tcPr>
            <w:tcW w:w="320" w:type="dxa"/>
            <w:vAlign w:val="bottom"/>
          </w:tcPr>
          <w:p>
            <w:pPr>
              <w:spacing w:after="0"/>
              <w:rPr>
                <w:sz w:val="15"/>
                <w:szCs w:val="15"/>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5,130</w:t>
            </w:r>
          </w:p>
        </w:tc>
      </w:tr>
      <w:tr>
        <w:trPr>
          <w:trHeight w:val="177"/>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1995</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51,013,549</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$191,301</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500,000</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$ 20,000</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$30,000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$574,468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(8,506)</w:t>
            </w:r>
          </w:p>
        </w:tc>
      </w:tr>
      <w:tr>
        <w:trPr>
          <w:trHeight w:val="710"/>
        </w:trPr>
        <w:tc>
          <w:tcPr>
            <w:tcW w:w="45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*See the discussion of stock compensation  plans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below  and</w:t>
            </w:r>
          </w:p>
        </w:tc>
        <w:tc>
          <w:tcPr>
            <w:tcW w:w="1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 2, Employee</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45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Benefits, for a description of the ESOP.</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36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jc w:val="both"/>
        <w:ind w:left="80" w:right="2939" w:firstLine="92"/>
        <w:spacing w:after="0" w:line="252" w:lineRule="auto"/>
        <w:rPr>
          <w:sz w:val="20"/>
          <w:szCs w:val="20"/>
          <w:color w:val="auto"/>
        </w:rPr>
      </w:pPr>
      <w:r>
        <w:rPr>
          <w:rFonts w:ascii="Courier New" w:cs="Courier New" w:eastAsia="Courier New" w:hAnsi="Courier New"/>
          <w:sz w:val="15"/>
          <w:szCs w:val="15"/>
          <w:color w:val="auto"/>
        </w:rPr>
        <w:t>As of December 31, 1995, Portland General had reserved 2,493,351 and 17,533 authorized but unissued common shares for issuance under its dividend reinvestment plan and employee stock purchase plan, respectively.</w:t>
      </w:r>
    </w:p>
    <w:p>
      <w:pPr>
        <w:spacing w:after="0" w:line="35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CUMULATIVE PREFERRED STOCK</w:t>
      </w:r>
    </w:p>
    <w:p>
      <w:pPr>
        <w:spacing w:after="0" w:line="8" w:lineRule="exact"/>
        <w:rPr>
          <w:sz w:val="20"/>
          <w:szCs w:val="20"/>
          <w:color w:val="auto"/>
        </w:rPr>
      </w:pPr>
    </w:p>
    <w:p>
      <w:pPr>
        <w:jc w:val="both"/>
        <w:ind w:left="180" w:right="2939" w:hanging="91"/>
        <w:spacing w:after="0" w:line="250" w:lineRule="auto"/>
        <w:rPr>
          <w:sz w:val="20"/>
          <w:szCs w:val="20"/>
          <w:color w:val="auto"/>
        </w:rPr>
      </w:pPr>
      <w:r>
        <w:rPr>
          <w:rFonts w:ascii="Courier New" w:cs="Courier New" w:eastAsia="Courier New" w:hAnsi="Courier New"/>
          <w:sz w:val="15"/>
          <w:szCs w:val="15"/>
          <w:color w:val="auto"/>
        </w:rPr>
        <w:t>The 7.75% series preferred stock has an annual sinking fund requirement</w:t>
      </w:r>
      <w:r>
        <w:rPr>
          <w:sz w:val="20"/>
          <w:szCs w:val="20"/>
          <w:color w:val="auto"/>
        </w:rPr>
        <w:t xml:space="preserve"> </w:t>
      </w:r>
      <w:r>
        <w:rPr>
          <w:rFonts w:ascii="Courier New" w:cs="Courier New" w:eastAsia="Courier New" w:hAnsi="Courier New"/>
          <w:sz w:val="15"/>
          <w:szCs w:val="15"/>
          <w:color w:val="auto"/>
        </w:rPr>
        <w:t>which requires the redemption of 15,000 shares at $100 per share beginning in 2002.</w:t>
      </w:r>
    </w:p>
    <w:p>
      <w:pPr>
        <w:spacing w:after="0" w:line="1" w:lineRule="exact"/>
        <w:rPr>
          <w:sz w:val="20"/>
          <w:szCs w:val="20"/>
          <w:color w:val="auto"/>
        </w:rPr>
      </w:pPr>
    </w:p>
    <w:p>
      <w:pPr>
        <w:jc w:val="center"/>
        <w:ind w:right="2859"/>
        <w:spacing w:after="0" w:line="250" w:lineRule="auto"/>
        <w:rPr>
          <w:sz w:val="20"/>
          <w:szCs w:val="20"/>
          <w:color w:val="auto"/>
        </w:rPr>
      </w:pPr>
      <w:r>
        <w:rPr>
          <w:rFonts w:ascii="Courier New" w:cs="Courier New" w:eastAsia="Courier New" w:hAnsi="Courier New"/>
          <w:sz w:val="15"/>
          <w:szCs w:val="15"/>
          <w:color w:val="auto"/>
        </w:rPr>
        <w:t>At  its option, PGE may redeem, through the sinking fund, an additional 15,000 shares  each  year.  All  remaining  shares  shall  be mandatorily redeemed by sinking  fund in 2007. This series is only redeemable  by  operation  of  the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sinking fund.</w:t>
      </w:r>
    </w:p>
    <w:p>
      <w:pPr>
        <w:spacing w:after="0" w:line="185" w:lineRule="exact"/>
        <w:rPr>
          <w:sz w:val="20"/>
          <w:szCs w:val="20"/>
          <w:color w:val="auto"/>
        </w:rPr>
      </w:pPr>
    </w:p>
    <w:p>
      <w:pPr>
        <w:jc w:val="both"/>
        <w:ind w:left="80" w:right="2939"/>
        <w:spacing w:after="0" w:line="251" w:lineRule="auto"/>
        <w:rPr>
          <w:sz w:val="20"/>
          <w:szCs w:val="20"/>
          <w:color w:val="auto"/>
        </w:rPr>
      </w:pPr>
      <w:r>
        <w:rPr>
          <w:rFonts w:ascii="Courier New" w:cs="Courier New" w:eastAsia="Courier New" w:hAnsi="Courier New"/>
          <w:sz w:val="15"/>
          <w:szCs w:val="15"/>
          <w:color w:val="auto"/>
        </w:rPr>
        <w:t>The 8.10% series preferred stock has an annual sinking fund requirement which requires the redemption of 100,000 shares at $100 per share. At its option, PGE may redeem, through the sinking fund, an additional 100,000 shares each year. This series is redeemable at the option of PGE at $101 per share up to April 14, 1996 and at reduced amounts thereafter.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1005"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2"/>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PGE's cumulative preferred stock consisted of:</w:t>
            </w: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5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At December 31,</w:t>
            </w:r>
          </w:p>
        </w:tc>
        <w:tc>
          <w:tcPr>
            <w:tcW w:w="14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7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8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(thousands of dollars)</w:t>
            </w:r>
          </w:p>
        </w:tc>
      </w:tr>
      <w:tr>
        <w:trPr>
          <w:trHeight w:val="177"/>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Subject to mandatory redemption</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No par value 30,000,000 shares authorized</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40" w:type="dxa"/>
            <w:vAlign w:val="bottom"/>
          </w:tcPr>
          <w:p>
            <w:pPr>
              <w:ind w:left="280"/>
              <w:spacing w:after="0"/>
              <w:rPr>
                <w:sz w:val="20"/>
                <w:szCs w:val="20"/>
                <w:color w:val="auto"/>
              </w:rPr>
            </w:pPr>
            <w:r>
              <w:rPr>
                <w:rFonts w:ascii="Courier New" w:cs="Courier New" w:eastAsia="Courier New" w:hAnsi="Courier New"/>
                <w:sz w:val="15"/>
                <w:szCs w:val="15"/>
                <w:color w:val="auto"/>
                <w:w w:val="97"/>
              </w:rPr>
              <w:t>7.75%</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Series 300,000 shares outstanding</w:t>
            </w: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$30,000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$100 par value, 2,500,000 shares authorized</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40" w:type="dxa"/>
            <w:vAlign w:val="bottom"/>
          </w:tcPr>
          <w:p>
            <w:pPr>
              <w:ind w:left="280"/>
              <w:spacing w:after="0"/>
              <w:rPr>
                <w:sz w:val="20"/>
                <w:szCs w:val="20"/>
                <w:color w:val="auto"/>
              </w:rPr>
            </w:pPr>
            <w:r>
              <w:rPr>
                <w:rFonts w:ascii="Courier New" w:cs="Courier New" w:eastAsia="Courier New" w:hAnsi="Courier New"/>
                <w:sz w:val="15"/>
                <w:szCs w:val="15"/>
                <w:color w:val="auto"/>
                <w:w w:val="97"/>
              </w:rPr>
              <w:t>8.10%</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Series 200,000 and 300,000 shares</w:t>
            </w: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outstanding</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4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Courier New" w:cs="Courier New" w:eastAsia="Courier New" w:hAnsi="Courier New"/>
                <w:sz w:val="15"/>
                <w:szCs w:val="15"/>
                <w:color w:val="auto"/>
              </w:rPr>
              <w:t>Current sinking fund</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(10,000)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7"/>
        </w:trPr>
        <w:tc>
          <w:tcPr>
            <w:tcW w:w="7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40,000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Not subject to mandatory redemption, $100 par</w:t>
            </w: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4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3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740" w:type="dxa"/>
            <w:vAlign w:val="bottom"/>
          </w:tcPr>
          <w:p>
            <w:pPr>
              <w:ind w:left="280"/>
              <w:spacing w:after="0"/>
              <w:rPr>
                <w:sz w:val="20"/>
                <w:szCs w:val="20"/>
                <w:color w:val="auto"/>
              </w:rPr>
            </w:pPr>
            <w:r>
              <w:rPr>
                <w:rFonts w:ascii="Courier New" w:cs="Courier New" w:eastAsia="Courier New" w:hAnsi="Courier New"/>
                <w:sz w:val="15"/>
                <w:szCs w:val="15"/>
                <w:color w:val="auto"/>
                <w:w w:val="97"/>
              </w:rPr>
              <w:t>7.95%</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Series, 298,045 shares outstanding</w:t>
            </w: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29,804</w:t>
            </w:r>
          </w:p>
        </w:tc>
      </w:tr>
      <w:tr>
        <w:trPr>
          <w:trHeight w:val="177"/>
        </w:trPr>
        <w:tc>
          <w:tcPr>
            <w:tcW w:w="740" w:type="dxa"/>
            <w:vAlign w:val="bottom"/>
          </w:tcPr>
          <w:p>
            <w:pPr>
              <w:ind w:left="280"/>
              <w:spacing w:after="0"/>
              <w:rPr>
                <w:sz w:val="20"/>
                <w:szCs w:val="20"/>
                <w:color w:val="auto"/>
              </w:rPr>
            </w:pPr>
            <w:r>
              <w:rPr>
                <w:rFonts w:ascii="Courier New" w:cs="Courier New" w:eastAsia="Courier New" w:hAnsi="Courier New"/>
                <w:sz w:val="15"/>
                <w:szCs w:val="15"/>
                <w:color w:val="auto"/>
                <w:w w:val="97"/>
              </w:rPr>
              <w:t>7.88%</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Series, 199,575 shares outstanding</w:t>
            </w: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19,958</w:t>
            </w:r>
          </w:p>
        </w:tc>
      </w:tr>
      <w:tr>
        <w:trPr>
          <w:trHeight w:val="177"/>
        </w:trPr>
        <w:tc>
          <w:tcPr>
            <w:tcW w:w="740" w:type="dxa"/>
            <w:vAlign w:val="bottom"/>
          </w:tcPr>
          <w:p>
            <w:pPr>
              <w:ind w:left="280"/>
              <w:spacing w:after="0"/>
              <w:rPr>
                <w:sz w:val="20"/>
                <w:szCs w:val="20"/>
                <w:color w:val="auto"/>
              </w:rPr>
            </w:pPr>
            <w:r>
              <w:rPr>
                <w:rFonts w:ascii="Courier New" w:cs="Courier New" w:eastAsia="Courier New" w:hAnsi="Courier New"/>
                <w:sz w:val="15"/>
                <w:szCs w:val="15"/>
                <w:color w:val="auto"/>
                <w:w w:val="97"/>
              </w:rPr>
              <w:t>8.20%</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Series, 199,420 shares outstanding</w:t>
            </w: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19,942</w:t>
            </w:r>
          </w:p>
        </w:tc>
      </w:tr>
      <w:tr>
        <w:trPr>
          <w:trHeight w:val="177"/>
        </w:trPr>
        <w:tc>
          <w:tcPr>
            <w:tcW w:w="7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69,704</w:t>
            </w:r>
          </w:p>
        </w:tc>
      </w:tr>
      <w:tr>
        <w:trPr>
          <w:trHeight w:val="355"/>
        </w:trPr>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$40,000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$119,704</w:t>
            </w:r>
          </w:p>
        </w:tc>
      </w:tr>
    </w:tbl>
    <w:p>
      <w:pPr>
        <w:spacing w:after="0" w:line="360" w:lineRule="exact"/>
        <w:rPr>
          <w:sz w:val="20"/>
          <w:szCs w:val="20"/>
          <w:color w:val="auto"/>
        </w:rPr>
      </w:pPr>
    </w:p>
    <w:p>
      <w:pPr>
        <w:jc w:val="center"/>
        <w:ind w:right="2939"/>
        <w:spacing w:after="0" w:line="252" w:lineRule="auto"/>
        <w:rPr>
          <w:sz w:val="20"/>
          <w:szCs w:val="20"/>
          <w:color w:val="auto"/>
        </w:rPr>
      </w:pPr>
      <w:r>
        <w:rPr>
          <w:rFonts w:ascii="Courier New" w:cs="Courier New" w:eastAsia="Courier New" w:hAnsi="Courier New"/>
          <w:sz w:val="15"/>
          <w:szCs w:val="15"/>
          <w:color w:val="auto"/>
        </w:rPr>
        <w:t>No dividends may be paid on common stock or any class  of stock over which the preferred  stock  has priority unless all amounts required  to  be  paid  for dividends and sinking fund payments have been paid or set aside,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DIVIDEND RESTRICTION OF SUBSIDIARY</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PGE is restricted from  paying  dividends  or  making  other  distributions to Portland  General without prior OPUC approval to the extent such  payment  or distribution  would  reduce PGE's common stock equity capital below 36% of its total capitalization.  At December 31, 1995, PGE's common stock equity 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48% of its total capitalization.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STOCK COMPENSATION PLANS</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7"/>
        </w:trPr>
        <w:tc>
          <w:tcPr>
            <w:tcW w:w="800" w:type="dxa"/>
            <w:vAlign w:val="bottom"/>
          </w:tcPr>
          <w:p>
            <w:pPr>
              <w:spacing w:after="0"/>
              <w:rPr>
                <w:sz w:val="20"/>
                <w:szCs w:val="20"/>
                <w:color w:val="auto"/>
              </w:rPr>
            </w:pPr>
            <w:r>
              <w:rPr>
                <w:rFonts w:ascii="Courier New" w:cs="Courier New" w:eastAsia="Courier New" w:hAnsi="Courier New"/>
                <w:sz w:val="15"/>
                <w:szCs w:val="15"/>
                <w:color w:val="auto"/>
              </w:rPr>
              <w:t>Portland</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General has a plan under which 2.3</w:t>
            </w: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million shares of Portland General</w:t>
            </w:r>
          </w:p>
        </w:tc>
      </w:tr>
      <w:tr>
        <w:trPr>
          <w:trHeight w:val="177"/>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are authorized   for</w:t>
            </w:r>
          </w:p>
        </w:tc>
        <w:tc>
          <w:tcPr>
            <w:tcW w:w="24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stock-based  incentives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including  a stock</w:t>
            </w:r>
          </w:p>
        </w:tc>
      </w:tr>
      <w:tr>
        <w:trPr>
          <w:trHeight w:val="177"/>
        </w:trPr>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option</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plan and restricted common shares.</w:t>
            </w:r>
          </w:p>
        </w:tc>
        <w:tc>
          <w:tcPr>
            <w:tcW w:w="15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At December 31,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1995, 1.2 million</w:t>
            </w:r>
          </w:p>
        </w:tc>
      </w:tr>
      <w:tr>
        <w:trPr>
          <w:trHeight w:val="177"/>
        </w:trPr>
        <w:tc>
          <w:tcPr>
            <w:tcW w:w="4940" w:type="dxa"/>
            <w:vAlign w:val="bottom"/>
            <w:gridSpan w:val="4"/>
          </w:tcPr>
          <w:p>
            <w:pPr>
              <w:spacing w:after="0"/>
              <w:rPr>
                <w:sz w:val="20"/>
                <w:szCs w:val="20"/>
                <w:color w:val="auto"/>
              </w:rPr>
            </w:pPr>
            <w:r>
              <w:rPr>
                <w:rFonts w:ascii="Courier New" w:cs="Courier New" w:eastAsia="Courier New" w:hAnsi="Courier New"/>
                <w:sz w:val="15"/>
                <w:szCs w:val="15"/>
                <w:color w:val="auto"/>
              </w:rPr>
              <w:t>common shares  were  available for issuance under the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Upon termination,</w:t>
            </w:r>
          </w:p>
        </w:tc>
      </w:tr>
      <w:tr>
        <w:trPr>
          <w:trHeight w:val="177"/>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expiration or lapse of  certain</w:t>
            </w:r>
          </w:p>
        </w:tc>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types of awards, any</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shares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remaining subject</w:t>
            </w:r>
          </w:p>
        </w:tc>
      </w:tr>
      <w:tr>
        <w:trPr>
          <w:trHeight w:val="177"/>
        </w:trPr>
        <w:tc>
          <w:tcPr>
            <w:tcW w:w="4940" w:type="dxa"/>
            <w:vAlign w:val="bottom"/>
            <w:gridSpan w:val="4"/>
          </w:tcPr>
          <w:p>
            <w:pPr>
              <w:spacing w:after="0"/>
              <w:rPr>
                <w:sz w:val="20"/>
                <w:szCs w:val="20"/>
                <w:color w:val="auto"/>
              </w:rPr>
            </w:pPr>
            <w:r>
              <w:rPr>
                <w:rFonts w:ascii="Courier New" w:cs="Courier New" w:eastAsia="Courier New" w:hAnsi="Courier New"/>
                <w:sz w:val="15"/>
                <w:szCs w:val="15"/>
                <w:color w:val="auto"/>
              </w:rPr>
              <w:t>to the award are again available for  grant under the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Stock option plan</w:t>
            </w:r>
          </w:p>
        </w:tc>
      </w:tr>
      <w:tr>
        <w:trPr>
          <w:trHeight w:val="177"/>
        </w:trPr>
        <w:tc>
          <w:tcPr>
            <w:tcW w:w="800" w:type="dxa"/>
            <w:vAlign w:val="bottom"/>
          </w:tcPr>
          <w:p>
            <w:pPr>
              <w:spacing w:after="0"/>
              <w:rPr>
                <w:sz w:val="20"/>
                <w:szCs w:val="20"/>
                <w:color w:val="auto"/>
              </w:rPr>
            </w:pPr>
            <w:r>
              <w:rPr>
                <w:rFonts w:ascii="Courier New" w:cs="Courier New" w:eastAsia="Courier New" w:hAnsi="Courier New"/>
                <w:sz w:val="15"/>
                <w:szCs w:val="15"/>
                <w:color w:val="auto"/>
              </w:rPr>
              <w:t>activity</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is as follows:</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Option Price</w:t>
            </w:r>
          </w:p>
        </w:tc>
      </w:tr>
      <w:tr>
        <w:trPr>
          <w:trHeight w:val="177"/>
        </w:trPr>
        <w:tc>
          <w:tcPr>
            <w:tcW w:w="2680" w:type="dxa"/>
            <w:vAlign w:val="bottom"/>
          </w:tcPr>
          <w:p>
            <w:pPr>
              <w:spacing w:after="0"/>
              <w:rPr>
                <w:sz w:val="15"/>
                <w:szCs w:val="15"/>
                <w:color w:val="auto"/>
              </w:rPr>
            </w:pP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Options</w:t>
            </w:r>
          </w:p>
        </w:tc>
        <w:tc>
          <w:tcPr>
            <w:tcW w:w="1760" w:type="dxa"/>
            <w:vAlign w:val="bottom"/>
          </w:tcPr>
          <w:p>
            <w:pPr>
              <w:ind w:left="740"/>
              <w:spacing w:after="0"/>
              <w:rPr>
                <w:sz w:val="20"/>
                <w:szCs w:val="20"/>
                <w:color w:val="auto"/>
              </w:rPr>
            </w:pPr>
            <w:r>
              <w:rPr>
                <w:rFonts w:ascii="Courier New" w:cs="Courier New" w:eastAsia="Courier New" w:hAnsi="Courier New"/>
                <w:sz w:val="15"/>
                <w:szCs w:val="15"/>
                <w:color w:val="auto"/>
              </w:rPr>
              <w:t>Per Share</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December 31, 1992</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838,750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$14-$19</w:t>
            </w:r>
          </w:p>
        </w:tc>
      </w:tr>
      <w:tr>
        <w:trPr>
          <w:trHeight w:val="177"/>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Granted</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65,300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$17.125-$22.25</w:t>
            </w:r>
          </w:p>
        </w:tc>
      </w:tr>
      <w:tr>
        <w:trPr>
          <w:trHeight w:val="177"/>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Canceled</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(47,250)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$14-$19</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856,800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$14-$22.25</w:t>
            </w:r>
          </w:p>
        </w:tc>
      </w:tr>
      <w:tr>
        <w:trPr>
          <w:trHeight w:val="177"/>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Granted</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32,000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$13-$18.125</w:t>
            </w:r>
          </w:p>
        </w:tc>
      </w:tr>
      <w:tr>
        <w:trPr>
          <w:trHeight w:val="177"/>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Exercised</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$15.75</w:t>
            </w:r>
          </w:p>
        </w:tc>
      </w:tr>
      <w:tr>
        <w:trPr>
          <w:trHeight w:val="177"/>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Canceled</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(43,500)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$14-$22.25</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835,300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$13-$22.25</w:t>
            </w:r>
          </w:p>
        </w:tc>
      </w:tr>
      <w:tr>
        <w:trPr>
          <w:trHeight w:val="177"/>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Granted</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88,600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$17-$25</w:t>
            </w:r>
          </w:p>
        </w:tc>
      </w:tr>
      <w:tr>
        <w:trPr>
          <w:trHeight w:val="177"/>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Exercised</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(114,400)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$14.75-$18.125</w:t>
            </w:r>
          </w:p>
        </w:tc>
      </w:tr>
      <w:tr>
        <w:trPr>
          <w:trHeight w:val="177"/>
        </w:trPr>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Canceled</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(17,000)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$14-$20</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792,500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$13-$25</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Stock options exercisable</w:t>
            </w:r>
          </w:p>
        </w:tc>
        <w:tc>
          <w:tcPr>
            <w:tcW w:w="16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2680" w:type="dxa"/>
            <w:vAlign w:val="bottom"/>
          </w:tcPr>
          <w:p>
            <w:pPr>
              <w:ind w:left="200"/>
              <w:spacing w:after="0"/>
              <w:rPr>
                <w:sz w:val="20"/>
                <w:szCs w:val="20"/>
                <w:color w:val="auto"/>
              </w:rPr>
            </w:pPr>
            <w:r>
              <w:rPr>
                <w:rFonts w:ascii="Courier New" w:cs="Courier New" w:eastAsia="Courier New" w:hAnsi="Courier New"/>
                <w:sz w:val="15"/>
                <w:szCs w:val="15"/>
                <w:color w:val="auto"/>
              </w:rPr>
              <w:t>at December 31, 1995</w:t>
            </w: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362,600</w:t>
            </w:r>
          </w:p>
        </w:tc>
        <w:tc>
          <w:tcPr>
            <w:tcW w:w="1760" w:type="dxa"/>
            <w:vAlign w:val="bottom"/>
          </w:tcPr>
          <w:p>
            <w:pPr>
              <w:ind w:left="460"/>
              <w:spacing w:after="0"/>
              <w:rPr>
                <w:sz w:val="20"/>
                <w:szCs w:val="20"/>
                <w:color w:val="auto"/>
              </w:rPr>
            </w:pPr>
            <w:r>
              <w:rPr>
                <w:rFonts w:ascii="Courier New" w:cs="Courier New" w:eastAsia="Courier New" w:hAnsi="Courier New"/>
                <w:sz w:val="15"/>
                <w:szCs w:val="15"/>
                <w:color w:val="auto"/>
              </w:rPr>
              <w:t>$13-$15.75</w:t>
            </w:r>
          </w:p>
        </w:tc>
      </w:tr>
    </w:tbl>
    <w:p>
      <w:pPr>
        <w:spacing w:after="0" w:line="200" w:lineRule="exact"/>
        <w:rPr>
          <w:sz w:val="20"/>
          <w:szCs w:val="20"/>
          <w:color w:val="auto"/>
        </w:rPr>
      </w:pPr>
    </w:p>
    <w:p>
      <w:pPr>
        <w:spacing w:after="0" w:line="338" w:lineRule="exact"/>
        <w:rPr>
          <w:sz w:val="20"/>
          <w:szCs w:val="20"/>
          <w:color w:val="auto"/>
        </w:rPr>
      </w:pPr>
    </w:p>
    <w:p>
      <w:pPr>
        <w:ind w:right="3579" w:firstLine="92"/>
        <w:spacing w:after="0" w:line="250" w:lineRule="auto"/>
        <w:rPr>
          <w:sz w:val="20"/>
          <w:szCs w:val="20"/>
          <w:color w:val="auto"/>
        </w:rPr>
      </w:pPr>
      <w:r>
        <w:rPr>
          <w:rFonts w:ascii="Courier New" w:cs="Courier New" w:eastAsia="Courier New" w:hAnsi="Courier New"/>
          <w:sz w:val="15"/>
          <w:szCs w:val="15"/>
          <w:color w:val="auto"/>
        </w:rPr>
        <w:t>During 1995, Portland General issued 18,839 (net of cancellations) restricted common shares to officers and selected employees of Portland General and PGE. As of December 31, 1995, 139,721 restricted</w:t>
      </w:r>
    </w:p>
    <w:p>
      <w:pPr>
        <w:spacing w:after="0" w:line="1" w:lineRule="exact"/>
        <w:rPr>
          <w:sz w:val="20"/>
          <w:szCs w:val="20"/>
          <w:color w:val="auto"/>
        </w:rPr>
      </w:pPr>
    </w:p>
    <w:p>
      <w:pPr>
        <w:ind w:right="3579" w:firstLine="92"/>
        <w:spacing w:after="0" w:line="253" w:lineRule="auto"/>
        <w:rPr>
          <w:sz w:val="20"/>
          <w:szCs w:val="20"/>
          <w:color w:val="auto"/>
        </w:rPr>
      </w:pPr>
      <w:r>
        <w:rPr>
          <w:rFonts w:ascii="Courier New" w:cs="Courier New" w:eastAsia="Courier New" w:hAnsi="Courier New"/>
          <w:sz w:val="15"/>
          <w:szCs w:val="15"/>
          <w:color w:val="auto"/>
        </w:rPr>
        <w:t>common shares under the plan were outstanding for officers and employees.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39"/>
          </w:cols>
          <w:pgMar w:left="320" w:top="1360"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NOTE 5 - SHORT-TERM BORROWINGS</w:t>
      </w:r>
    </w:p>
    <w:p>
      <w:pPr>
        <w:spacing w:after="0" w:line="185" w:lineRule="exact"/>
        <w:rPr>
          <w:sz w:val="20"/>
          <w:szCs w:val="20"/>
          <w:color w:val="auto"/>
        </w:rPr>
      </w:pPr>
    </w:p>
    <w:p>
      <w:pPr>
        <w:jc w:val="center"/>
        <w:ind w:right="3579"/>
        <w:spacing w:after="0" w:line="250" w:lineRule="auto"/>
        <w:rPr>
          <w:sz w:val="20"/>
          <w:szCs w:val="20"/>
          <w:color w:val="auto"/>
        </w:rPr>
      </w:pPr>
      <w:r>
        <w:rPr>
          <w:rFonts w:ascii="Courier New" w:cs="Courier New" w:eastAsia="Courier New" w:hAnsi="Courier New"/>
          <w:sz w:val="15"/>
          <w:szCs w:val="15"/>
          <w:color w:val="auto"/>
        </w:rPr>
        <w:t>At December 31, 1995, Portland General  had  total  committed  lines of credit  of $215 million.  Portland General has a $15 million committed facility expiring  in  July 1996.  PGE has a committed facility of $200 million expiring in July  2000.  These lines of credit have annual fees of 0.10% and do not require compensating cash balances.  The facilities are used primarily as backup for both  commercial  paper and borrowings</w:t>
      </w:r>
    </w:p>
    <w:p>
      <w:pPr>
        <w:spacing w:after="0" w:line="3" w:lineRule="exact"/>
        <w:rPr>
          <w:sz w:val="20"/>
          <w:szCs w:val="20"/>
          <w:color w:val="auto"/>
        </w:rPr>
      </w:pPr>
    </w:p>
    <w:p>
      <w:pPr>
        <w:jc w:val="both"/>
        <w:ind w:right="3579" w:firstLine="185"/>
        <w:spacing w:after="0" w:line="252" w:lineRule="auto"/>
        <w:rPr>
          <w:sz w:val="20"/>
          <w:szCs w:val="20"/>
          <w:color w:val="auto"/>
        </w:rPr>
      </w:pPr>
      <w:r>
        <w:rPr>
          <w:rFonts w:ascii="Courier New" w:cs="Courier New" w:eastAsia="Courier New" w:hAnsi="Courier New"/>
          <w:sz w:val="15"/>
          <w:szCs w:val="15"/>
          <w:color w:val="auto"/>
        </w:rPr>
        <w:t>from commercial banks under uncommitted lines of credit. At December 31, 1995, there were no outstanding borrowings under the committed facilities.</w:t>
      </w:r>
    </w:p>
    <w:p>
      <w:pPr>
        <w:spacing w:after="0" w:line="175" w:lineRule="exact"/>
        <w:rPr>
          <w:sz w:val="20"/>
          <w:szCs w:val="20"/>
          <w:color w:val="auto"/>
        </w:rPr>
      </w:pPr>
    </w:p>
    <w:p>
      <w:pPr>
        <w:jc w:val="center"/>
        <w:ind w:right="3579"/>
        <w:spacing w:after="0" w:line="250" w:lineRule="auto"/>
        <w:rPr>
          <w:sz w:val="20"/>
          <w:szCs w:val="20"/>
          <w:color w:val="auto"/>
        </w:rPr>
      </w:pPr>
      <w:r>
        <w:rPr>
          <w:rFonts w:ascii="Courier New" w:cs="Courier New" w:eastAsia="Courier New" w:hAnsi="Courier New"/>
          <w:sz w:val="15"/>
          <w:szCs w:val="15"/>
          <w:color w:val="auto"/>
        </w:rPr>
        <w:t>PGE  has a $200 million commercial paper  facility.  Unused  committed lines of  credit  must  be  at  least  equal  to  the  amount  of PGE's commercial  paper  outstanding.   Commercial paper and lines of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 are at rates reflecting current market conditions.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20"/>
                <w:szCs w:val="20"/>
                <w:color w:val="auto"/>
              </w:rPr>
            </w:pPr>
            <w:r>
              <w:rPr>
                <w:rFonts w:ascii="Courier New" w:cs="Courier New" w:eastAsia="Courier New" w:hAnsi="Courier New"/>
                <w:sz w:val="15"/>
                <w:szCs w:val="15"/>
                <w:color w:val="auto"/>
              </w:rPr>
              <w:t>Short-term borrowings  and  related  interest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rates  were</w:t>
            </w:r>
          </w:p>
        </w:tc>
        <w:tc>
          <w:tcPr>
            <w:tcW w:w="156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as  follows:</w:t>
            </w:r>
          </w:p>
        </w:tc>
        <w:tc>
          <w:tcPr>
            <w:tcW w:w="1020" w:type="dxa"/>
            <w:vAlign w:val="bottom"/>
          </w:tcPr>
          <w:p>
            <w:pPr>
              <w:spacing w:after="0"/>
              <w:rPr>
                <w:sz w:val="14"/>
                <w:szCs w:val="14"/>
                <w:color w:val="auto"/>
              </w:rPr>
            </w:pPr>
          </w:p>
        </w:tc>
      </w:tr>
      <w:tr>
        <w:trPr>
          <w:trHeight w:val="887"/>
        </w:trPr>
        <w:tc>
          <w:tcPr>
            <w:tcW w:w="4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spacing w:after="0"/>
              <w:rPr>
                <w:sz w:val="24"/>
                <w:szCs w:val="24"/>
                <w:color w:val="auto"/>
              </w:rPr>
            </w:pP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1993</w:t>
            </w:r>
          </w:p>
        </w:tc>
      </w:tr>
      <w:tr>
        <w:trPr>
          <w:trHeight w:val="177"/>
        </w:trPr>
        <w:tc>
          <w:tcPr>
            <w:tcW w:w="4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8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rPr>
              <w:t>(thousands of dollars)</w:t>
            </w:r>
          </w:p>
        </w:tc>
      </w:tr>
      <w:tr>
        <w:trPr>
          <w:trHeight w:val="355"/>
        </w:trPr>
        <w:tc>
          <w:tcPr>
            <w:tcW w:w="4260" w:type="dxa"/>
            <w:vAlign w:val="bottom"/>
          </w:tcPr>
          <w:p>
            <w:pPr>
              <w:spacing w:after="0"/>
              <w:rPr>
                <w:sz w:val="20"/>
                <w:szCs w:val="20"/>
                <w:color w:val="auto"/>
              </w:rPr>
            </w:pPr>
            <w:r>
              <w:rPr>
                <w:rFonts w:ascii="Courier New" w:cs="Courier New" w:eastAsia="Courier New" w:hAnsi="Courier New"/>
                <w:sz w:val="15"/>
                <w:szCs w:val="15"/>
                <w:color w:val="auto"/>
              </w:rPr>
              <w:t>AS OF YEAR-END:</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4260" w:type="dxa"/>
            <w:vAlign w:val="bottom"/>
          </w:tcPr>
          <w:p>
            <w:pPr>
              <w:ind w:left="280"/>
              <w:spacing w:after="0"/>
              <w:rPr>
                <w:sz w:val="20"/>
                <w:szCs w:val="20"/>
                <w:color w:val="auto"/>
              </w:rPr>
            </w:pPr>
            <w:r>
              <w:rPr>
                <w:rFonts w:ascii="Courier New" w:cs="Courier New" w:eastAsia="Courier New" w:hAnsi="Courier New"/>
                <w:sz w:val="15"/>
                <w:szCs w:val="15"/>
                <w:color w:val="auto"/>
              </w:rPr>
              <w:t>Aggregate short-term debt outstanding</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260" w:type="dxa"/>
            <w:vAlign w:val="bottom"/>
          </w:tcPr>
          <w:p>
            <w:pPr>
              <w:ind w:left="460"/>
              <w:spacing w:after="0"/>
              <w:rPr>
                <w:sz w:val="20"/>
                <w:szCs w:val="20"/>
                <w:color w:val="auto"/>
              </w:rPr>
            </w:pPr>
            <w:r>
              <w:rPr>
                <w:rFonts w:ascii="Courier New" w:cs="Courier New" w:eastAsia="Courier New" w:hAnsi="Courier New"/>
                <w:sz w:val="15"/>
                <w:szCs w:val="15"/>
                <w:color w:val="auto"/>
              </w:rPr>
              <w:t>Commercial paper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170,248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148,598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$159,414</w:t>
            </w:r>
          </w:p>
        </w:tc>
      </w:tr>
      <w:tr>
        <w:trPr>
          <w:trHeight w:val="177"/>
        </w:trPr>
        <w:tc>
          <w:tcPr>
            <w:tcW w:w="426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interest rate*</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260" w:type="dxa"/>
            <w:vAlign w:val="bottom"/>
          </w:tcPr>
          <w:p>
            <w:pPr>
              <w:ind w:left="460"/>
              <w:spacing w:after="0"/>
              <w:rPr>
                <w:sz w:val="20"/>
                <w:szCs w:val="20"/>
                <w:color w:val="auto"/>
              </w:rPr>
            </w:pPr>
            <w:r>
              <w:rPr>
                <w:rFonts w:ascii="Courier New" w:cs="Courier New" w:eastAsia="Courier New" w:hAnsi="Courier New"/>
                <w:sz w:val="15"/>
                <w:szCs w:val="15"/>
                <w:color w:val="auto"/>
              </w:rPr>
              <w:t>Commercial paper</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64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4260" w:type="dxa"/>
            <w:vAlign w:val="bottom"/>
          </w:tcPr>
          <w:p>
            <w:pPr>
              <w:ind w:left="380"/>
              <w:spacing w:after="0"/>
              <w:rPr>
                <w:sz w:val="20"/>
                <w:szCs w:val="20"/>
                <w:color w:val="auto"/>
              </w:rPr>
            </w:pPr>
            <w:r>
              <w:rPr>
                <w:rFonts w:ascii="Courier New" w:cs="Courier New" w:eastAsia="Courier New" w:hAnsi="Courier New"/>
                <w:sz w:val="15"/>
                <w:szCs w:val="15"/>
                <w:color w:val="auto"/>
              </w:rPr>
              <w:t>Unused committed lines of credit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215,000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215,000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$240,000</w:t>
            </w:r>
          </w:p>
        </w:tc>
      </w:tr>
      <w:tr>
        <w:trPr>
          <w:trHeight w:val="177"/>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 THE YEAR ENDED:</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260" w:type="dxa"/>
            <w:vAlign w:val="bottom"/>
          </w:tcPr>
          <w:p>
            <w:pPr>
              <w:ind w:left="380"/>
              <w:spacing w:after="0"/>
              <w:rPr>
                <w:sz w:val="20"/>
                <w:szCs w:val="20"/>
                <w:color w:val="auto"/>
              </w:rPr>
            </w:pPr>
            <w:r>
              <w:rPr>
                <w:rFonts w:ascii="Courier New" w:cs="Courier New" w:eastAsia="Courier New" w:hAnsi="Courier New"/>
                <w:sz w:val="15"/>
                <w:szCs w:val="15"/>
                <w:color w:val="auto"/>
              </w:rPr>
              <w:t>Average daily amounts of short-term</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260" w:type="dxa"/>
            <w:vAlign w:val="bottom"/>
          </w:tcPr>
          <w:p>
            <w:pPr>
              <w:ind w:left="380"/>
              <w:spacing w:after="0"/>
              <w:rPr>
                <w:sz w:val="20"/>
                <w:szCs w:val="20"/>
                <w:color w:val="auto"/>
              </w:rPr>
            </w:pPr>
            <w:r>
              <w:rPr>
                <w:rFonts w:ascii="Courier New" w:cs="Courier New" w:eastAsia="Courier New" w:hAnsi="Courier New"/>
                <w:sz w:val="15"/>
                <w:szCs w:val="15"/>
                <w:color w:val="auto"/>
              </w:rPr>
              <w:t>debt outstanding</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260" w:type="dxa"/>
            <w:vAlign w:val="bottom"/>
          </w:tcPr>
          <w:p>
            <w:pPr>
              <w:ind w:left="460"/>
              <w:spacing w:after="0"/>
              <w:rPr>
                <w:sz w:val="20"/>
                <w:szCs w:val="20"/>
                <w:color w:val="auto"/>
              </w:rPr>
            </w:pPr>
            <w:r>
              <w:rPr>
                <w:rFonts w:ascii="Courier New" w:cs="Courier New" w:eastAsia="Courier New" w:hAnsi="Courier New"/>
                <w:sz w:val="15"/>
                <w:szCs w:val="15"/>
                <w:color w:val="auto"/>
              </w:rPr>
              <w:t>Bank loans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$ 10,949</w:t>
            </w:r>
          </w:p>
        </w:tc>
      </w:tr>
      <w:tr>
        <w:trPr>
          <w:trHeight w:val="177"/>
        </w:trPr>
        <w:tc>
          <w:tcPr>
            <w:tcW w:w="4260" w:type="dxa"/>
            <w:vAlign w:val="bottom"/>
          </w:tcPr>
          <w:p>
            <w:pPr>
              <w:ind w:left="460"/>
              <w:spacing w:after="0"/>
              <w:rPr>
                <w:sz w:val="20"/>
                <w:szCs w:val="20"/>
                <w:color w:val="auto"/>
              </w:rPr>
            </w:pPr>
            <w:r>
              <w:rPr>
                <w:rFonts w:ascii="Courier New" w:cs="Courier New" w:eastAsia="Courier New" w:hAnsi="Courier New"/>
                <w:sz w:val="15"/>
                <w:szCs w:val="15"/>
                <w:color w:val="auto"/>
              </w:rPr>
              <w:t>Commercial paper</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111,366</w:t>
            </w:r>
          </w:p>
        </w:tc>
        <w:tc>
          <w:tcPr>
            <w:tcW w:w="64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138,718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123,032</w:t>
            </w:r>
          </w:p>
        </w:tc>
      </w:tr>
      <w:tr>
        <w:trPr>
          <w:trHeight w:val="177"/>
        </w:trPr>
        <w:tc>
          <w:tcPr>
            <w:tcW w:w="4260" w:type="dxa"/>
            <w:vAlign w:val="bottom"/>
          </w:tcPr>
          <w:p>
            <w:pPr>
              <w:ind w:left="380"/>
              <w:spacing w:after="0"/>
              <w:rPr>
                <w:sz w:val="20"/>
                <w:szCs w:val="20"/>
                <w:color w:val="auto"/>
              </w:rPr>
            </w:pPr>
            <w:r>
              <w:rPr>
                <w:rFonts w:ascii="Courier New" w:cs="Courier New" w:eastAsia="Courier New" w:hAnsi="Courier New"/>
                <w:sz w:val="15"/>
                <w:szCs w:val="15"/>
                <w:color w:val="auto"/>
              </w:rPr>
              <w:t>Weighted daily average interest rate*</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260" w:type="dxa"/>
            <w:vAlign w:val="bottom"/>
          </w:tcPr>
          <w:p>
            <w:pPr>
              <w:ind w:left="460"/>
              <w:spacing w:after="0"/>
              <w:rPr>
                <w:sz w:val="20"/>
                <w:szCs w:val="20"/>
                <w:color w:val="auto"/>
              </w:rPr>
            </w:pPr>
            <w:r>
              <w:rPr>
                <w:rFonts w:ascii="Courier New" w:cs="Courier New" w:eastAsia="Courier New" w:hAnsi="Courier New"/>
                <w:sz w:val="15"/>
                <w:szCs w:val="15"/>
                <w:color w:val="auto"/>
              </w:rPr>
              <w:t>Bank loans</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64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4260" w:type="dxa"/>
            <w:vAlign w:val="bottom"/>
          </w:tcPr>
          <w:p>
            <w:pPr>
              <w:ind w:left="460"/>
              <w:spacing w:after="0"/>
              <w:rPr>
                <w:sz w:val="20"/>
                <w:szCs w:val="20"/>
                <w:color w:val="auto"/>
              </w:rPr>
            </w:pPr>
            <w:r>
              <w:rPr>
                <w:rFonts w:ascii="Courier New" w:cs="Courier New" w:eastAsia="Courier New" w:hAnsi="Courier New"/>
                <w:sz w:val="15"/>
                <w:szCs w:val="15"/>
                <w:color w:val="auto"/>
              </w:rPr>
              <w:t>Commercial paper</w:t>
            </w:r>
          </w:p>
        </w:tc>
        <w:tc>
          <w:tcPr>
            <w:tcW w:w="46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w:t>
            </w:r>
          </w:p>
        </w:tc>
        <w:tc>
          <w:tcPr>
            <w:tcW w:w="6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4.5</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w:t>
            </w:r>
          </w:p>
        </w:tc>
      </w:tr>
      <w:tr>
        <w:trPr>
          <w:trHeight w:val="177"/>
        </w:trPr>
        <w:tc>
          <w:tcPr>
            <w:tcW w:w="4260" w:type="dxa"/>
            <w:vAlign w:val="bottom"/>
          </w:tcPr>
          <w:p>
            <w:pPr>
              <w:ind w:left="380"/>
              <w:spacing w:after="0"/>
              <w:rPr>
                <w:sz w:val="20"/>
                <w:szCs w:val="20"/>
                <w:color w:val="auto"/>
              </w:rPr>
            </w:pPr>
            <w:r>
              <w:rPr>
                <w:rFonts w:ascii="Courier New" w:cs="Courier New" w:eastAsia="Courier New" w:hAnsi="Courier New"/>
                <w:sz w:val="15"/>
                <w:szCs w:val="15"/>
                <w:color w:val="auto"/>
              </w:rPr>
              <w:t>Maximum amount outstanding</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4260" w:type="dxa"/>
            <w:vAlign w:val="bottom"/>
          </w:tcPr>
          <w:p>
            <w:pPr>
              <w:ind w:left="460"/>
              <w:spacing w:after="0"/>
              <w:rPr>
                <w:sz w:val="20"/>
                <w:szCs w:val="20"/>
                <w:color w:val="auto"/>
              </w:rPr>
            </w:pPr>
            <w:r>
              <w:rPr>
                <w:rFonts w:ascii="Courier New" w:cs="Courier New" w:eastAsia="Courier New" w:hAnsi="Courier New"/>
                <w:sz w:val="15"/>
                <w:szCs w:val="15"/>
                <w:color w:val="auto"/>
              </w:rPr>
              <w:t>during the year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170,248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174,082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$171,208</w:t>
            </w:r>
          </w:p>
        </w:tc>
      </w:tr>
    </w:tbl>
    <w:p>
      <w:pPr>
        <w:spacing w:after="0" w:line="200" w:lineRule="exact"/>
        <w:rPr>
          <w:sz w:val="20"/>
          <w:szCs w:val="20"/>
          <w:color w:val="auto"/>
        </w:rPr>
      </w:pPr>
    </w:p>
    <w:p>
      <w:pPr>
        <w:spacing w:after="0" w:line="338" w:lineRule="exact"/>
        <w:rPr>
          <w:sz w:val="20"/>
          <w:szCs w:val="20"/>
          <w:color w:val="auto"/>
        </w:rPr>
      </w:pPr>
    </w:p>
    <w:p>
      <w:pPr>
        <w:ind w:left="660" w:right="3579" w:hanging="192"/>
        <w:spacing w:after="0" w:line="253" w:lineRule="auto"/>
        <w:tabs>
          <w:tab w:leader="none" w:pos="6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rates exclude the effect of commitment fees, facility fees and other financing fees.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39"/>
          </w:cols>
          <w:pgMar w:left="320" w:top="650"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NOTE 6 - LONG-TERM DEBT</w:t>
      </w:r>
    </w:p>
    <w:p>
      <w:pPr>
        <w:spacing w:after="0" w:line="185" w:lineRule="exact"/>
        <w:rPr>
          <w:sz w:val="20"/>
          <w:szCs w:val="20"/>
          <w:color w:val="auto"/>
        </w:rPr>
      </w:pPr>
    </w:p>
    <w:p>
      <w:pPr>
        <w:jc w:val="right"/>
        <w:ind w:left="80" w:right="3579"/>
        <w:spacing w:after="0" w:line="250" w:lineRule="auto"/>
        <w:rPr>
          <w:sz w:val="20"/>
          <w:szCs w:val="20"/>
          <w:color w:val="auto"/>
        </w:rPr>
      </w:pPr>
      <w:r>
        <w:rPr>
          <w:rFonts w:ascii="Courier New" w:cs="Courier New" w:eastAsia="Courier New" w:hAnsi="Courier New"/>
          <w:sz w:val="15"/>
          <w:szCs w:val="15"/>
          <w:color w:val="auto"/>
        </w:rPr>
        <w:t>The Indenture securing PGE's  First Mortgage Bonds constitutes a direct first  mortgage  lien  on  substantially   all  utility  property  and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franchises, other than expressly excepted property.</w:t>
      </w:r>
    </w:p>
    <w:p>
      <w:pPr>
        <w:spacing w:after="0" w:line="185" w:lineRule="exact"/>
        <w:rPr>
          <w:sz w:val="20"/>
          <w:szCs w:val="20"/>
          <w:color w:val="auto"/>
        </w:rPr>
      </w:pPr>
    </w:p>
    <w:p>
      <w:pPr>
        <w:ind w:left="80" w:right="3219" w:firstLine="92"/>
        <w:spacing w:after="0" w:line="251" w:lineRule="auto"/>
        <w:rPr>
          <w:sz w:val="20"/>
          <w:szCs w:val="20"/>
          <w:color w:val="auto"/>
        </w:rPr>
      </w:pPr>
      <w:r>
        <w:rPr>
          <w:rFonts w:ascii="Courier New" w:cs="Courier New" w:eastAsia="Courier New" w:hAnsi="Courier New"/>
          <w:sz w:val="15"/>
          <w:szCs w:val="15"/>
          <w:color w:val="auto"/>
        </w:rPr>
        <w:t>In 1995, PGE issued $75 million in 8.25 Junior Subordinated Deferrable Interest Debentures, listed below, which pay interest quarterly and are traded on the NYSE. PGE may redeem the debentures at its option beginning on October 1, 2000 at a redemption price equal to 100% of the principal amount plus any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Schedule of long-term debt at December 31,</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1995</w:t>
            </w:r>
          </w:p>
        </w:tc>
        <w:tc>
          <w:tcPr>
            <w:tcW w:w="2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2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(thousands of dollars)</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First Mortgage Bonds</w:t>
            </w:r>
          </w:p>
        </w:tc>
        <w:tc>
          <w:tcPr>
            <w:tcW w:w="3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Maturing 1995 through 2000</w:t>
            </w: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4.70% Series due March 1, 1995</w:t>
            </w:r>
          </w:p>
        </w:tc>
        <w:tc>
          <w:tcPr>
            <w:tcW w:w="1020" w:type="dxa"/>
            <w:vAlign w:val="bottom"/>
          </w:tcPr>
          <w:p>
            <w:pPr>
              <w:spacing w:after="0"/>
              <w:rPr>
                <w:sz w:val="15"/>
                <w:szCs w:val="15"/>
                <w:color w:val="auto"/>
              </w:rPr>
            </w:pP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$3,045</w:t>
            </w:r>
          </w:p>
        </w:tc>
      </w:tr>
      <w:tr>
        <w:trPr>
          <w:trHeight w:val="177"/>
        </w:trPr>
        <w:tc>
          <w:tcPr>
            <w:tcW w:w="55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5.875% Series due June 1, 1996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5,066</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5,216</w:t>
            </w:r>
          </w:p>
        </w:tc>
      </w:tr>
      <w:tr>
        <w:trPr>
          <w:trHeight w:val="177"/>
        </w:trPr>
        <w:tc>
          <w:tcPr>
            <w:tcW w:w="55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6.60%  Series due October 1, 1997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15,363</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15,363</w:t>
            </w:r>
          </w:p>
        </w:tc>
      </w:tr>
      <w:tr>
        <w:trPr>
          <w:trHeight w:val="177"/>
        </w:trPr>
        <w:tc>
          <w:tcPr>
            <w:tcW w:w="55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Medium-term notes 5.65% - 9.27%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210,000</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251,000</w:t>
            </w:r>
          </w:p>
        </w:tc>
      </w:tr>
      <w:tr>
        <w:trPr>
          <w:trHeight w:val="177"/>
        </w:trPr>
        <w:tc>
          <w:tcPr>
            <w:tcW w:w="2220" w:type="dxa"/>
            <w:vAlign w:val="bottom"/>
          </w:tcPr>
          <w:p>
            <w:pPr>
              <w:ind w:left="200"/>
              <w:spacing w:after="0"/>
              <w:rPr>
                <w:sz w:val="20"/>
                <w:szCs w:val="20"/>
                <w:color w:val="auto"/>
              </w:rPr>
            </w:pPr>
            <w:r>
              <w:rPr>
                <w:rFonts w:ascii="Courier New" w:cs="Courier New" w:eastAsia="Courier New" w:hAnsi="Courier New"/>
                <w:sz w:val="15"/>
                <w:szCs w:val="15"/>
                <w:color w:val="auto"/>
              </w:rPr>
              <w:t>Maturing 2001 - 2007</w:t>
            </w:r>
          </w:p>
        </w:tc>
        <w:tc>
          <w:tcPr>
            <w:tcW w:w="3320" w:type="dxa"/>
            <w:vAlign w:val="bottom"/>
          </w:tcPr>
          <w:p>
            <w:pPr>
              <w:jc w:val="right"/>
              <w:ind w:right="2043"/>
              <w:spacing w:after="0"/>
              <w:rPr>
                <w:sz w:val="20"/>
                <w:szCs w:val="20"/>
                <w:color w:val="auto"/>
              </w:rPr>
            </w:pPr>
            <w:r>
              <w:rPr>
                <w:rFonts w:ascii="Courier New" w:cs="Courier New" w:eastAsia="Courier New" w:hAnsi="Courier New"/>
                <w:sz w:val="15"/>
                <w:szCs w:val="15"/>
                <w:color w:val="auto"/>
              </w:rPr>
              <w:t>6.47% - 9.07%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260,595</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210,845</w:t>
            </w:r>
          </w:p>
        </w:tc>
      </w:tr>
      <w:tr>
        <w:trPr>
          <w:trHeight w:val="177"/>
        </w:trPr>
        <w:tc>
          <w:tcPr>
            <w:tcW w:w="2220" w:type="dxa"/>
            <w:vAlign w:val="bottom"/>
          </w:tcPr>
          <w:p>
            <w:pPr>
              <w:ind w:left="200"/>
              <w:spacing w:after="0"/>
              <w:rPr>
                <w:sz w:val="20"/>
                <w:szCs w:val="20"/>
                <w:color w:val="auto"/>
              </w:rPr>
            </w:pPr>
            <w:r>
              <w:rPr>
                <w:rFonts w:ascii="Courier New" w:cs="Courier New" w:eastAsia="Courier New" w:hAnsi="Courier New"/>
                <w:sz w:val="15"/>
                <w:szCs w:val="15"/>
                <w:color w:val="auto"/>
              </w:rPr>
              <w:t>Maturing 2021 - 2023</w:t>
            </w:r>
          </w:p>
        </w:tc>
        <w:tc>
          <w:tcPr>
            <w:tcW w:w="3320" w:type="dxa"/>
            <w:vAlign w:val="bottom"/>
          </w:tcPr>
          <w:p>
            <w:pPr>
              <w:jc w:val="right"/>
              <w:ind w:right="2043"/>
              <w:spacing w:after="0"/>
              <w:rPr>
                <w:sz w:val="20"/>
                <w:szCs w:val="20"/>
                <w:color w:val="auto"/>
              </w:rPr>
            </w:pPr>
            <w:r>
              <w:rPr>
                <w:rFonts w:ascii="Courier New" w:cs="Courier New" w:eastAsia="Courier New" w:hAnsi="Courier New"/>
                <w:sz w:val="15"/>
                <w:szCs w:val="15"/>
                <w:color w:val="auto"/>
              </w:rPr>
              <w:t>7.75% - 9.46%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195,000</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195,000</w:t>
            </w:r>
          </w:p>
        </w:tc>
      </w:tr>
      <w:tr>
        <w:trPr>
          <w:trHeight w:val="177"/>
        </w:trPr>
        <w:tc>
          <w:tcPr>
            <w:tcW w:w="2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686,024</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680,469</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Pollution Control Bonds</w:t>
            </w:r>
          </w:p>
        </w:tc>
        <w:tc>
          <w:tcPr>
            <w:tcW w:w="3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Port of Morrow, Oregon, variable rate</w:t>
            </w: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(Average 3.8% for 1995), due 2013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23,600</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23,600</w:t>
            </w:r>
          </w:p>
        </w:tc>
      </w:tr>
      <w:tr>
        <w:trPr>
          <w:trHeight w:val="177"/>
        </w:trPr>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City of Forsyth, Montana, variable rate</w:t>
            </w: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(Average variable rates 3.8% - 4.0% for 1995),</w:t>
            </w: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2220" w:type="dxa"/>
            <w:vAlign w:val="bottom"/>
          </w:tcPr>
          <w:p>
            <w:pPr>
              <w:ind w:left="380"/>
              <w:spacing w:after="0"/>
              <w:rPr>
                <w:sz w:val="20"/>
                <w:szCs w:val="20"/>
                <w:color w:val="auto"/>
              </w:rPr>
            </w:pPr>
            <w:r>
              <w:rPr>
                <w:rFonts w:ascii="Courier New" w:cs="Courier New" w:eastAsia="Courier New" w:hAnsi="Courier New"/>
                <w:sz w:val="15"/>
                <w:szCs w:val="15"/>
                <w:color w:val="auto"/>
              </w:rPr>
              <w:t>due 2013-2016</w:t>
            </w:r>
          </w:p>
        </w:tc>
        <w:tc>
          <w:tcPr>
            <w:tcW w:w="33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118,800</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118,800</w:t>
            </w:r>
          </w:p>
        </w:tc>
      </w:tr>
      <w:tr>
        <w:trPr>
          <w:trHeight w:val="177"/>
        </w:trPr>
        <w:tc>
          <w:tcPr>
            <w:tcW w:w="2220" w:type="dxa"/>
            <w:vAlign w:val="bottom"/>
          </w:tcPr>
          <w:p>
            <w:pPr>
              <w:ind w:left="200"/>
              <w:spacing w:after="0"/>
              <w:rPr>
                <w:sz w:val="20"/>
                <w:szCs w:val="20"/>
                <w:color w:val="auto"/>
              </w:rPr>
            </w:pPr>
            <w:r>
              <w:rPr>
                <w:rFonts w:ascii="Courier New" w:cs="Courier New" w:eastAsia="Courier New" w:hAnsi="Courier New"/>
                <w:sz w:val="15"/>
                <w:szCs w:val="15"/>
                <w:color w:val="auto"/>
              </w:rPr>
              <w:t>Amount held by trustee</w:t>
            </w:r>
          </w:p>
        </w:tc>
        <w:tc>
          <w:tcPr>
            <w:tcW w:w="3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(8,152)</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(8,355)</w:t>
            </w:r>
          </w:p>
        </w:tc>
      </w:tr>
      <w:tr>
        <w:trPr>
          <w:trHeight w:val="177"/>
        </w:trPr>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Port of St. Helens, Oregon, variable rate due 2010</w:t>
            </w: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and 2014 (Average variable rates 3.8% - 4.0% for 1995)</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51,600</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51,600</w:t>
            </w:r>
          </w:p>
        </w:tc>
      </w:tr>
      <w:tr>
        <w:trPr>
          <w:trHeight w:val="355"/>
        </w:trPr>
        <w:tc>
          <w:tcPr>
            <w:tcW w:w="2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185,848</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185,645</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8.25% Junior Subordinated Deferrable Interest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75,000</w:t>
            </w: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Debentures, Series A, due 2035</w:t>
            </w:r>
          </w:p>
        </w:tc>
        <w:tc>
          <w:tcPr>
            <w:tcW w:w="1020" w:type="dxa"/>
            <w:vAlign w:val="bottom"/>
          </w:tcPr>
          <w:p>
            <w:pPr>
              <w:spacing w:after="0"/>
              <w:rPr>
                <w:sz w:val="15"/>
                <w:szCs w:val="15"/>
                <w:color w:val="auto"/>
              </w:rPr>
            </w:pP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Portland General medium-term notes 8.09% due</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2220" w:type="dxa"/>
            <w:vAlign w:val="bottom"/>
          </w:tcPr>
          <w:p>
            <w:pPr>
              <w:ind w:left="380"/>
              <w:spacing w:after="0"/>
              <w:rPr>
                <w:sz w:val="20"/>
                <w:szCs w:val="20"/>
                <w:color w:val="auto"/>
              </w:rPr>
            </w:pPr>
            <w:r>
              <w:rPr>
                <w:rFonts w:ascii="Courier New" w:cs="Courier New" w:eastAsia="Courier New" w:hAnsi="Courier New"/>
                <w:sz w:val="15"/>
                <w:szCs w:val="15"/>
                <w:color w:val="auto"/>
              </w:rPr>
              <w:t>1996</w:t>
            </w:r>
          </w:p>
        </w:tc>
        <w:tc>
          <w:tcPr>
            <w:tcW w:w="3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77"/>
        </w:trPr>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Capital lease obligations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9,353</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11,523</w:t>
            </w:r>
          </w:p>
        </w:tc>
      </w:tr>
      <w:tr>
        <w:trPr>
          <w:trHeight w:val="177"/>
        </w:trPr>
        <w:tc>
          <w:tcPr>
            <w:tcW w:w="2220" w:type="dxa"/>
            <w:vAlign w:val="bottom"/>
          </w:tcPr>
          <w:p>
            <w:pPr>
              <w:ind w:left="200"/>
              <w:spacing w:after="0"/>
              <w:rPr>
                <w:sz w:val="20"/>
                <w:szCs w:val="20"/>
                <w:color w:val="auto"/>
              </w:rPr>
            </w:pPr>
            <w:r>
              <w:rPr>
                <w:rFonts w:ascii="Courier New" w:cs="Courier New" w:eastAsia="Courier New" w:hAnsi="Courier New"/>
                <w:sz w:val="15"/>
                <w:szCs w:val="15"/>
                <w:color w:val="auto"/>
              </w:rPr>
              <w:t>Other</w:t>
            </w:r>
          </w:p>
        </w:tc>
        <w:tc>
          <w:tcPr>
            <w:tcW w:w="3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(555)</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(317)</w:t>
            </w:r>
          </w:p>
        </w:tc>
      </w:tr>
      <w:tr>
        <w:trPr>
          <w:trHeight w:val="177"/>
        </w:trPr>
        <w:tc>
          <w:tcPr>
            <w:tcW w:w="2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113,798</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41,206</w:t>
            </w:r>
          </w:p>
        </w:tc>
      </w:tr>
      <w:tr>
        <w:trPr>
          <w:trHeight w:val="177"/>
        </w:trPr>
        <w:tc>
          <w:tcPr>
            <w:tcW w:w="2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985,670</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907,320</w:t>
            </w:r>
          </w:p>
        </w:tc>
      </w:tr>
      <w:tr>
        <w:trPr>
          <w:trHeight w:val="177"/>
        </w:trPr>
        <w:tc>
          <w:tcPr>
            <w:tcW w:w="55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Long-term debt due within one year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(95,114)</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(71,506)</w:t>
            </w:r>
          </w:p>
        </w:tc>
      </w:tr>
      <w:tr>
        <w:trPr>
          <w:trHeight w:val="177"/>
        </w:trPr>
        <w:tc>
          <w:tcPr>
            <w:tcW w:w="55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Total long-term debt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$890,556</w:t>
            </w:r>
          </w:p>
        </w:tc>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$835,814</w:t>
            </w:r>
          </w:p>
        </w:tc>
      </w:tr>
    </w:tbl>
    <w:p>
      <w:pPr>
        <w:spacing w:after="0" w:line="200" w:lineRule="exact"/>
        <w:rPr>
          <w:sz w:val="20"/>
          <w:szCs w:val="20"/>
          <w:color w:val="auto"/>
        </w:rPr>
      </w:pPr>
    </w:p>
    <w:p>
      <w:pPr>
        <w:spacing w:after="0" w:line="338" w:lineRule="exact"/>
        <w:rPr>
          <w:sz w:val="20"/>
          <w:szCs w:val="20"/>
          <w:color w:val="auto"/>
        </w:rPr>
      </w:pPr>
    </w:p>
    <w:p>
      <w:pPr>
        <w:ind w:left="80" w:right="3219"/>
        <w:spacing w:after="0" w:line="253" w:lineRule="auto"/>
        <w:rPr>
          <w:sz w:val="20"/>
          <w:szCs w:val="20"/>
          <w:color w:val="auto"/>
        </w:rPr>
      </w:pPr>
      <w:r>
        <w:rPr>
          <w:rFonts w:ascii="Courier New" w:cs="Courier New" w:eastAsia="Courier New" w:hAnsi="Courier New"/>
          <w:sz w:val="15"/>
          <w:szCs w:val="15"/>
          <w:color w:val="auto"/>
        </w:rPr>
        <w:t>The following principal amounts of long-term debt become due through early redemptions and maturities (thousands of dollars):</w:t>
      </w:r>
    </w:p>
    <w:p>
      <w:pPr>
        <w:spacing w:after="0" w:line="200" w:lineRule="exact"/>
        <w:rPr>
          <w:sz w:val="20"/>
          <w:szCs w:val="20"/>
          <w:color w:val="auto"/>
        </w:rPr>
      </w:pP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900" w:type="dxa"/>
            <w:vAlign w:val="bottom"/>
          </w:tcPr>
          <w:p>
            <w:pPr>
              <w:spacing w:after="0"/>
              <w:rPr>
                <w:sz w:val="14"/>
                <w:szCs w:val="14"/>
                <w:color w:val="auto"/>
              </w:rPr>
            </w:pP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2000</w:t>
            </w:r>
          </w:p>
        </w:tc>
      </w:tr>
      <w:tr>
        <w:trPr>
          <w:trHeight w:val="355"/>
        </w:trPr>
        <w:tc>
          <w:tcPr>
            <w:tcW w:w="1900" w:type="dxa"/>
            <w:vAlign w:val="bottom"/>
          </w:tcPr>
          <w:p>
            <w:pPr>
              <w:spacing w:after="0"/>
              <w:rPr>
                <w:sz w:val="20"/>
                <w:szCs w:val="20"/>
                <w:color w:val="auto"/>
              </w:rPr>
            </w:pPr>
            <w:r>
              <w:rPr>
                <w:rFonts w:ascii="Courier New" w:cs="Courier New" w:eastAsia="Courier New" w:hAnsi="Courier New"/>
                <w:sz w:val="15"/>
                <w:szCs w:val="15"/>
                <w:color w:val="auto"/>
              </w:rPr>
              <w:t>Maturities:</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1900" w:type="dxa"/>
            <w:vAlign w:val="bottom"/>
          </w:tcPr>
          <w:p>
            <w:pPr>
              <w:ind w:left="180"/>
              <w:spacing w:after="0"/>
              <w:rPr>
                <w:sz w:val="20"/>
                <w:szCs w:val="20"/>
                <w:color w:val="auto"/>
              </w:rPr>
            </w:pPr>
            <w:r>
              <w:rPr>
                <w:rFonts w:ascii="Courier New" w:cs="Courier New" w:eastAsia="Courier New" w:hAnsi="Courier New"/>
                <w:sz w:val="15"/>
                <w:szCs w:val="15"/>
                <w:color w:val="auto"/>
              </w:rPr>
              <w:t>PGC (Parent only)</w:t>
            </w:r>
          </w:p>
        </w:tc>
        <w:tc>
          <w:tcPr>
            <w:tcW w:w="10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900" w:type="dxa"/>
            <w:vAlign w:val="bottom"/>
          </w:tcPr>
          <w:p>
            <w:pPr>
              <w:ind w:left="180"/>
              <w:spacing w:after="0"/>
              <w:rPr>
                <w:sz w:val="20"/>
                <w:szCs w:val="20"/>
                <w:color w:val="auto"/>
              </w:rPr>
            </w:pPr>
            <w:r>
              <w:rPr>
                <w:rFonts w:ascii="Courier New" w:cs="Courier New" w:eastAsia="Courier New" w:hAnsi="Courier New"/>
                <w:sz w:val="15"/>
                <w:szCs w:val="15"/>
                <w:color w:val="auto"/>
              </w:rPr>
              <w:t>PGE</w:t>
            </w:r>
          </w:p>
        </w:tc>
        <w:tc>
          <w:tcPr>
            <w:tcW w:w="10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65,114</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86,985</w:t>
            </w:r>
          </w:p>
        </w:tc>
        <w:tc>
          <w:tcPr>
            <w:tcW w:w="320" w:type="dxa"/>
            <w:vAlign w:val="bottom"/>
          </w:tcPr>
          <w:p>
            <w:pPr>
              <w:spacing w:after="0"/>
              <w:rPr>
                <w:sz w:val="15"/>
                <w:szCs w:val="15"/>
                <w:color w:val="auto"/>
              </w:rPr>
            </w:pP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64,745</w:t>
            </w:r>
          </w:p>
        </w:tc>
        <w:tc>
          <w:tcPr>
            <w:tcW w:w="32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45,383</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25,000</w:t>
            </w:r>
          </w:p>
        </w:tc>
      </w:tr>
      <w:tr>
        <w:trPr>
          <w:trHeight w:val="177"/>
        </w:trPr>
        <w:tc>
          <w:tcPr>
            <w:tcW w:w="1900" w:type="dxa"/>
            <w:vAlign w:val="bottom"/>
          </w:tcPr>
          <w:p>
            <w:pPr>
              <w:spacing w:after="0"/>
              <w:rPr>
                <w:sz w:val="15"/>
                <w:szCs w:val="15"/>
                <w:color w:val="auto"/>
              </w:rPr>
            </w:pPr>
          </w:p>
        </w:tc>
        <w:tc>
          <w:tcPr>
            <w:tcW w:w="10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$95,114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86,985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6"/>
              </w:rPr>
              <w:t>64,745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45,383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25,000</w:t>
            </w:r>
          </w:p>
        </w:tc>
      </w:tr>
      <w:tr>
        <w:trPr>
          <w:trHeight w:val="532"/>
        </w:trPr>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50" w:name="page51"/>
    <w:bookmarkEnd w:id="50"/>
    <w:p>
      <w:pPr>
        <w:ind w:left="80"/>
        <w:spacing w:after="0"/>
        <w:rPr>
          <w:sz w:val="20"/>
          <w:szCs w:val="20"/>
          <w:color w:val="auto"/>
        </w:rPr>
      </w:pPr>
      <w:r>
        <w:rPr>
          <w:rFonts w:ascii="Courier New" w:cs="Courier New" w:eastAsia="Courier New" w:hAnsi="Courier New"/>
          <w:sz w:val="15"/>
          <w:szCs w:val="15"/>
          <w:color w:val="auto"/>
        </w:rPr>
        <w:t>NOTE 7 - OTHER FINANCIAL INSTRUMENTS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HEDGING ACTIVITIES</w:t>
      </w:r>
    </w:p>
    <w:p>
      <w:pPr>
        <w:spacing w:after="0" w:line="185" w:lineRule="exact"/>
        <w:rPr>
          <w:sz w:val="20"/>
          <w:szCs w:val="20"/>
          <w:color w:val="auto"/>
        </w:rPr>
      </w:pPr>
    </w:p>
    <w:p>
      <w:pPr>
        <w:ind w:left="180"/>
        <w:spacing w:after="0"/>
        <w:tabs>
          <w:tab w:leader="none" w:pos="2740" w:val="left"/>
        </w:tabs>
        <w:rPr>
          <w:sz w:val="20"/>
          <w:szCs w:val="20"/>
          <w:color w:val="auto"/>
        </w:rPr>
      </w:pPr>
      <w:r>
        <w:rPr>
          <w:rFonts w:ascii="Courier New" w:cs="Courier New" w:eastAsia="Courier New" w:hAnsi="Courier New"/>
          <w:sz w:val="15"/>
          <w:szCs w:val="15"/>
          <w:color w:val="auto"/>
        </w:rPr>
        <w:t>COMMODITY - Company policy</w:t>
        <w:tab/>
        <w:t>allows</w:t>
      </w:r>
    </w:p>
    <w:p>
      <w:pPr>
        <w:spacing w:after="0" w:line="8" w:lineRule="exact"/>
        <w:rPr>
          <w:sz w:val="20"/>
          <w:szCs w:val="20"/>
          <w:color w:val="auto"/>
        </w:rPr>
      </w:pPr>
    </w:p>
    <w:p>
      <w:pPr>
        <w:ind w:left="80"/>
        <w:spacing w:after="0"/>
        <w:tabs>
          <w:tab w:leader="none" w:pos="520" w:val="left"/>
          <w:tab w:leader="none" w:pos="980" w:val="left"/>
          <w:tab w:leader="none" w:pos="1360" w:val="left"/>
          <w:tab w:leader="none" w:pos="3480" w:val="left"/>
        </w:tabs>
        <w:rPr>
          <w:sz w:val="20"/>
          <w:szCs w:val="20"/>
          <w:color w:val="auto"/>
        </w:rPr>
      </w:pPr>
      <w:r>
        <w:rPr>
          <w:rFonts w:ascii="Courier New" w:cs="Courier New" w:eastAsia="Courier New" w:hAnsi="Courier New"/>
          <w:sz w:val="15"/>
          <w:szCs w:val="15"/>
          <w:color w:val="auto"/>
        </w:rPr>
        <w:t>the</w:t>
        <w:tab/>
        <w:t>use</w:t>
        <w:tab/>
        <w:t>of</w:t>
        <w:tab/>
        <w:t>financial instruments</w:t>
        <w:tab/>
        <w:t>such as</w:t>
      </w:r>
    </w:p>
    <w:p>
      <w:pPr>
        <w:spacing w:after="0" w:line="8" w:lineRule="exact"/>
        <w:rPr>
          <w:sz w:val="20"/>
          <w:szCs w:val="20"/>
          <w:color w:val="auto"/>
        </w:rPr>
      </w:pPr>
    </w:p>
    <w:p>
      <w:pPr>
        <w:ind w:left="180"/>
        <w:spacing w:after="0"/>
        <w:tabs>
          <w:tab w:leader="none" w:pos="1180" w:val="left"/>
        </w:tabs>
        <w:rPr>
          <w:sz w:val="20"/>
          <w:szCs w:val="20"/>
          <w:color w:val="auto"/>
        </w:rPr>
      </w:pPr>
      <w:r>
        <w:rPr>
          <w:rFonts w:ascii="Courier New" w:cs="Courier New" w:eastAsia="Courier New" w:hAnsi="Courier New"/>
          <w:sz w:val="15"/>
          <w:szCs w:val="15"/>
          <w:color w:val="auto"/>
        </w:rPr>
        <w:t>commodity</w:t>
        <w:tab/>
        <w:t>futures, options and swaps to hedge the price</w:t>
      </w:r>
    </w:p>
    <w:p>
      <w:pPr>
        <w:spacing w:after="0" w:line="8" w:lineRule="exact"/>
        <w:rPr>
          <w:sz w:val="20"/>
          <w:szCs w:val="20"/>
          <w:color w:val="auto"/>
        </w:rPr>
      </w:pPr>
    </w:p>
    <w:p>
      <w:pPr>
        <w:ind w:left="80"/>
        <w:spacing w:after="0"/>
        <w:tabs>
          <w:tab w:leader="none" w:pos="1540" w:val="left"/>
          <w:tab w:leader="none" w:pos="3120" w:val="left"/>
        </w:tabs>
        <w:rPr>
          <w:sz w:val="20"/>
          <w:szCs w:val="20"/>
          <w:color w:val="auto"/>
        </w:rPr>
      </w:pPr>
      <w:r>
        <w:rPr>
          <w:rFonts w:ascii="Courier New" w:cs="Courier New" w:eastAsia="Courier New" w:hAnsi="Courier New"/>
          <w:sz w:val="15"/>
          <w:szCs w:val="15"/>
          <w:color w:val="auto"/>
        </w:rPr>
        <w:t>of natural gas</w:t>
        <w:tab/>
        <w:t>and electricity</w:t>
        <w:tab/>
        <w:t>and reduce the Company's</w:t>
      </w:r>
    </w:p>
    <w:p>
      <w:pPr>
        <w:spacing w:after="0" w:line="8" w:lineRule="exact"/>
        <w:rPr>
          <w:sz w:val="20"/>
          <w:szCs w:val="20"/>
          <w:color w:val="auto"/>
        </w:rPr>
      </w:pPr>
    </w:p>
    <w:p>
      <w:pPr>
        <w:ind w:left="180"/>
        <w:spacing w:after="0"/>
        <w:tabs>
          <w:tab w:leader="none" w:pos="1080" w:val="left"/>
          <w:tab w:leader="none" w:pos="1460" w:val="left"/>
          <w:tab w:leader="none" w:pos="2280" w:val="left"/>
        </w:tabs>
        <w:rPr>
          <w:sz w:val="20"/>
          <w:szCs w:val="20"/>
          <w:color w:val="auto"/>
        </w:rPr>
      </w:pPr>
      <w:r>
        <w:rPr>
          <w:rFonts w:ascii="Courier New" w:cs="Courier New" w:eastAsia="Courier New" w:hAnsi="Courier New"/>
          <w:sz w:val="15"/>
          <w:szCs w:val="15"/>
          <w:color w:val="auto"/>
        </w:rPr>
        <w:t>exposure</w:t>
        <w:tab/>
        <w:t>to</w:t>
        <w:tab/>
        <w:t>market</w:t>
      </w:r>
      <w:r>
        <w:rPr>
          <w:sz w:val="20"/>
          <w:szCs w:val="20"/>
          <w:color w:val="auto"/>
        </w:rPr>
        <w:tab/>
      </w:r>
      <w:r>
        <w:rPr>
          <w:rFonts w:ascii="Courier New" w:cs="Courier New" w:eastAsia="Courier New" w:hAnsi="Courier New"/>
          <w:sz w:val="15"/>
          <w:szCs w:val="15"/>
          <w:color w:val="auto"/>
        </w:rPr>
        <w:t>fluctuations in these commodities.</w:t>
      </w:r>
    </w:p>
    <w:p>
      <w:pPr>
        <w:spacing w:after="0" w:line="8" w:lineRule="exact"/>
        <w:rPr>
          <w:sz w:val="20"/>
          <w:szCs w:val="20"/>
          <w:color w:val="auto"/>
        </w:rPr>
      </w:pPr>
    </w:p>
    <w:p>
      <w:pPr>
        <w:spacing w:after="0"/>
        <w:tabs>
          <w:tab w:leader="none" w:pos="340" w:val="left"/>
          <w:tab w:leader="none" w:pos="900" w:val="left"/>
        </w:tabs>
        <w:rPr>
          <w:sz w:val="20"/>
          <w:szCs w:val="20"/>
          <w:color w:val="auto"/>
        </w:rPr>
      </w:pPr>
      <w:r>
        <w:rPr>
          <w:rFonts w:ascii="Courier New" w:cs="Courier New" w:eastAsia="Courier New" w:hAnsi="Courier New"/>
          <w:sz w:val="15"/>
          <w:szCs w:val="15"/>
          <w:color w:val="auto"/>
        </w:rPr>
        <w:t>In</w:t>
        <w:tab/>
        <w:t>1995</w:t>
        <w:tab/>
        <w:t>transactions</w:t>
      </w:r>
    </w:p>
    <w:p>
      <w:pPr>
        <w:spacing w:after="0" w:line="8" w:lineRule="exact"/>
        <w:rPr>
          <w:sz w:val="20"/>
          <w:szCs w:val="20"/>
          <w:color w:val="auto"/>
        </w:rPr>
      </w:pPr>
    </w:p>
    <w:p>
      <w:pPr>
        <w:ind w:left="80" w:right="4879"/>
        <w:spacing w:after="0" w:line="250" w:lineRule="auto"/>
        <w:rPr>
          <w:sz w:val="20"/>
          <w:szCs w:val="20"/>
          <w:color w:val="auto"/>
        </w:rPr>
      </w:pPr>
      <w:r>
        <w:rPr>
          <w:rFonts w:ascii="Courier New" w:cs="Courier New" w:eastAsia="Courier New" w:hAnsi="Courier New"/>
          <w:sz w:val="15"/>
          <w:szCs w:val="15"/>
          <w:color w:val="auto"/>
        </w:rPr>
        <w:t>consisted primarily of fixed for floating swap agreements where the Company receives or makes payments based on the</w:t>
      </w:r>
    </w:p>
    <w:p>
      <w:pPr>
        <w:spacing w:after="0" w:line="1" w:lineRule="exact"/>
        <w:rPr>
          <w:sz w:val="20"/>
          <w:szCs w:val="20"/>
          <w:color w:val="auto"/>
        </w:rPr>
      </w:pPr>
    </w:p>
    <w:p>
      <w:pPr>
        <w:ind w:left="180" w:right="4219"/>
        <w:spacing w:after="0" w:line="250" w:lineRule="auto"/>
        <w:rPr>
          <w:sz w:val="20"/>
          <w:szCs w:val="20"/>
          <w:color w:val="auto"/>
        </w:rPr>
      </w:pPr>
      <w:r>
        <w:rPr>
          <w:rFonts w:ascii="Courier New" w:cs="Courier New" w:eastAsia="Courier New" w:hAnsi="Courier New"/>
          <w:sz w:val="15"/>
          <w:szCs w:val="15"/>
          <w:color w:val="auto"/>
        </w:rPr>
        <w:t>differential between a specified price and an index reference price of natural gas or electricity.</w:t>
      </w:r>
    </w:p>
    <w:p>
      <w:pPr>
        <w:spacing w:after="0" w:line="1" w:lineRule="exact"/>
        <w:rPr>
          <w:sz w:val="20"/>
          <w:szCs w:val="20"/>
          <w:color w:val="auto"/>
        </w:rPr>
      </w:pPr>
    </w:p>
    <w:p>
      <w:pPr>
        <w:ind w:left="80" w:right="4879" w:hanging="91"/>
        <w:spacing w:after="0" w:line="250" w:lineRule="auto"/>
        <w:rPr>
          <w:sz w:val="20"/>
          <w:szCs w:val="20"/>
          <w:color w:val="auto"/>
        </w:rPr>
      </w:pPr>
      <w:r>
        <w:rPr>
          <w:rFonts w:ascii="Courier New" w:cs="Courier New" w:eastAsia="Courier New" w:hAnsi="Courier New"/>
          <w:sz w:val="15"/>
          <w:szCs w:val="15"/>
          <w:color w:val="auto"/>
        </w:rPr>
        <w:t>Swap contracts generally require monthly cash settlements over the term of the contract. The Company is exposed to</w:t>
      </w:r>
    </w:p>
    <w:p>
      <w:pPr>
        <w:spacing w:after="0" w:line="1" w:lineRule="exact"/>
        <w:rPr>
          <w:sz w:val="20"/>
          <w:szCs w:val="20"/>
          <w:color w:val="auto"/>
        </w:rPr>
      </w:pPr>
    </w:p>
    <w:p>
      <w:pPr>
        <w:ind w:left="80" w:right="3859" w:firstLine="92"/>
        <w:spacing w:after="0" w:line="253" w:lineRule="auto"/>
        <w:rPr>
          <w:sz w:val="20"/>
          <w:szCs w:val="20"/>
          <w:color w:val="auto"/>
        </w:rPr>
      </w:pPr>
      <w:r>
        <w:rPr>
          <w:rFonts w:ascii="Courier New" w:cs="Courier New" w:eastAsia="Courier New" w:hAnsi="Courier New"/>
          <w:sz w:val="15"/>
          <w:szCs w:val="15"/>
          <w:color w:val="auto"/>
        </w:rPr>
        <w:t>credit risk in the event of non-performance by the counterparties and has established guidelines to mitigate this risk.</w:t>
      </w:r>
    </w:p>
    <w:p>
      <w:pPr>
        <w:spacing w:after="0" w:line="174" w:lineRule="exact"/>
        <w:rPr>
          <w:sz w:val="20"/>
          <w:szCs w:val="20"/>
          <w:color w:val="auto"/>
        </w:rPr>
      </w:pPr>
    </w:p>
    <w:p>
      <w:pPr>
        <w:ind w:left="180" w:right="4499" w:hanging="91"/>
        <w:spacing w:after="0" w:line="250" w:lineRule="auto"/>
        <w:rPr>
          <w:sz w:val="20"/>
          <w:szCs w:val="20"/>
          <w:color w:val="auto"/>
        </w:rPr>
      </w:pPr>
      <w:r>
        <w:rPr>
          <w:rFonts w:ascii="Courier New" w:cs="Courier New" w:eastAsia="Courier New" w:hAnsi="Courier New"/>
          <w:sz w:val="15"/>
          <w:szCs w:val="15"/>
          <w:color w:val="auto"/>
        </w:rPr>
        <w:t>At December 31, 1995, the</w:t>
      </w:r>
      <w:r>
        <w:rPr>
          <w:sz w:val="20"/>
          <w:szCs w:val="20"/>
          <w:color w:val="auto"/>
        </w:rPr>
        <w:t xml:space="preserve"> </w:t>
      </w:r>
      <w:r>
        <w:rPr>
          <w:rFonts w:ascii="Courier New" w:cs="Courier New" w:eastAsia="Courier New" w:hAnsi="Courier New"/>
          <w:sz w:val="15"/>
          <w:szCs w:val="15"/>
          <w:color w:val="auto"/>
        </w:rPr>
        <w:t>Company had outstanding swap and option contracts for the net purchases of 4.6 billion cubic feet of natural gas over the following 14</w:t>
      </w:r>
    </w:p>
    <w:p>
      <w:pPr>
        <w:spacing w:after="0" w:line="1" w:lineRule="exact"/>
        <w:rPr>
          <w:sz w:val="20"/>
          <w:szCs w:val="20"/>
          <w:color w:val="auto"/>
        </w:rPr>
      </w:pPr>
    </w:p>
    <w:p>
      <w:pPr>
        <w:ind w:left="80" w:right="4879" w:firstLine="92"/>
        <w:spacing w:after="0" w:line="250" w:lineRule="auto"/>
        <w:rPr>
          <w:sz w:val="20"/>
          <w:szCs w:val="20"/>
          <w:color w:val="auto"/>
        </w:rPr>
      </w:pPr>
      <w:r>
        <w:rPr>
          <w:rFonts w:ascii="Courier New" w:cs="Courier New" w:eastAsia="Courier New" w:hAnsi="Courier New"/>
          <w:sz w:val="15"/>
          <w:szCs w:val="15"/>
          <w:color w:val="auto"/>
        </w:rPr>
        <w:t>months. Electric swap and option contracts totaled 256,000 MWh of electricity over the following nine</w:t>
      </w:r>
    </w:p>
    <w:p>
      <w:pPr>
        <w:spacing w:after="0" w:line="1" w:lineRule="exact"/>
        <w:rPr>
          <w:sz w:val="20"/>
          <w:szCs w:val="20"/>
          <w:color w:val="auto"/>
        </w:rPr>
      </w:pPr>
    </w:p>
    <w:p>
      <w:pPr>
        <w:jc w:val="both"/>
        <w:ind w:left="180" w:right="3859"/>
        <w:spacing w:after="0" w:line="250" w:lineRule="auto"/>
        <w:rPr>
          <w:sz w:val="20"/>
          <w:szCs w:val="20"/>
          <w:color w:val="auto"/>
        </w:rPr>
      </w:pPr>
      <w:r>
        <w:rPr>
          <w:rFonts w:ascii="Courier New" w:cs="Courier New" w:eastAsia="Courier New" w:hAnsi="Courier New"/>
          <w:sz w:val="15"/>
          <w:szCs w:val="15"/>
          <w:color w:val="auto"/>
        </w:rPr>
        <w:t>months. Recognition of gains or losses on the hedging instruments is deferred until the underlying physical transaction occurs. See the discussion in Note 8, Fair Value of</w:t>
      </w:r>
    </w:p>
    <w:p>
      <w:pPr>
        <w:spacing w:after="0" w:line="1" w:lineRule="exact"/>
        <w:rPr>
          <w:sz w:val="20"/>
          <w:szCs w:val="20"/>
          <w:color w:val="auto"/>
        </w:rPr>
      </w:pPr>
    </w:p>
    <w:p>
      <w:pPr>
        <w:ind w:left="80" w:right="4879"/>
        <w:spacing w:after="0" w:line="253" w:lineRule="auto"/>
        <w:rPr>
          <w:sz w:val="20"/>
          <w:szCs w:val="20"/>
          <w:color w:val="auto"/>
        </w:rPr>
      </w:pPr>
      <w:r>
        <w:rPr>
          <w:rFonts w:ascii="Courier New" w:cs="Courier New" w:eastAsia="Courier New" w:hAnsi="Courier New"/>
          <w:sz w:val="15"/>
          <w:szCs w:val="15"/>
          <w:color w:val="auto"/>
        </w:rPr>
        <w:t>Financial Instruments, for the estimated fair value of these contracts.</w:t>
      </w:r>
    </w:p>
    <w:p>
      <w:pPr>
        <w:spacing w:after="0" w:line="174" w:lineRule="exact"/>
        <w:rPr>
          <w:sz w:val="20"/>
          <w:szCs w:val="20"/>
          <w:color w:val="auto"/>
        </w:rPr>
      </w:pPr>
    </w:p>
    <w:p>
      <w:pPr>
        <w:ind w:left="80" w:right="3759"/>
        <w:spacing w:after="0" w:line="250" w:lineRule="auto"/>
        <w:rPr>
          <w:sz w:val="20"/>
          <w:szCs w:val="20"/>
          <w:color w:val="auto"/>
        </w:rPr>
      </w:pPr>
      <w:r>
        <w:rPr>
          <w:rFonts w:ascii="Courier New" w:cs="Courier New" w:eastAsia="Courier New" w:hAnsi="Courier New"/>
          <w:sz w:val="15"/>
          <w:szCs w:val="15"/>
          <w:color w:val="auto"/>
        </w:rPr>
        <w:t>INTEREST RATE - In November 1994 PGE entered into two 10-year forward interest rate swap agreements, each with a notational</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amount of $25 million to hedge the future issuance costs of debt.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PGE settled the swap agreements</w:t>
      </w:r>
    </w:p>
    <w:p>
      <w:pPr>
        <w:spacing w:after="0" w:line="8" w:lineRule="exact"/>
        <w:rPr>
          <w:sz w:val="20"/>
          <w:szCs w:val="20"/>
          <w:color w:val="auto"/>
        </w:rPr>
      </w:pPr>
    </w:p>
    <w:p>
      <w:pPr>
        <w:ind w:left="180" w:right="4419"/>
        <w:spacing w:after="0" w:line="250" w:lineRule="auto"/>
        <w:rPr>
          <w:sz w:val="20"/>
          <w:szCs w:val="20"/>
          <w:color w:val="auto"/>
        </w:rPr>
      </w:pPr>
      <w:r>
        <w:rPr>
          <w:rFonts w:ascii="Courier New" w:cs="Courier New" w:eastAsia="Courier New" w:hAnsi="Courier New"/>
          <w:sz w:val="15"/>
          <w:szCs w:val="15"/>
          <w:color w:val="auto"/>
        </w:rPr>
        <w:t>for approximately $5 million in 1995 concurrently with the issuance of $75 million of long-term debt. The</w:t>
      </w:r>
    </w:p>
    <w:p>
      <w:pPr>
        <w:spacing w:after="0" w:line="1" w:lineRule="exact"/>
        <w:rPr>
          <w:sz w:val="20"/>
          <w:szCs w:val="20"/>
          <w:color w:val="auto"/>
        </w:rPr>
      </w:pPr>
    </w:p>
    <w:p>
      <w:pPr>
        <w:ind w:left="180" w:right="4879" w:hanging="91"/>
        <w:spacing w:after="0" w:line="250" w:lineRule="auto"/>
        <w:rPr>
          <w:sz w:val="20"/>
          <w:szCs w:val="20"/>
          <w:color w:val="auto"/>
        </w:rPr>
      </w:pPr>
      <w:r>
        <w:rPr>
          <w:rFonts w:ascii="Courier New" w:cs="Courier New" w:eastAsia="Courier New" w:hAnsi="Courier New"/>
          <w:sz w:val="15"/>
          <w:szCs w:val="15"/>
          <w:color w:val="auto"/>
        </w:rPr>
        <w:t>settlement amount was deferred and will be amortized over 10 years. This amortization does not materially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affect the Company's weighted average borrowing rate.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ACTIVITIES</w:t>
      </w:r>
    </w:p>
    <w:p>
      <w:pPr>
        <w:spacing w:after="0" w:line="8"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5"/>
          <w:szCs w:val="15"/>
          <w:color w:val="auto"/>
        </w:rPr>
        <w:t>In addition to hedging activities, Company policy allows the use of the financial instruments, noted above, for trading purposes in support</w:t>
      </w:r>
    </w:p>
    <w:p>
      <w:pPr>
        <w:spacing w:after="0" w:line="1"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of Company operations. Gains or losses on financial instruments that do not qualify as hedges are recognized in income on a current basis. During 1995 no trading activity took place.</w:t>
      </w:r>
    </w:p>
    <w:p>
      <w:pPr>
        <w:spacing w:after="0" w:line="35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8 - FAIR VALUE OF FINANCIAL INSTRUMENTS</w:t>
      </w:r>
    </w:p>
    <w:p>
      <w:pPr>
        <w:spacing w:after="0" w:line="185" w:lineRule="exact"/>
        <w:rPr>
          <w:sz w:val="20"/>
          <w:szCs w:val="20"/>
          <w:color w:val="auto"/>
        </w:rPr>
      </w:pPr>
    </w:p>
    <w:p>
      <w:pPr>
        <w:jc w:val="center"/>
        <w:ind w:right="4799"/>
        <w:spacing w:after="0" w:line="250" w:lineRule="auto"/>
        <w:rPr>
          <w:sz w:val="20"/>
          <w:szCs w:val="20"/>
          <w:color w:val="auto"/>
        </w:rPr>
      </w:pPr>
      <w:r>
        <w:rPr>
          <w:rFonts w:ascii="Courier New" w:cs="Courier New" w:eastAsia="Courier New" w:hAnsi="Courier New"/>
          <w:sz w:val="15"/>
          <w:szCs w:val="15"/>
          <w:color w:val="auto"/>
        </w:rPr>
        <w:t>The  following  methods  and  assumptions  were  used  to estimate  the  fair  value  of  each  class of financial instruments for which it is practicable  to estimate that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value:</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CASH AND CASH EQUIVALENTS</w:t>
      </w:r>
    </w:p>
    <w:p>
      <w:pPr>
        <w:spacing w:after="0" w:line="8" w:lineRule="exact"/>
        <w:rPr>
          <w:sz w:val="20"/>
          <w:szCs w:val="20"/>
          <w:color w:val="auto"/>
        </w:rPr>
      </w:pPr>
    </w:p>
    <w:p>
      <w:pPr>
        <w:jc w:val="both"/>
        <w:ind w:left="80" w:right="4879" w:firstLine="185"/>
        <w:spacing w:after="0" w:line="252" w:lineRule="auto"/>
        <w:rPr>
          <w:sz w:val="20"/>
          <w:szCs w:val="20"/>
          <w:color w:val="auto"/>
        </w:rPr>
      </w:pPr>
      <w:r>
        <w:rPr>
          <w:rFonts w:ascii="Courier New" w:cs="Courier New" w:eastAsia="Courier New" w:hAnsi="Courier New"/>
          <w:sz w:val="15"/>
          <w:szCs w:val="15"/>
          <w:color w:val="auto"/>
        </w:rPr>
        <w:t>The carrying amount of cash and cash equivalents approximates fair value because of the short maturity of those instruments.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INVESTMENTS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investments approximate market value.</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REDEEMABLE PREFERRED STOCK</w:t>
      </w:r>
    </w:p>
    <w:p>
      <w:pPr>
        <w:spacing w:after="0" w:line="8" w:lineRule="exact"/>
        <w:rPr>
          <w:sz w:val="20"/>
          <w:szCs w:val="20"/>
          <w:color w:val="auto"/>
        </w:rPr>
      </w:pPr>
    </w:p>
    <w:p>
      <w:pPr>
        <w:jc w:val="both"/>
        <w:ind w:left="80" w:right="4879"/>
        <w:spacing w:after="0" w:line="253" w:lineRule="auto"/>
        <w:rPr>
          <w:sz w:val="20"/>
          <w:szCs w:val="20"/>
          <w:color w:val="auto"/>
        </w:rPr>
      </w:pPr>
      <w:r>
        <w:rPr>
          <w:rFonts w:ascii="Courier New" w:cs="Courier New" w:eastAsia="Courier New" w:hAnsi="Courier New"/>
          <w:sz w:val="15"/>
          <w:szCs w:val="15"/>
          <w:color w:val="auto"/>
        </w:rPr>
        <w:t>The fair value of redeemable preferred stock is based on quoted market prices.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8" w:lineRule="exact"/>
        <w:rPr>
          <w:sz w:val="20"/>
          <w:szCs w:val="20"/>
          <w:color w:val="auto"/>
        </w:rPr>
      </w:pPr>
    </w:p>
    <w:p>
      <w:pPr>
        <w:jc w:val="both"/>
        <w:ind w:left="80" w:right="4879"/>
        <w:spacing w:after="0" w:line="251" w:lineRule="auto"/>
        <w:rPr>
          <w:sz w:val="20"/>
          <w:szCs w:val="20"/>
          <w:color w:val="auto"/>
        </w:rPr>
      </w:pPr>
      <w:r>
        <w:rPr>
          <w:rFonts w:ascii="Courier New" w:cs="Courier New" w:eastAsia="Courier New" w:hAnsi="Courier New"/>
          <w:sz w:val="15"/>
          <w:szCs w:val="15"/>
          <w:color w:val="auto"/>
        </w:rPr>
        <w:t>The fair value of long-term debt is estimated based on the quoted market prices for the same or similar issues or on the current rates offered to Portland General for debt of similar remaining maturities.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 RATE SWAPS</w:t>
      </w:r>
    </w:p>
    <w:p>
      <w:pPr>
        <w:spacing w:after="0" w:line="8" w:lineRule="exact"/>
        <w:rPr>
          <w:sz w:val="20"/>
          <w:szCs w:val="20"/>
          <w:color w:val="auto"/>
        </w:rPr>
      </w:pPr>
    </w:p>
    <w:p>
      <w:pPr>
        <w:ind w:left="80" w:right="3119"/>
        <w:spacing w:after="0" w:line="253" w:lineRule="auto"/>
        <w:rPr>
          <w:sz w:val="20"/>
          <w:szCs w:val="20"/>
          <w:color w:val="auto"/>
        </w:rPr>
      </w:pPr>
      <w:r>
        <w:rPr>
          <w:rFonts w:ascii="Courier New" w:cs="Courier New" w:eastAsia="Courier New" w:hAnsi="Courier New"/>
          <w:sz w:val="15"/>
          <w:szCs w:val="15"/>
          <w:color w:val="auto"/>
        </w:rPr>
        <w:t>The fair value of the Company's 1994 interest rate swap agreements was based on the estimated termination value at December 31, 1994.</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NATURAL GAS AND ELECTRICITY SWAPS</w:t>
      </w:r>
    </w:p>
    <w:p>
      <w:pPr>
        <w:spacing w:after="0" w:line="8" w:lineRule="exact"/>
        <w:rPr>
          <w:sz w:val="20"/>
          <w:szCs w:val="20"/>
          <w:color w:val="auto"/>
        </w:rPr>
      </w:pPr>
    </w:p>
    <w:p>
      <w:pPr>
        <w:jc w:val="both"/>
        <w:ind w:left="80" w:right="4879" w:firstLine="92"/>
        <w:spacing w:after="0" w:line="250" w:lineRule="auto"/>
        <w:rPr>
          <w:sz w:val="20"/>
          <w:szCs w:val="20"/>
          <w:color w:val="auto"/>
        </w:rPr>
      </w:pPr>
      <w:r>
        <w:rPr>
          <w:rFonts w:ascii="Courier New" w:cs="Courier New" w:eastAsia="Courier New" w:hAnsi="Courier New"/>
          <w:sz w:val="15"/>
          <w:szCs w:val="15"/>
          <w:color w:val="auto"/>
        </w:rPr>
        <w:t>The fair value of natural gas and electricity swaps is the estimated amount that the Company would receive or pay to terminate the agreements at the reporting date,</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taking into account current market rates.</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50" w:right="1440" w:bottom="371" w:gutter="0" w:footer="0" w:header="0"/>
        </w:sectPr>
      </w:pPr>
    </w:p>
    <w:bookmarkStart w:id="51" w:name="page52"/>
    <w:bookmarkEnd w:id="51"/>
    <w:p>
      <w:pPr>
        <w:ind w:left="80" w:right="4879"/>
        <w:spacing w:after="0" w:line="253" w:lineRule="auto"/>
        <w:rPr>
          <w:sz w:val="20"/>
          <w:szCs w:val="20"/>
          <w:color w:val="auto"/>
        </w:rPr>
      </w:pPr>
      <w:r>
        <w:rPr>
          <w:rFonts w:ascii="Courier New" w:cs="Courier New" w:eastAsia="Courier New" w:hAnsi="Courier New"/>
          <w:sz w:val="15"/>
          <w:szCs w:val="15"/>
          <w:color w:val="auto"/>
        </w:rPr>
        <w:t>The estimated fair values of financial instruments are as follows (thousands of dollars):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Carrying</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Fair</w:t>
            </w:r>
          </w:p>
        </w:tc>
        <w:tc>
          <w:tcPr>
            <w:tcW w:w="1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Carrying</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Fair</w:t>
            </w:r>
          </w:p>
        </w:tc>
      </w:tr>
      <w:tr>
        <w:trPr>
          <w:trHeight w:val="177"/>
        </w:trPr>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Amount</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Value</w:t>
            </w:r>
          </w:p>
        </w:tc>
        <w:tc>
          <w:tcPr>
            <w:tcW w:w="420" w:type="dxa"/>
            <w:vAlign w:val="bottom"/>
          </w:tcPr>
          <w:p>
            <w:pPr>
              <w:spacing w:after="0"/>
              <w:rPr>
                <w:sz w:val="15"/>
                <w:szCs w:val="15"/>
                <w:color w:val="auto"/>
              </w:rPr>
            </w:pP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w w:val="99"/>
              </w:rPr>
              <w:t>Amount</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Value</w:t>
            </w:r>
          </w:p>
        </w:tc>
      </w:tr>
      <w:tr>
        <w:trPr>
          <w:trHeight w:val="177"/>
        </w:trPr>
        <w:tc>
          <w:tcPr>
            <w:tcW w:w="28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Preferred stock subject to</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2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mandatory redemption</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$ 50,000</w:t>
            </w: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52,900</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$ 60,000</w:t>
            </w:r>
          </w:p>
        </w:tc>
      </w:tr>
      <w:tr>
        <w:trPr>
          <w:trHeight w:val="177"/>
        </w:trPr>
        <w:tc>
          <w:tcPr>
            <w:tcW w:w="1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220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PGC (Parent only)</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$ 30,000</w:t>
            </w: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30,531</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$ 29,887</w:t>
            </w:r>
          </w:p>
        </w:tc>
      </w:tr>
      <w:tr>
        <w:trPr>
          <w:trHeight w:val="177"/>
        </w:trPr>
        <w:tc>
          <w:tcPr>
            <w:tcW w:w="540" w:type="dxa"/>
            <w:vAlign w:val="bottom"/>
          </w:tcPr>
          <w:p>
            <w:pPr>
              <w:ind w:left="280"/>
              <w:spacing w:after="0"/>
              <w:rPr>
                <w:sz w:val="20"/>
                <w:szCs w:val="20"/>
                <w:color w:val="auto"/>
              </w:rPr>
            </w:pPr>
            <w:r>
              <w:rPr>
                <w:rFonts w:ascii="Courier New" w:cs="Courier New" w:eastAsia="Courier New" w:hAnsi="Courier New"/>
                <w:sz w:val="15"/>
                <w:szCs w:val="15"/>
                <w:color w:val="auto"/>
                <w:w w:val="88"/>
              </w:rPr>
              <w:t>PGE</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946,872</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994,996</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866,114</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824,211</w:t>
            </w:r>
          </w:p>
        </w:tc>
      </w:tr>
      <w:tr>
        <w:trPr>
          <w:trHeight w:val="177"/>
        </w:trPr>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$976,872</w:t>
            </w: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8"/>
              </w:rPr>
              <w:t>1,025,527</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896,114</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$854,098</w:t>
            </w:r>
          </w:p>
        </w:tc>
      </w:tr>
      <w:tr>
        <w:trPr>
          <w:trHeight w:val="355"/>
        </w:trPr>
        <w:tc>
          <w:tcPr>
            <w:tcW w:w="2860" w:type="dxa"/>
            <w:vAlign w:val="bottom"/>
            <w:gridSpan w:val="6"/>
          </w:tcPr>
          <w:p>
            <w:pPr>
              <w:spacing w:after="0"/>
              <w:rPr>
                <w:sz w:val="20"/>
                <w:szCs w:val="20"/>
                <w:color w:val="auto"/>
              </w:rPr>
            </w:pPr>
            <w:r>
              <w:rPr>
                <w:rFonts w:ascii="Courier New" w:cs="Courier New" w:eastAsia="Courier New" w:hAnsi="Courier New"/>
                <w:sz w:val="15"/>
                <w:szCs w:val="15"/>
                <w:color w:val="auto"/>
              </w:rPr>
              <w:t>Interest rate swaps in net</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7"/>
        </w:trPr>
        <w:tc>
          <w:tcPr>
            <w:tcW w:w="17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(payable) position</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r>
      <w:tr>
        <w:trPr>
          <w:trHeight w:val="355"/>
        </w:trPr>
        <w:tc>
          <w:tcPr>
            <w:tcW w:w="2200" w:type="dxa"/>
            <w:vAlign w:val="bottom"/>
            <w:gridSpan w:val="5"/>
          </w:tcPr>
          <w:p>
            <w:pPr>
              <w:spacing w:after="0"/>
              <w:rPr>
                <w:sz w:val="20"/>
                <w:szCs w:val="20"/>
                <w:color w:val="auto"/>
              </w:rPr>
            </w:pPr>
            <w:r>
              <w:rPr>
                <w:rFonts w:ascii="Courier New" w:cs="Courier New" w:eastAsia="Courier New" w:hAnsi="Courier New"/>
                <w:sz w:val="15"/>
                <w:szCs w:val="15"/>
                <w:color w:val="auto"/>
              </w:rPr>
              <w:t>Commodity swaps in net</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7"/>
        </w:trPr>
        <w:tc>
          <w:tcPr>
            <w:tcW w:w="22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(payable) position:</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5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Natural gas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(261)</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(598)</w:t>
            </w:r>
          </w:p>
        </w:tc>
      </w:tr>
      <w:tr>
        <w:trPr>
          <w:trHeight w:val="177"/>
        </w:trPr>
        <w:tc>
          <w:tcPr>
            <w:tcW w:w="15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Electricity</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(335)</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710"/>
        </w:trPr>
        <w:tc>
          <w:tcPr>
            <w:tcW w:w="22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NOTE 9 - COMMITMENTS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5"/>
        </w:trPr>
        <w:tc>
          <w:tcPr>
            <w:tcW w:w="22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NATURAL GAS AGREEMENTS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7"/>
        </w:trPr>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PGE</w:t>
            </w:r>
          </w:p>
        </w:tc>
        <w:tc>
          <w:tcPr>
            <w:tcW w:w="5680" w:type="dxa"/>
            <w:vAlign w:val="bottom"/>
            <w:gridSpan w:val="12"/>
          </w:tcPr>
          <w:p>
            <w:pPr>
              <w:jc w:val="right"/>
              <w:ind w:right="803"/>
              <w:spacing w:after="0"/>
              <w:rPr>
                <w:sz w:val="20"/>
                <w:szCs w:val="20"/>
                <w:color w:val="auto"/>
              </w:rPr>
            </w:pPr>
            <w:r>
              <w:rPr>
                <w:rFonts w:ascii="Courier New" w:cs="Courier New" w:eastAsia="Courier New" w:hAnsi="Courier New"/>
                <w:sz w:val="15"/>
                <w:szCs w:val="15"/>
                <w:color w:val="auto"/>
              </w:rPr>
              <w:t>has long-term agreements for transmission of natural</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gas from</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domestic</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4020" w:type="dxa"/>
            <w:vAlign w:val="bottom"/>
            <w:gridSpan w:val="8"/>
          </w:tcPr>
          <w:p>
            <w:pPr>
              <w:jc w:val="right"/>
              <w:ind w:right="803"/>
              <w:spacing w:after="0"/>
              <w:rPr>
                <w:sz w:val="20"/>
                <w:szCs w:val="20"/>
                <w:color w:val="auto"/>
              </w:rPr>
            </w:pPr>
            <w:r>
              <w:rPr>
                <w:rFonts w:ascii="Courier New" w:cs="Courier New" w:eastAsia="Courier New" w:hAnsi="Courier New"/>
                <w:sz w:val="15"/>
                <w:szCs w:val="15"/>
                <w:color w:val="auto"/>
              </w:rPr>
              <w:t>Canadian sources to natural gas-</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6220" w:type="dxa"/>
            <w:vAlign w:val="bottom"/>
            <w:gridSpan w:val="13"/>
          </w:tcPr>
          <w:p>
            <w:pPr>
              <w:ind w:left="80"/>
              <w:spacing w:after="0"/>
              <w:rPr>
                <w:sz w:val="20"/>
                <w:szCs w:val="20"/>
                <w:color w:val="auto"/>
              </w:rPr>
            </w:pPr>
            <w:r>
              <w:rPr>
                <w:rFonts w:ascii="Courier New" w:cs="Courier New" w:eastAsia="Courier New" w:hAnsi="Courier New"/>
                <w:sz w:val="15"/>
                <w:szCs w:val="15"/>
                <w:color w:val="auto"/>
              </w:rPr>
              <w:t>fired generating facilities.  The agreements provide firm</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7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pipeline capacity.</w:t>
            </w:r>
          </w:p>
        </w:tc>
        <w:tc>
          <w:tcPr>
            <w:tcW w:w="24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Under the terms of these</w:t>
            </w:r>
          </w:p>
        </w:tc>
        <w:tc>
          <w:tcPr>
            <w:tcW w:w="2020" w:type="dxa"/>
            <w:vAlign w:val="bottom"/>
            <w:gridSpan w:val="3"/>
          </w:tcPr>
          <w:p>
            <w:pPr>
              <w:jc w:val="right"/>
              <w:ind w:right="803"/>
              <w:spacing w:after="0"/>
              <w:rPr>
                <w:sz w:val="20"/>
                <w:szCs w:val="20"/>
                <w:color w:val="auto"/>
              </w:rPr>
            </w:pPr>
            <w:r>
              <w:rPr>
                <w:rFonts w:ascii="Courier New" w:cs="Courier New" w:eastAsia="Courier New" w:hAnsi="Courier New"/>
                <w:sz w:val="15"/>
                <w:szCs w:val="15"/>
                <w:color w:val="auto"/>
              </w:rPr>
              <w:t>agreements,</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04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PGE  is  committed  to  paying</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capacity</w:t>
            </w:r>
          </w:p>
        </w:tc>
        <w:tc>
          <w:tcPr>
            <w:tcW w:w="240" w:type="dxa"/>
            <w:vAlign w:val="bottom"/>
          </w:tcPr>
          <w:p>
            <w:pPr>
              <w:spacing w:after="0"/>
              <w:rPr>
                <w:sz w:val="15"/>
                <w:szCs w:val="15"/>
                <w:color w:val="auto"/>
              </w:rPr>
            </w:pPr>
          </w:p>
        </w:tc>
        <w:tc>
          <w:tcPr>
            <w:tcW w:w="7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charges</w:t>
            </w:r>
          </w:p>
        </w:tc>
        <w:tc>
          <w:tcPr>
            <w:tcW w:w="12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of</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6220" w:type="dxa"/>
            <w:vAlign w:val="bottom"/>
            <w:gridSpan w:val="13"/>
          </w:tcPr>
          <w:p>
            <w:pPr>
              <w:ind w:left="180"/>
              <w:spacing w:after="0"/>
              <w:rPr>
                <w:sz w:val="20"/>
                <w:szCs w:val="20"/>
                <w:color w:val="auto"/>
              </w:rPr>
            </w:pPr>
            <w:r>
              <w:rPr>
                <w:rFonts w:ascii="Courier New" w:cs="Courier New" w:eastAsia="Courier New" w:hAnsi="Courier New"/>
                <w:sz w:val="15"/>
                <w:szCs w:val="15"/>
                <w:color w:val="auto"/>
              </w:rPr>
              <w:t>approximately $15 million annually in 1996 through 1999,</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1200" w:type="dxa"/>
            <w:vAlign w:val="bottom"/>
            <w:gridSpan w:val="3"/>
          </w:tcPr>
          <w:p>
            <w:pPr>
              <w:spacing w:after="0"/>
              <w:rPr>
                <w:sz w:val="20"/>
                <w:szCs w:val="20"/>
                <w:color w:val="auto"/>
              </w:rPr>
            </w:pPr>
            <w:r>
              <w:rPr>
                <w:rFonts w:ascii="Courier New" w:cs="Courier New" w:eastAsia="Courier New" w:hAnsi="Courier New"/>
                <w:sz w:val="15"/>
                <w:szCs w:val="15"/>
                <w:color w:val="auto"/>
              </w:rPr>
              <w:t>$149 million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over</w:t>
            </w:r>
          </w:p>
        </w:tc>
        <w:tc>
          <w:tcPr>
            <w:tcW w:w="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the</w:t>
            </w:r>
          </w:p>
        </w:tc>
        <w:tc>
          <w:tcPr>
            <w:tcW w:w="2120" w:type="dxa"/>
            <w:vAlign w:val="bottom"/>
            <w:gridSpan w:val="6"/>
          </w:tcPr>
          <w:p>
            <w:pPr>
              <w:spacing w:after="0"/>
              <w:rPr>
                <w:sz w:val="20"/>
                <w:szCs w:val="20"/>
                <w:color w:val="auto"/>
              </w:rPr>
            </w:pPr>
            <w:r>
              <w:rPr>
                <w:rFonts w:ascii="Courier New" w:cs="Courier New" w:eastAsia="Courier New" w:hAnsi="Courier New"/>
                <w:sz w:val="15"/>
                <w:szCs w:val="15"/>
                <w:color w:val="auto"/>
              </w:rPr>
              <w:t>remaining years of the</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contracts</w:t>
            </w:r>
          </w:p>
        </w:tc>
        <w:tc>
          <w:tcPr>
            <w:tcW w:w="2960" w:type="dxa"/>
            <w:vAlign w:val="bottom"/>
            <w:gridSpan w:val="7"/>
          </w:tcPr>
          <w:p>
            <w:pPr>
              <w:ind w:left="200"/>
              <w:spacing w:after="0"/>
              <w:rPr>
                <w:sz w:val="20"/>
                <w:szCs w:val="20"/>
                <w:color w:val="auto"/>
              </w:rPr>
            </w:pPr>
            <w:r>
              <w:rPr>
                <w:rFonts w:ascii="Courier New" w:cs="Courier New" w:eastAsia="Courier New" w:hAnsi="Courier New"/>
                <w:sz w:val="15"/>
                <w:szCs w:val="15"/>
                <w:color w:val="auto"/>
              </w:rPr>
              <w:t>which expire at varying dates</w:t>
            </w:r>
          </w:p>
        </w:tc>
        <w:tc>
          <w:tcPr>
            <w:tcW w:w="6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from</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to</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28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2015.  PGE has  the  right  to</w:t>
            </w:r>
          </w:p>
        </w:tc>
        <w:tc>
          <w:tcPr>
            <w:tcW w:w="180" w:type="dxa"/>
            <w:vAlign w:val="bottom"/>
          </w:tcPr>
          <w:p>
            <w:pPr>
              <w:spacing w:after="0"/>
              <w:rPr>
                <w:sz w:val="15"/>
                <w:szCs w:val="15"/>
                <w:color w:val="auto"/>
              </w:rPr>
            </w:pPr>
          </w:p>
        </w:tc>
        <w:tc>
          <w:tcPr>
            <w:tcW w:w="3180" w:type="dxa"/>
            <w:vAlign w:val="bottom"/>
            <w:gridSpan w:val="6"/>
          </w:tcPr>
          <w:p>
            <w:pPr>
              <w:jc w:val="right"/>
              <w:ind w:right="803"/>
              <w:spacing w:after="0"/>
              <w:rPr>
                <w:sz w:val="20"/>
                <w:szCs w:val="20"/>
                <w:color w:val="auto"/>
              </w:rPr>
            </w:pPr>
            <w:r>
              <w:rPr>
                <w:rFonts w:ascii="Courier New" w:cs="Courier New" w:eastAsia="Courier New" w:hAnsi="Courier New"/>
                <w:sz w:val="15"/>
                <w:szCs w:val="15"/>
                <w:color w:val="auto"/>
              </w:rPr>
              <w:t>assign unused capacity to</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other parties.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5"/>
        </w:trPr>
        <w:tc>
          <w:tcPr>
            <w:tcW w:w="28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RAILROAD SERVICE AGREEMENT</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7"/>
        </w:trPr>
        <w:tc>
          <w:tcPr>
            <w:tcW w:w="3600" w:type="dxa"/>
            <w:vAlign w:val="bottom"/>
            <w:gridSpan w:val="8"/>
          </w:tcPr>
          <w:p>
            <w:pPr>
              <w:ind w:left="80"/>
              <w:spacing w:after="0"/>
              <w:rPr>
                <w:sz w:val="20"/>
                <w:szCs w:val="20"/>
                <w:color w:val="auto"/>
              </w:rPr>
            </w:pPr>
            <w:r>
              <w:rPr>
                <w:rFonts w:ascii="Courier New" w:cs="Courier New" w:eastAsia="Courier New" w:hAnsi="Courier New"/>
                <w:sz w:val="15"/>
                <w:szCs w:val="15"/>
                <w:color w:val="auto"/>
              </w:rPr>
              <w:t>PGE has a railroad service agreement</w:t>
            </w:r>
          </w:p>
        </w:tc>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to</w:t>
            </w:r>
          </w:p>
        </w:tc>
        <w:tc>
          <w:tcPr>
            <w:tcW w:w="2260" w:type="dxa"/>
            <w:vAlign w:val="bottom"/>
            <w:gridSpan w:val="4"/>
          </w:tcPr>
          <w:p>
            <w:pPr>
              <w:jc w:val="right"/>
              <w:ind w:right="603"/>
              <w:spacing w:after="0"/>
              <w:rPr>
                <w:sz w:val="20"/>
                <w:szCs w:val="20"/>
                <w:color w:val="auto"/>
              </w:rPr>
            </w:pPr>
            <w:r>
              <w:rPr>
                <w:rFonts w:ascii="Courier New" w:cs="Courier New" w:eastAsia="Courier New" w:hAnsi="Courier New"/>
                <w:sz w:val="15"/>
                <w:szCs w:val="15"/>
                <w:color w:val="auto"/>
              </w:rPr>
              <w:t>deliver coal from</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Wyoming</w:t>
            </w:r>
          </w:p>
        </w:tc>
        <w:tc>
          <w:tcPr>
            <w:tcW w:w="1860" w:type="dxa"/>
            <w:vAlign w:val="bottom"/>
            <w:gridSpan w:val="4"/>
          </w:tcPr>
          <w:p>
            <w:pPr>
              <w:jc w:val="right"/>
              <w:ind w:right="103"/>
              <w:spacing w:after="0"/>
              <w:rPr>
                <w:sz w:val="20"/>
                <w:szCs w:val="20"/>
                <w:color w:val="auto"/>
              </w:rPr>
            </w:pPr>
            <w:r>
              <w:rPr>
                <w:rFonts w:ascii="Courier New" w:cs="Courier New" w:eastAsia="Courier New" w:hAnsi="Courier New"/>
                <w:sz w:val="15"/>
                <w:szCs w:val="15"/>
                <w:color w:val="auto"/>
              </w:rPr>
              <w:t>to Boardman and is</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required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contribute</w:t>
            </w:r>
          </w:p>
        </w:tc>
        <w:tc>
          <w:tcPr>
            <w:tcW w:w="560" w:type="dxa"/>
            <w:vAlign w:val="bottom"/>
          </w:tcPr>
          <w:p>
            <w:pPr>
              <w:ind w:left="200"/>
              <w:spacing w:after="0"/>
              <w:rPr>
                <w:sz w:val="20"/>
                <w:szCs w:val="20"/>
                <w:color w:val="auto"/>
              </w:rPr>
            </w:pPr>
            <w:r>
              <w:rPr>
                <w:rFonts w:ascii="Courier New" w:cs="Courier New" w:eastAsia="Courier New" w:hAnsi="Courier New"/>
                <w:sz w:val="15"/>
                <w:szCs w:val="15"/>
                <w:color w:val="auto"/>
              </w:rPr>
              <w:t>$5</w:t>
            </w:r>
          </w:p>
        </w:tc>
        <w:tc>
          <w:tcPr>
            <w:tcW w:w="4660" w:type="dxa"/>
            <w:vAlign w:val="bottom"/>
            <w:gridSpan w:val="10"/>
          </w:tcPr>
          <w:p>
            <w:pPr>
              <w:jc w:val="right"/>
              <w:ind w:right="803"/>
              <w:spacing w:after="0"/>
              <w:rPr>
                <w:sz w:val="20"/>
                <w:szCs w:val="20"/>
                <w:color w:val="auto"/>
              </w:rPr>
            </w:pPr>
            <w:r>
              <w:rPr>
                <w:rFonts w:ascii="Courier New" w:cs="Courier New" w:eastAsia="Courier New" w:hAnsi="Courier New"/>
                <w:sz w:val="15"/>
                <w:szCs w:val="15"/>
                <w:color w:val="auto"/>
              </w:rPr>
              <w:t>million over the 4 years remaining in the</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contract.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5"/>
        </w:trPr>
        <w:tc>
          <w:tcPr>
            <w:tcW w:w="22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PURCHASE COMMITMENTS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7"/>
        </w:trPr>
        <w:tc>
          <w:tcPr>
            <w:tcW w:w="15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Other  purchase</w:t>
            </w:r>
          </w:p>
        </w:tc>
        <w:tc>
          <w:tcPr>
            <w:tcW w:w="180" w:type="dxa"/>
            <w:vAlign w:val="bottom"/>
          </w:tcPr>
          <w:p>
            <w:pPr>
              <w:spacing w:after="0"/>
              <w:rPr>
                <w:sz w:val="15"/>
                <w:szCs w:val="15"/>
                <w:color w:val="auto"/>
              </w:rPr>
            </w:pPr>
          </w:p>
        </w:tc>
        <w:tc>
          <w:tcPr>
            <w:tcW w:w="11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commitments</w:t>
            </w:r>
          </w:p>
        </w:tc>
        <w:tc>
          <w:tcPr>
            <w:tcW w:w="180" w:type="dxa"/>
            <w:vAlign w:val="bottom"/>
          </w:tcPr>
          <w:p>
            <w:pPr>
              <w:spacing w:after="0"/>
              <w:rPr>
                <w:sz w:val="15"/>
                <w:szCs w:val="15"/>
                <w:color w:val="auto"/>
              </w:rPr>
            </w:pPr>
          </w:p>
        </w:tc>
        <w:tc>
          <w:tcPr>
            <w:tcW w:w="116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outstanding</w:t>
            </w:r>
          </w:p>
        </w:tc>
        <w:tc>
          <w:tcPr>
            <w:tcW w:w="2020" w:type="dxa"/>
            <w:vAlign w:val="bottom"/>
            <w:gridSpan w:val="3"/>
          </w:tcPr>
          <w:p>
            <w:pPr>
              <w:jc w:val="right"/>
              <w:ind w:right="803"/>
              <w:spacing w:after="0"/>
              <w:rPr>
                <w:sz w:val="20"/>
                <w:szCs w:val="20"/>
                <w:color w:val="auto"/>
              </w:rPr>
            </w:pPr>
            <w:r>
              <w:rPr>
                <w:rFonts w:ascii="Courier New" w:cs="Courier New" w:eastAsia="Courier New" w:hAnsi="Courier New"/>
                <w:sz w:val="15"/>
                <w:szCs w:val="15"/>
                <w:color w:val="auto"/>
              </w:rPr>
              <w:t>(principally</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6220" w:type="dxa"/>
            <w:vAlign w:val="bottom"/>
            <w:gridSpan w:val="13"/>
          </w:tcPr>
          <w:p>
            <w:pPr>
              <w:ind w:left="80"/>
              <w:spacing w:after="0"/>
              <w:rPr>
                <w:sz w:val="20"/>
                <w:szCs w:val="20"/>
                <w:color w:val="auto"/>
              </w:rPr>
            </w:pPr>
            <w:r>
              <w:rPr>
                <w:rFonts w:ascii="Courier New" w:cs="Courier New" w:eastAsia="Courier New" w:hAnsi="Courier New"/>
                <w:sz w:val="15"/>
                <w:szCs w:val="15"/>
                <w:color w:val="auto"/>
              </w:rPr>
              <w:t>construction at PGE) totaled approximately $61 million at</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6220" w:type="dxa"/>
            <w:vAlign w:val="bottom"/>
            <w:gridSpan w:val="13"/>
          </w:tcPr>
          <w:p>
            <w:pPr>
              <w:ind w:left="180"/>
              <w:spacing w:after="0"/>
              <w:rPr>
                <w:sz w:val="20"/>
                <w:szCs w:val="20"/>
                <w:color w:val="auto"/>
              </w:rPr>
            </w:pPr>
            <w:r>
              <w:rPr>
                <w:rFonts w:ascii="Courier New" w:cs="Courier New" w:eastAsia="Courier New" w:hAnsi="Courier New"/>
                <w:sz w:val="15"/>
                <w:szCs w:val="15"/>
                <w:color w:val="auto"/>
              </w:rPr>
              <w:t>December  31,  1995.   Cancellation  of  these  purchase</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4560" w:type="dxa"/>
            <w:vAlign w:val="bottom"/>
            <w:gridSpan w:val="11"/>
          </w:tcPr>
          <w:p>
            <w:pPr>
              <w:ind w:left="80"/>
              <w:spacing w:after="0"/>
              <w:rPr>
                <w:sz w:val="20"/>
                <w:szCs w:val="20"/>
                <w:color w:val="auto"/>
              </w:rPr>
            </w:pPr>
            <w:r>
              <w:rPr>
                <w:rFonts w:ascii="Courier New" w:cs="Courier New" w:eastAsia="Courier New" w:hAnsi="Courier New"/>
                <w:sz w:val="15"/>
                <w:szCs w:val="15"/>
                <w:color w:val="auto"/>
              </w:rPr>
              <w:t>agreements could result in cancellation charges.</w:t>
            </w: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5"/>
        </w:trPr>
        <w:tc>
          <w:tcPr>
            <w:tcW w:w="1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PURCHASED POWER</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7"/>
        </w:trPr>
        <w:tc>
          <w:tcPr>
            <w:tcW w:w="304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PGE has long-term power purchase</w:t>
            </w:r>
          </w:p>
        </w:tc>
        <w:tc>
          <w:tcPr>
            <w:tcW w:w="116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contracts</w:t>
            </w:r>
          </w:p>
        </w:tc>
        <w:tc>
          <w:tcPr>
            <w:tcW w:w="2020" w:type="dxa"/>
            <w:vAlign w:val="bottom"/>
            <w:gridSpan w:val="3"/>
          </w:tcPr>
          <w:p>
            <w:pPr>
              <w:jc w:val="right"/>
              <w:ind w:right="803"/>
              <w:spacing w:after="0"/>
              <w:rPr>
                <w:sz w:val="20"/>
                <w:szCs w:val="20"/>
                <w:color w:val="auto"/>
              </w:rPr>
            </w:pPr>
            <w:r>
              <w:rPr>
                <w:rFonts w:ascii="Courier New" w:cs="Courier New" w:eastAsia="Courier New" w:hAnsi="Courier New"/>
                <w:sz w:val="15"/>
                <w:szCs w:val="15"/>
                <w:color w:val="auto"/>
              </w:rPr>
              <w:t>with certain</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60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public utility districts in the state</w:t>
            </w:r>
          </w:p>
        </w:tc>
        <w:tc>
          <w:tcPr>
            <w:tcW w:w="138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of Washington</w:t>
            </w:r>
          </w:p>
        </w:tc>
        <w:tc>
          <w:tcPr>
            <w:tcW w:w="12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and</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with</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the</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City</w:t>
            </w:r>
          </w:p>
        </w:tc>
        <w:tc>
          <w:tcPr>
            <w:tcW w:w="130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of Portland,</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Oregon.</w:t>
            </w:r>
          </w:p>
        </w:tc>
        <w:tc>
          <w:tcPr>
            <w:tcW w:w="2620" w:type="dxa"/>
            <w:vAlign w:val="bottom"/>
            <w:gridSpan w:val="5"/>
          </w:tcPr>
          <w:p>
            <w:pPr>
              <w:jc w:val="right"/>
              <w:ind w:right="803"/>
              <w:spacing w:after="0"/>
              <w:rPr>
                <w:sz w:val="20"/>
                <w:szCs w:val="20"/>
                <w:color w:val="auto"/>
              </w:rPr>
            </w:pPr>
            <w:r>
              <w:rPr>
                <w:rFonts w:ascii="Courier New" w:cs="Courier New" w:eastAsia="Courier New" w:hAnsi="Courier New"/>
                <w:sz w:val="15"/>
                <w:szCs w:val="15"/>
                <w:color w:val="auto"/>
              </w:rPr>
              <w:t>PGE is required to</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22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pay its proportionate</w:t>
            </w:r>
          </w:p>
        </w:tc>
        <w:tc>
          <w:tcPr>
            <w:tcW w:w="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of</w:t>
            </w:r>
          </w:p>
        </w:tc>
        <w:tc>
          <w:tcPr>
            <w:tcW w:w="56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2620" w:type="dxa"/>
            <w:vAlign w:val="bottom"/>
            <w:gridSpan w:val="5"/>
          </w:tcPr>
          <w:p>
            <w:pPr>
              <w:jc w:val="right"/>
              <w:ind w:right="803"/>
              <w:spacing w:after="0"/>
              <w:rPr>
                <w:sz w:val="20"/>
                <w:szCs w:val="20"/>
                <w:color w:val="auto"/>
              </w:rPr>
            </w:pPr>
            <w:r>
              <w:rPr>
                <w:rFonts w:ascii="Courier New" w:cs="Courier New" w:eastAsia="Courier New" w:hAnsi="Courier New"/>
                <w:sz w:val="15"/>
                <w:szCs w:val="15"/>
                <w:color w:val="auto"/>
              </w:rPr>
              <w:t>operating and debt</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4200" w:type="dxa"/>
            <w:vAlign w:val="bottom"/>
            <w:gridSpan w:val="10"/>
          </w:tcPr>
          <w:p>
            <w:pPr>
              <w:ind w:left="80"/>
              <w:spacing w:after="0"/>
              <w:rPr>
                <w:sz w:val="20"/>
                <w:szCs w:val="20"/>
                <w:color w:val="auto"/>
              </w:rPr>
            </w:pPr>
            <w:r>
              <w:rPr>
                <w:rFonts w:ascii="Courier New" w:cs="Courier New" w:eastAsia="Courier New" w:hAnsi="Courier New"/>
                <w:sz w:val="15"/>
                <w:szCs w:val="15"/>
                <w:color w:val="auto"/>
              </w:rPr>
              <w:t>service costs of the hydro projects whether</w:t>
            </w:r>
          </w:p>
        </w:tc>
        <w:tc>
          <w:tcPr>
            <w:tcW w:w="3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or</w:t>
            </w:r>
          </w:p>
        </w:tc>
        <w:tc>
          <w:tcPr>
            <w:tcW w:w="166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not they</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15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are operable.</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532"/>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49</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52" w:name="page53"/>
    <w:bookmarkEnd w:id="52"/>
    <w:p>
      <w:pPr>
        <w:ind w:left="80" w:right="5059" w:hanging="91"/>
        <w:spacing w:after="0" w:line="253" w:lineRule="auto"/>
        <w:rPr>
          <w:sz w:val="20"/>
          <w:szCs w:val="20"/>
          <w:color w:val="auto"/>
        </w:rPr>
      </w:pPr>
      <w:r>
        <w:rPr>
          <w:rFonts w:ascii="Courier New" w:cs="Courier New" w:eastAsia="Courier New" w:hAnsi="Courier New"/>
          <w:sz w:val="15"/>
          <w:szCs w:val="15"/>
          <w:color w:val="auto"/>
        </w:rPr>
        <w:t>Selected information is summarized as follows (thousands of dollars):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12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ROCKY</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PRIEST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PORTLAND</w:t>
            </w:r>
          </w:p>
        </w:tc>
      </w:tr>
      <w:tr>
        <w:trPr>
          <w:trHeight w:val="177"/>
        </w:trPr>
        <w:tc>
          <w:tcPr>
            <w:tcW w:w="3740" w:type="dxa"/>
            <w:vAlign w:val="bottom"/>
          </w:tcPr>
          <w:p>
            <w:pPr>
              <w:spacing w:after="0"/>
              <w:rPr>
                <w:sz w:val="15"/>
                <w:szCs w:val="15"/>
                <w:color w:val="auto"/>
              </w:rPr>
            </w:pPr>
          </w:p>
        </w:tc>
        <w:tc>
          <w:tcPr>
            <w:tcW w:w="12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REACH</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RAPIDS</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WANAPUM</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WELLS</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HYDRO</w:t>
            </w:r>
          </w:p>
        </w:tc>
      </w:tr>
      <w:tr>
        <w:trPr>
          <w:trHeight w:val="355"/>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Revenue bonds outstanding at</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37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1995</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$210,322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$128,360</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$183,135</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$189,540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$ 38,045</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PGE's current share of:</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Output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18.7%</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Net capability (megawatts)</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156</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Annual cost, including debt service:</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service:</w:t>
            </w: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3740" w:type="dxa"/>
            <w:vAlign w:val="bottom"/>
          </w:tcPr>
          <w:p>
            <w:pPr>
              <w:ind w:left="740"/>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$3,900</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$4,700</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$5,700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$4,300</w:t>
            </w:r>
          </w:p>
        </w:tc>
      </w:tr>
      <w:tr>
        <w:trPr>
          <w:trHeight w:val="177"/>
        </w:trPr>
        <w:tc>
          <w:tcPr>
            <w:tcW w:w="3740" w:type="dxa"/>
            <w:vAlign w:val="bottom"/>
          </w:tcPr>
          <w:p>
            <w:pPr>
              <w:ind w:left="740"/>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4,800</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4,600</w:t>
            </w:r>
          </w:p>
        </w:tc>
      </w:tr>
      <w:tr>
        <w:trPr>
          <w:trHeight w:val="177"/>
        </w:trPr>
        <w:tc>
          <w:tcPr>
            <w:tcW w:w="3740" w:type="dxa"/>
            <w:vAlign w:val="bottom"/>
          </w:tcPr>
          <w:p>
            <w:pPr>
              <w:ind w:left="740"/>
              <w:spacing w:after="0"/>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3,800</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5,400</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4,800</w:t>
            </w:r>
          </w:p>
        </w:tc>
      </w:tr>
      <w:tr>
        <w:trPr>
          <w:trHeight w:val="177"/>
        </w:trPr>
        <w:tc>
          <w:tcPr>
            <w:tcW w:w="3740" w:type="dxa"/>
            <w:vAlign w:val="bottom"/>
          </w:tcPr>
          <w:p>
            <w:pPr>
              <w:ind w:left="80"/>
              <w:spacing w:after="0"/>
              <w:rPr>
                <w:sz w:val="20"/>
                <w:szCs w:val="20"/>
                <w:color w:val="auto"/>
              </w:rPr>
            </w:pPr>
            <w:r>
              <w:rPr>
                <w:rFonts w:ascii="Courier New" w:cs="Courier New" w:eastAsia="Courier New" w:hAnsi="Courier New"/>
                <w:sz w:val="15"/>
                <w:szCs w:val="15"/>
                <w:color w:val="auto"/>
              </w:rPr>
              <w:t>Contract expiration date</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2009</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2017</w:t>
            </w:r>
          </w:p>
        </w:tc>
      </w:tr>
      <w:tr>
        <w:trPr>
          <w:trHeight w:val="710"/>
        </w:trPr>
        <w:tc>
          <w:tcPr>
            <w:tcW w:w="59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PGE's  share  of  debt service costs, excluding interest,</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will be approximately $9 million for 1996, $4 million</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annually</w:t>
            </w:r>
          </w:p>
        </w:tc>
        <w:tc>
          <w:tcPr>
            <w:tcW w:w="142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for 1997 and</w:t>
            </w: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1998 and $6 million annually for 1999 and 2000.  The</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minimum</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payments</w:t>
            </w: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through the remainder of the contracts are estimated to total $93 million.</w:t>
      </w:r>
    </w:p>
    <w:p>
      <w:pPr>
        <w:spacing w:after="0" w:line="185" w:lineRule="exact"/>
        <w:rPr>
          <w:sz w:val="20"/>
          <w:szCs w:val="20"/>
          <w:color w:val="auto"/>
        </w:rPr>
      </w:pPr>
    </w:p>
    <w:p>
      <w:pPr>
        <w:jc w:val="center"/>
        <w:ind w:right="4799"/>
        <w:spacing w:after="0" w:line="250" w:lineRule="auto"/>
        <w:rPr>
          <w:sz w:val="20"/>
          <w:szCs w:val="20"/>
          <w:color w:val="auto"/>
        </w:rPr>
      </w:pPr>
      <w:r>
        <w:rPr>
          <w:rFonts w:ascii="Courier New" w:cs="Courier New" w:eastAsia="Courier New" w:hAnsi="Courier New"/>
          <w:sz w:val="15"/>
          <w:szCs w:val="15"/>
          <w:color w:val="auto"/>
        </w:rPr>
        <w:t>PGE has entered  into  long-term  contracts  to  purchase power from other utilities in the West.  These contracts will require fixed payments of up to $37 million in 1996,</w:t>
      </w:r>
    </w:p>
    <w:p>
      <w:pPr>
        <w:spacing w:after="0" w:line="1" w:lineRule="exact"/>
        <w:rPr>
          <w:sz w:val="20"/>
          <w:szCs w:val="20"/>
          <w:color w:val="auto"/>
        </w:rPr>
      </w:pPr>
    </w:p>
    <w:p>
      <w:pPr>
        <w:ind w:left="80" w:right="3019"/>
        <w:spacing w:after="0" w:line="252" w:lineRule="auto"/>
        <w:rPr>
          <w:sz w:val="20"/>
          <w:szCs w:val="20"/>
          <w:color w:val="auto"/>
        </w:rPr>
      </w:pPr>
      <w:r>
        <w:rPr>
          <w:rFonts w:ascii="Courier New" w:cs="Courier New" w:eastAsia="Courier New" w:hAnsi="Courier New"/>
          <w:sz w:val="15"/>
          <w:szCs w:val="15"/>
          <w:color w:val="auto"/>
        </w:rPr>
        <w:t>$27 million in 1997, and $26 million in both 1998 and 1999 and $21 million in 2000. After that date, capacity contract charges will average $19 million annually until 2016.</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LEASES</w:t>
      </w:r>
    </w:p>
    <w:p>
      <w:pPr>
        <w:spacing w:after="0" w:line="8" w:lineRule="exact"/>
        <w:rPr>
          <w:sz w:val="20"/>
          <w:szCs w:val="20"/>
          <w:color w:val="auto"/>
        </w:rPr>
      </w:pPr>
    </w:p>
    <w:p>
      <w:pPr>
        <w:jc w:val="center"/>
        <w:ind w:right="4799"/>
        <w:spacing w:after="0" w:line="250" w:lineRule="auto"/>
        <w:rPr>
          <w:sz w:val="20"/>
          <w:szCs w:val="20"/>
          <w:color w:val="auto"/>
        </w:rPr>
      </w:pPr>
      <w:r>
        <w:rPr>
          <w:rFonts w:ascii="Courier New" w:cs="Courier New" w:eastAsia="Courier New" w:hAnsi="Courier New"/>
          <w:sz w:val="15"/>
          <w:szCs w:val="15"/>
          <w:color w:val="auto"/>
        </w:rPr>
        <w:t>PGE  has  operating  and capital leasing arrangements for its headquarters complex,  combustion  turbines  and  the coal-handling  facilities  and certain railroad cars for Boardman.  PGE's aggregate rental  payments  charged  to</w:t>
      </w:r>
    </w:p>
    <w:p>
      <w:pPr>
        <w:spacing w:after="0" w:line="2" w:lineRule="exact"/>
        <w:rPr>
          <w:sz w:val="20"/>
          <w:szCs w:val="20"/>
          <w:color w:val="auto"/>
        </w:rPr>
      </w:pPr>
    </w:p>
    <w:p>
      <w:pPr>
        <w:ind w:left="180" w:right="3399" w:hanging="91"/>
        <w:spacing w:after="0" w:line="250" w:lineRule="auto"/>
        <w:rPr>
          <w:sz w:val="20"/>
          <w:szCs w:val="20"/>
          <w:color w:val="auto"/>
        </w:rPr>
      </w:pPr>
      <w:r>
        <w:rPr>
          <w:rFonts w:ascii="Courier New" w:cs="Courier New" w:eastAsia="Courier New" w:hAnsi="Courier New"/>
          <w:sz w:val="15"/>
          <w:szCs w:val="15"/>
          <w:color w:val="auto"/>
        </w:rPr>
        <w:t>expense</w:t>
      </w:r>
      <w:r>
        <w:rPr>
          <w:sz w:val="20"/>
          <w:szCs w:val="20"/>
          <w:color w:val="auto"/>
        </w:rPr>
        <w:t xml:space="preserve"> </w:t>
      </w:r>
      <w:r>
        <w:rPr>
          <w:rFonts w:ascii="Courier New" w:cs="Courier New" w:eastAsia="Courier New" w:hAnsi="Courier New"/>
          <w:sz w:val="15"/>
          <w:szCs w:val="15"/>
          <w:color w:val="auto"/>
        </w:rPr>
        <w:t>amounted to $21 million for 1995, and $22 million annually for 1994 and 1993. PGE has capitalized its combustion</w:t>
      </w:r>
    </w:p>
    <w:p>
      <w:pPr>
        <w:spacing w:after="0" w:line="1" w:lineRule="exact"/>
        <w:rPr>
          <w:sz w:val="20"/>
          <w:szCs w:val="20"/>
          <w:color w:val="auto"/>
        </w:rPr>
      </w:pPr>
    </w:p>
    <w:p>
      <w:pPr>
        <w:ind w:left="80" w:right="4879"/>
        <w:spacing w:after="0" w:line="253" w:lineRule="auto"/>
        <w:rPr>
          <w:sz w:val="20"/>
          <w:szCs w:val="20"/>
          <w:color w:val="auto"/>
        </w:rPr>
      </w:pPr>
      <w:r>
        <w:rPr>
          <w:rFonts w:ascii="Courier New" w:cs="Courier New" w:eastAsia="Courier New" w:hAnsi="Courier New"/>
          <w:sz w:val="15"/>
          <w:szCs w:val="15"/>
          <w:color w:val="auto"/>
        </w:rPr>
        <w:t>turbine leases. However, these leases are considered operating leases for ratemaking purposes.</w:t>
      </w:r>
    </w:p>
    <w:p>
      <w:pPr>
        <w:spacing w:after="0" w:line="174" w:lineRule="exact"/>
        <w:rPr>
          <w:sz w:val="20"/>
          <w:szCs w:val="20"/>
          <w:color w:val="auto"/>
        </w:rPr>
      </w:pPr>
    </w:p>
    <w:p>
      <w:pPr>
        <w:ind w:left="80" w:right="4879"/>
        <w:spacing w:after="0" w:line="253" w:lineRule="auto"/>
        <w:rPr>
          <w:sz w:val="20"/>
          <w:szCs w:val="20"/>
          <w:color w:val="auto"/>
        </w:rPr>
      </w:pPr>
      <w:r>
        <w:rPr>
          <w:rFonts w:ascii="Courier New" w:cs="Courier New" w:eastAsia="Courier New" w:hAnsi="Courier New"/>
          <w:sz w:val="15"/>
          <w:szCs w:val="15"/>
          <w:color w:val="auto"/>
        </w:rPr>
        <w:t>Future minimum lease payments under non-cancelable leases are as follows (thousands of dollars):</w:t>
      </w:r>
    </w:p>
    <w:p>
      <w:pPr>
        <w:spacing w:after="0" w:line="200" w:lineRule="exact"/>
        <w:rPr>
          <w:sz w:val="20"/>
          <w:szCs w:val="20"/>
          <w:color w:val="auto"/>
        </w:rPr>
      </w:pP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940" w:type="dxa"/>
            <w:vAlign w:val="bottom"/>
          </w:tcPr>
          <w:p>
            <w:pPr>
              <w:ind w:left="640"/>
              <w:spacing w:after="0"/>
              <w:rPr>
                <w:sz w:val="20"/>
                <w:szCs w:val="20"/>
                <w:color w:val="auto"/>
              </w:rPr>
            </w:pPr>
            <w:r>
              <w:rPr>
                <w:rFonts w:ascii="Courier New" w:cs="Courier New" w:eastAsia="Courier New" w:hAnsi="Courier New"/>
                <w:sz w:val="15"/>
                <w:szCs w:val="15"/>
                <w:color w:val="auto"/>
              </w:rPr>
              <w:t>YEAR ENDING</w:t>
            </w:r>
          </w:p>
        </w:tc>
        <w:tc>
          <w:tcPr>
            <w:tcW w:w="1840" w:type="dxa"/>
            <w:vAlign w:val="bottom"/>
          </w:tcPr>
          <w:p>
            <w:pPr>
              <w:spacing w:after="0"/>
              <w:rPr>
                <w:sz w:val="14"/>
                <w:szCs w:val="14"/>
                <w:color w:val="auto"/>
              </w:rPr>
            </w:pPr>
          </w:p>
        </w:tc>
        <w:tc>
          <w:tcPr>
            <w:tcW w:w="28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OPERATING LEASES</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7"/>
        </w:trPr>
        <w:tc>
          <w:tcPr>
            <w:tcW w:w="1940" w:type="dxa"/>
            <w:vAlign w:val="bottom"/>
          </w:tcPr>
          <w:p>
            <w:pPr>
              <w:ind w:left="640"/>
              <w:spacing w:after="0"/>
              <w:rPr>
                <w:sz w:val="20"/>
                <w:szCs w:val="20"/>
                <w:color w:val="auto"/>
              </w:rPr>
            </w:pPr>
            <w:r>
              <w:rPr>
                <w:rFonts w:ascii="Courier New" w:cs="Courier New" w:eastAsia="Courier New" w:hAnsi="Courier New"/>
                <w:sz w:val="15"/>
                <w:szCs w:val="15"/>
                <w:color w:val="auto"/>
              </w:rPr>
              <w:t>DECEMBER 31</w:t>
            </w:r>
          </w:p>
        </w:tc>
        <w:tc>
          <w:tcPr>
            <w:tcW w:w="1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CAPITAL LEASES</w:t>
            </w:r>
          </w:p>
        </w:tc>
        <w:tc>
          <w:tcPr>
            <w:tcW w:w="28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(NET OF SUBLEASE RENTALS)</w:t>
            </w:r>
          </w:p>
        </w:tc>
        <w:tc>
          <w:tcPr>
            <w:tcW w:w="38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w:t>
            </w:r>
          </w:p>
        </w:tc>
      </w:tr>
      <w:tr>
        <w:trPr>
          <w:trHeight w:val="355"/>
        </w:trPr>
        <w:tc>
          <w:tcPr>
            <w:tcW w:w="19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$ 3,016</w:t>
            </w:r>
          </w:p>
        </w:tc>
        <w:tc>
          <w:tcPr>
            <w:tcW w:w="286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$ 19,127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22,143</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3,016</w:t>
            </w:r>
          </w:p>
        </w:tc>
        <w:tc>
          <w:tcPr>
            <w:tcW w:w="286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18,326</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21,342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3,016</w:t>
            </w:r>
          </w:p>
        </w:tc>
        <w:tc>
          <w:tcPr>
            <w:tcW w:w="286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18,403</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21,419</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1,388</w:t>
            </w:r>
          </w:p>
        </w:tc>
        <w:tc>
          <w:tcPr>
            <w:tcW w:w="286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19,454</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20,842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19,768</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19,768</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Remainder</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152,756</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152,756</w:t>
            </w:r>
          </w:p>
        </w:tc>
      </w:tr>
      <w:tr>
        <w:trPr>
          <w:trHeight w:val="177"/>
        </w:trPr>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10,436</w:t>
            </w:r>
          </w:p>
        </w:tc>
        <w:tc>
          <w:tcPr>
            <w:tcW w:w="286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$247,834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258,270</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Imputed Interest</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(1,083)</w:t>
            </w:r>
          </w:p>
        </w:tc>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Present Value of</w:t>
            </w:r>
          </w:p>
        </w:tc>
        <w:tc>
          <w:tcPr>
            <w:tcW w:w="18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Minimum Future</w:t>
            </w:r>
          </w:p>
        </w:tc>
        <w:tc>
          <w:tcPr>
            <w:tcW w:w="18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Lease Payments</w:t>
            </w:r>
          </w:p>
        </w:tc>
        <w:tc>
          <w:tcPr>
            <w:tcW w:w="18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$ 9,353</w:t>
            </w:r>
          </w:p>
        </w:tc>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360" w:lineRule="exact"/>
        <w:rPr>
          <w:sz w:val="20"/>
          <w:szCs w:val="20"/>
          <w:color w:val="auto"/>
        </w:rPr>
      </w:pPr>
    </w:p>
    <w:p>
      <w:pPr>
        <w:ind w:left="180"/>
        <w:spacing w:after="0"/>
        <w:tabs>
          <w:tab w:leader="none" w:pos="1080" w:val="left"/>
        </w:tabs>
        <w:rPr>
          <w:sz w:val="20"/>
          <w:szCs w:val="20"/>
          <w:color w:val="auto"/>
        </w:rPr>
      </w:pPr>
      <w:r>
        <w:rPr>
          <w:rFonts w:ascii="Courier New" w:cs="Courier New" w:eastAsia="Courier New" w:hAnsi="Courier New"/>
          <w:sz w:val="15"/>
          <w:szCs w:val="15"/>
          <w:color w:val="auto"/>
        </w:rPr>
        <w:t>Included</w:t>
        <w:tab/>
        <w:t>in the future minimum operating lease payments</w:t>
      </w:r>
    </w:p>
    <w:p>
      <w:pPr>
        <w:spacing w:after="0" w:line="8" w:lineRule="exact"/>
        <w:rPr>
          <w:sz w:val="20"/>
          <w:szCs w:val="20"/>
          <w:color w:val="auto"/>
        </w:rPr>
      </w:pPr>
    </w:p>
    <w:p>
      <w:pPr>
        <w:ind w:left="80"/>
        <w:spacing w:after="0"/>
        <w:tabs>
          <w:tab w:leader="none" w:pos="1540" w:val="left"/>
        </w:tabs>
        <w:rPr>
          <w:sz w:val="20"/>
          <w:szCs w:val="20"/>
          <w:color w:val="auto"/>
        </w:rPr>
      </w:pPr>
      <w:r>
        <w:rPr>
          <w:rFonts w:ascii="Courier New" w:cs="Courier New" w:eastAsia="Courier New" w:hAnsi="Courier New"/>
          <w:sz w:val="15"/>
          <w:szCs w:val="15"/>
          <w:color w:val="auto"/>
        </w:rPr>
        <w:t>schedule above</w:t>
        <w:tab/>
        <w:t>is approximately $129 million for Portland General's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PGE's headquarters complex.</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5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NOTE 10 - JOINTLY OWNED PLANT</w:t>
      </w:r>
    </w:p>
    <w:p>
      <w:pPr>
        <w:spacing w:after="0" w:line="185" w:lineRule="exact"/>
        <w:rPr>
          <w:sz w:val="20"/>
          <w:szCs w:val="20"/>
          <w:color w:val="auto"/>
        </w:rPr>
      </w:pPr>
    </w:p>
    <w:p>
      <w:pPr>
        <w:jc w:val="right"/>
        <w:ind w:left="80" w:right="4879"/>
        <w:spacing w:after="0" w:line="250" w:lineRule="auto"/>
        <w:rPr>
          <w:sz w:val="20"/>
          <w:szCs w:val="20"/>
          <w:color w:val="auto"/>
        </w:rPr>
      </w:pPr>
      <w:r>
        <w:rPr>
          <w:rFonts w:ascii="Courier New" w:cs="Courier New" w:eastAsia="Courier New" w:hAnsi="Courier New"/>
          <w:sz w:val="15"/>
          <w:szCs w:val="15"/>
          <w:color w:val="auto"/>
        </w:rPr>
        <w:t>At December 31, 1995,  PGE  had the following investments in  jointly owned  generating  plants   (thousands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dollars):</w:t>
      </w:r>
    </w:p>
    <w:p>
      <w:pPr>
        <w:spacing w:after="0" w:line="200" w:lineRule="exact"/>
        <w:rPr>
          <w:sz w:val="20"/>
          <w:szCs w:val="20"/>
          <w:color w:val="auto"/>
        </w:r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MW</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PGE %</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PLANT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ACCUMULATED</w:t>
            </w:r>
          </w:p>
        </w:tc>
      </w:tr>
      <w:tr>
        <w:trPr>
          <w:trHeight w:val="177"/>
        </w:trPr>
        <w:tc>
          <w:tcPr>
            <w:tcW w:w="1400" w:type="dxa"/>
            <w:vAlign w:val="bottom"/>
          </w:tcPr>
          <w:p>
            <w:pPr>
              <w:ind w:left="200"/>
              <w:spacing w:after="0"/>
              <w:rPr>
                <w:sz w:val="20"/>
                <w:szCs w:val="20"/>
                <w:color w:val="auto"/>
              </w:rPr>
            </w:pPr>
            <w:r>
              <w:rPr>
                <w:rFonts w:ascii="Courier New" w:cs="Courier New" w:eastAsia="Courier New" w:hAnsi="Courier New"/>
                <w:sz w:val="15"/>
                <w:szCs w:val="15"/>
                <w:color w:val="auto"/>
              </w:rPr>
              <w:t>FACILITY</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LOCATION</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FUEL</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CAPACITY</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INTEREST</w:t>
            </w:r>
          </w:p>
        </w:tc>
        <w:tc>
          <w:tcPr>
            <w:tcW w:w="13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IN SERVICE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r>
      <w:tr>
        <w:trPr>
          <w:trHeight w:val="355"/>
        </w:trPr>
        <w:tc>
          <w:tcPr>
            <w:tcW w:w="1400" w:type="dxa"/>
            <w:vAlign w:val="bottom"/>
          </w:tcPr>
          <w:p>
            <w:pPr>
              <w:spacing w:after="0"/>
              <w:rPr>
                <w:sz w:val="20"/>
                <w:szCs w:val="20"/>
                <w:color w:val="auto"/>
              </w:rPr>
            </w:pPr>
            <w:r>
              <w:rPr>
                <w:rFonts w:ascii="Courier New" w:cs="Courier New" w:eastAsia="Courier New" w:hAnsi="Courier New"/>
                <w:sz w:val="15"/>
                <w:szCs w:val="15"/>
                <w:color w:val="auto"/>
              </w:rPr>
              <w:t>Boardman</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Boardman, OR</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Coal</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508</w:t>
            </w:r>
          </w:p>
        </w:tc>
        <w:tc>
          <w:tcPr>
            <w:tcW w:w="12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65.0</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$370,721</w:t>
            </w:r>
          </w:p>
        </w:tc>
        <w:tc>
          <w:tcPr>
            <w:tcW w:w="13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$176,365</w:t>
            </w:r>
          </w:p>
        </w:tc>
      </w:tr>
      <w:tr>
        <w:trPr>
          <w:trHeight w:val="177"/>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Colstrip 3&amp;4</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Colstrip, MT</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Coal</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1,440</w:t>
            </w:r>
          </w:p>
        </w:tc>
        <w:tc>
          <w:tcPr>
            <w:tcW w:w="12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20.0</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451,176</w:t>
            </w:r>
          </w:p>
        </w:tc>
        <w:tc>
          <w:tcPr>
            <w:tcW w:w="13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189,799</w:t>
            </w:r>
          </w:p>
        </w:tc>
      </w:tr>
      <w:tr>
        <w:trPr>
          <w:trHeight w:val="177"/>
        </w:trPr>
        <w:tc>
          <w:tcPr>
            <w:tcW w:w="1400" w:type="dxa"/>
            <w:vAlign w:val="bottom"/>
          </w:tcPr>
          <w:p>
            <w:pPr>
              <w:spacing w:after="0"/>
              <w:rPr>
                <w:sz w:val="20"/>
                <w:szCs w:val="20"/>
                <w:color w:val="auto"/>
              </w:rPr>
            </w:pPr>
            <w:r>
              <w:rPr>
                <w:rFonts w:ascii="Courier New" w:cs="Courier New" w:eastAsia="Courier New" w:hAnsi="Courier New"/>
                <w:sz w:val="15"/>
                <w:szCs w:val="15"/>
                <w:color w:val="auto"/>
              </w:rPr>
              <w:t>Centralia</w:t>
            </w:r>
          </w:p>
        </w:tc>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Centralia, WA</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Coal</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1,310</w:t>
            </w:r>
          </w:p>
        </w:tc>
        <w:tc>
          <w:tcPr>
            <w:tcW w:w="12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2.5</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9,649</w:t>
            </w:r>
          </w:p>
        </w:tc>
        <w:tc>
          <w:tcPr>
            <w:tcW w:w="13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5,665</w:t>
            </w:r>
          </w:p>
        </w:tc>
      </w:tr>
    </w:tbl>
    <w:p>
      <w:pPr>
        <w:spacing w:after="0" w:line="200" w:lineRule="exact"/>
        <w:rPr>
          <w:sz w:val="20"/>
          <w:szCs w:val="20"/>
          <w:color w:val="auto"/>
        </w:rPr>
      </w:pPr>
    </w:p>
    <w:p>
      <w:pPr>
        <w:spacing w:after="0" w:line="338" w:lineRule="exact"/>
        <w:rPr>
          <w:sz w:val="20"/>
          <w:szCs w:val="20"/>
          <w:color w:val="auto"/>
        </w:rPr>
      </w:pPr>
    </w:p>
    <w:p>
      <w:pPr>
        <w:jc w:val="center"/>
        <w:ind w:right="4799"/>
        <w:spacing w:after="0" w:line="250" w:lineRule="auto"/>
        <w:rPr>
          <w:sz w:val="20"/>
          <w:szCs w:val="20"/>
          <w:color w:val="auto"/>
        </w:rPr>
      </w:pPr>
      <w:r>
        <w:rPr>
          <w:rFonts w:ascii="Courier New" w:cs="Courier New" w:eastAsia="Courier New" w:hAnsi="Courier New"/>
          <w:sz w:val="15"/>
          <w:szCs w:val="15"/>
          <w:color w:val="auto"/>
        </w:rPr>
        <w:t>The  dollar  amounts  in  the table above represent PGE's share of each jointly owned  plant.   Each participant in the  above  generating  plants  has  provided   its  own financing.  PGE's share of the direct expenses of  these plants   is  included  in  the  corresponding  operating expenses on  Portland  General's  and  PGE's consolidated</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statements.</w:t>
      </w:r>
    </w:p>
    <w:p>
      <w:pPr>
        <w:spacing w:after="0" w:line="36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11 - TROJAN NUCLEAR PLANT</w:t>
      </w:r>
    </w:p>
    <w:p>
      <w:pPr>
        <w:spacing w:after="0" w:line="185" w:lineRule="exact"/>
        <w:rPr>
          <w:sz w:val="20"/>
          <w:szCs w:val="20"/>
          <w:color w:val="auto"/>
        </w:rPr>
      </w:pPr>
    </w:p>
    <w:p>
      <w:pPr>
        <w:jc w:val="right"/>
        <w:ind w:left="80" w:right="4879"/>
        <w:spacing w:after="0" w:line="250" w:lineRule="auto"/>
        <w:rPr>
          <w:sz w:val="20"/>
          <w:szCs w:val="20"/>
          <w:color w:val="auto"/>
        </w:rPr>
      </w:pPr>
      <w:r>
        <w:rPr>
          <w:rFonts w:ascii="Courier New" w:cs="Courier New" w:eastAsia="Courier New" w:hAnsi="Courier New"/>
          <w:sz w:val="15"/>
          <w:szCs w:val="15"/>
          <w:color w:val="auto"/>
        </w:rPr>
        <w:t>PLANT  SHUTDOWN AND TRANSITION COSTS - PGE  is  a  67.5% owner of  Trojan.   In  early 1993, PGE ceased commercial operation of the nuclear plant.  Since plant closure, PGE has committed itself to a  safe and economical transition toward  a  decommissioned plant.   Remaining  transition costs associated  with   operating  and  maintaining  the spent   fuel   pool   and   securing  the  plant  until dismantlement begins in 1998 are estimated at $37 million</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will be paid from current operating funds.</w:t>
      </w:r>
    </w:p>
    <w:p>
      <w:pPr>
        <w:spacing w:after="0" w:line="185" w:lineRule="exact"/>
        <w:rPr>
          <w:sz w:val="20"/>
          <w:szCs w:val="20"/>
          <w:color w:val="auto"/>
        </w:rPr>
      </w:pPr>
    </w:p>
    <w:p>
      <w:pPr>
        <w:jc w:val="center"/>
        <w:ind w:right="4799"/>
        <w:spacing w:after="0" w:line="250" w:lineRule="auto"/>
        <w:rPr>
          <w:sz w:val="20"/>
          <w:szCs w:val="20"/>
          <w:color w:val="auto"/>
        </w:rPr>
      </w:pPr>
      <w:r>
        <w:rPr>
          <w:rFonts w:ascii="Courier New" w:cs="Courier New" w:eastAsia="Courier New" w:hAnsi="Courier New"/>
          <w:sz w:val="15"/>
          <w:szCs w:val="15"/>
          <w:color w:val="auto"/>
        </w:rPr>
        <w:t>DECOMMISSIONING   -   In   1995,   PGE    submitted   a decommissioning  plan  to  the  NRC and EFSC.  The  plan estimates  PGE's  cost to decommission  Trojan  at  $358 million, reflected in  nominal  dollars  (actual  dollars expected to be spent in each year).  The plan represents</w:t>
      </w:r>
    </w:p>
    <w:p>
      <w:pPr>
        <w:spacing w:after="0" w:line="2" w:lineRule="exact"/>
        <w:rPr>
          <w:sz w:val="20"/>
          <w:szCs w:val="20"/>
          <w:color w:val="auto"/>
        </w:rPr>
      </w:pPr>
    </w:p>
    <w:p>
      <w:pPr>
        <w:jc w:val="right"/>
        <w:ind w:left="80" w:right="4879" w:firstLine="7"/>
        <w:spacing w:after="0" w:line="250" w:lineRule="auto"/>
        <w:tabs>
          <w:tab w:leader="none" w:pos="35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site-specific  decommissioning  estimate performed for Trojan by an engineering firm experienced  in  estimating the  cost  of  decommissioning  nuclear  plants.   This estimate  assumes  that  the  majority of decommissioning activities will occur between 1997  and  2001, while fuel management  costs  extend through the year 2018.   Final site restoration activities  are  anticipated to begin in 2018 after PGE completes shipment of  spent  fuel  to  a USDOE  facility (see the Nuclear Fuel Disposal discussion below).   The cost estimate is adjusted periodically  due to  refinement  of  the  timing  and  scope  of  certain dismantlement  activities.   Stated  in 1995 dollars, the</w:t>
      </w:r>
    </w:p>
    <w:p>
      <w:pPr>
        <w:spacing w:after="0" w:line="5"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 decommissioning cost estimate is $246 million.</w:t>
      </w:r>
    </w:p>
    <w:p>
      <w:pPr>
        <w:spacing w:after="0" w:line="185" w:lineRule="exact"/>
        <w:rPr>
          <w:sz w:val="20"/>
          <w:szCs w:val="20"/>
          <w:color w:val="auto"/>
        </w:rPr>
      </w:pPr>
    </w:p>
    <w:p>
      <w:pPr>
        <w:ind w:left="180"/>
        <w:spacing w:after="0"/>
        <w:tabs>
          <w:tab w:leader="none" w:pos="3840" w:val="left"/>
          <w:tab w:leader="none" w:pos="4400" w:val="left"/>
        </w:tabs>
        <w:rPr>
          <w:sz w:val="20"/>
          <w:szCs w:val="20"/>
          <w:color w:val="auto"/>
        </w:rPr>
      </w:pPr>
      <w:r>
        <w:rPr>
          <w:rFonts w:ascii="Courier New" w:cs="Courier New" w:eastAsia="Courier New" w:hAnsi="Courier New"/>
          <w:sz w:val="15"/>
          <w:szCs w:val="15"/>
          <w:color w:val="auto"/>
        </w:rPr>
        <w:t>Until plan approval, PGE is prohibited</w:t>
        <w:tab/>
        <w:t>from</w:t>
        <w:tab/>
        <w:t>initiating</w:t>
      </w:r>
    </w:p>
    <w:p>
      <w:pPr>
        <w:spacing w:after="0" w:line="8" w:lineRule="exact"/>
        <w:rPr>
          <w:sz w:val="20"/>
          <w:szCs w:val="20"/>
          <w:color w:val="auto"/>
        </w:rPr>
      </w:pPr>
    </w:p>
    <w:p>
      <w:pPr>
        <w:jc w:val="both"/>
        <w:ind w:left="80" w:right="4879" w:firstLine="185"/>
        <w:spacing w:after="0" w:line="251" w:lineRule="auto"/>
        <w:rPr>
          <w:sz w:val="20"/>
          <w:szCs w:val="20"/>
          <w:color w:val="auto"/>
        </w:rPr>
      </w:pPr>
      <w:r>
        <w:rPr>
          <w:rFonts w:ascii="Courier New" w:cs="Courier New" w:eastAsia="Courier New" w:hAnsi="Courier New"/>
          <w:sz w:val="15"/>
          <w:szCs w:val="15"/>
          <w:color w:val="auto"/>
        </w:rPr>
        <w:t>any major decommissioning activities. However, decommissioning planning and licensing activities are continuing. PGE anticipates approval by the NRC and EFSC of its decommissioning proposal during 1996.</w:t>
      </w:r>
    </w:p>
    <w:p>
      <w:pPr>
        <w:spacing w:after="0" w:line="176" w:lineRule="exact"/>
        <w:rPr>
          <w:sz w:val="20"/>
          <w:szCs w:val="20"/>
          <w:color w:val="auto"/>
        </w:rPr>
      </w:pPr>
    </w:p>
    <w:p>
      <w:pPr>
        <w:jc w:val="center"/>
        <w:ind w:right="4799"/>
        <w:spacing w:after="0" w:line="250" w:lineRule="auto"/>
        <w:rPr>
          <w:sz w:val="20"/>
          <w:szCs w:val="20"/>
          <w:color w:val="auto"/>
        </w:rPr>
      </w:pPr>
      <w:r>
        <w:rPr>
          <w:rFonts w:ascii="Courier New" w:cs="Courier New" w:eastAsia="Courier New" w:hAnsi="Courier New"/>
          <w:sz w:val="15"/>
          <w:szCs w:val="15"/>
          <w:color w:val="auto"/>
        </w:rPr>
        <w:t>PGE is collecting $14 million annually through  2011 from customers for decommissioning costs.  These amounts  are deposited  in an external trust fund which  is limited to reimbursing  PGE  for  activities  covered  in  Trojan's decommissioning  plan.   Funds were withdrawn during 1995 to cover the costs of large  component  removal.  Trojan decommissioning  trust  assets  are invested primarily in</w:t>
      </w:r>
    </w:p>
    <w:p>
      <w:pPr>
        <w:spacing w:after="0" w:line="3" w:lineRule="exact"/>
        <w:rPr>
          <w:sz w:val="20"/>
          <w:szCs w:val="20"/>
          <w:color w:val="auto"/>
        </w:rPr>
      </w:pPr>
    </w:p>
    <w:p>
      <w:pPr>
        <w:ind w:left="80" w:right="4039" w:firstLine="92"/>
        <w:spacing w:after="0" w:line="253" w:lineRule="auto"/>
        <w:rPr>
          <w:sz w:val="20"/>
          <w:szCs w:val="20"/>
          <w:color w:val="auto"/>
        </w:rPr>
      </w:pPr>
      <w:r>
        <w:rPr>
          <w:rFonts w:ascii="Courier New" w:cs="Courier New" w:eastAsia="Courier New" w:hAnsi="Courier New"/>
          <w:sz w:val="15"/>
          <w:szCs w:val="15"/>
          <w:color w:val="auto"/>
        </w:rPr>
        <w:t>investment-grade, tax-exempt and U.S. Treasury bonds. Year-end balances are valued at market.</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50" w:right="1440" w:bottom="1440" w:gutter="0" w:footer="0" w:header="0"/>
        </w:sectPr>
      </w:pPr>
    </w:p>
    <w:bookmarkStart w:id="54" w:name="page55"/>
    <w:bookmarkEnd w:id="54"/>
    <w:p>
      <w:pPr>
        <w:jc w:val="both"/>
        <w:ind w:left="100" w:right="4879" w:hanging="91"/>
        <w:spacing w:after="0" w:line="250" w:lineRule="auto"/>
        <w:rPr>
          <w:sz w:val="20"/>
          <w:szCs w:val="20"/>
          <w:color w:val="auto"/>
        </w:rPr>
      </w:pPr>
      <w:r>
        <w:rPr>
          <w:rFonts w:ascii="Courier New" w:cs="Courier New" w:eastAsia="Courier New" w:hAnsi="Courier New"/>
          <w:sz w:val="15"/>
          <w:szCs w:val="15"/>
          <w:color w:val="auto"/>
        </w:rPr>
        <w:t>Earnings on the trust</w:t>
      </w:r>
      <w:r>
        <w:rPr>
          <w:sz w:val="20"/>
          <w:szCs w:val="20"/>
          <w:color w:val="auto"/>
        </w:rPr>
        <w:t xml:space="preserve"> </w:t>
      </w:r>
      <w:r>
        <w:rPr>
          <w:rFonts w:ascii="Courier New" w:cs="Courier New" w:eastAsia="Courier New" w:hAnsi="Courier New"/>
          <w:sz w:val="15"/>
          <w:szCs w:val="15"/>
          <w:color w:val="auto"/>
        </w:rPr>
        <w:t>are used to reduce the amount of decommissioning costs to be collected from customers. PGE expects any future changes in estimated decommissioning costs to be incorporated in future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to be collected from customers.</w:t>
      </w:r>
    </w:p>
    <w:p>
      <w:pPr>
        <w:spacing w:after="0" w:line="185" w:lineRule="exact"/>
        <w:rPr>
          <w:sz w:val="20"/>
          <w:szCs w:val="20"/>
          <w:color w:val="auto"/>
        </w:rPr>
      </w:pPr>
    </w:p>
    <w:p>
      <w:pPr>
        <w:jc w:val="center"/>
        <w:ind w:right="4879"/>
        <w:spacing w:after="0" w:line="250" w:lineRule="auto"/>
        <w:rPr>
          <w:sz w:val="20"/>
          <w:szCs w:val="20"/>
          <w:color w:val="auto"/>
        </w:rPr>
      </w:pPr>
      <w:r>
        <w:rPr>
          <w:rFonts w:ascii="Courier New" w:cs="Courier New" w:eastAsia="Courier New" w:hAnsi="Courier New"/>
          <w:sz w:val="15"/>
          <w:szCs w:val="15"/>
          <w:color w:val="auto"/>
        </w:rPr>
        <w:t>INVESTMENT RECOVERY - The  OPUC  issued an order in March 1995  authorizing PGE to recover all  of  the  estimated costs of  decommissioning Trojan and 87% of the remaining investment  in  the  plant.   Amounts are to be collected over Trojan's original license period ending in 2011. The disallowed portion of the Trojan investment was comprised of  $17  million  of  post-1991 capital  expenditures, primarily related to steam  generator  repair activities, and  $20 million of general Trojan investment.   As  a result  of  this  disallowance, PGE recorded an after-tax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to income of $37 million.</w:t>
      </w:r>
    </w:p>
    <w:p>
      <w:pPr>
        <w:spacing w:after="0" w:line="185" w:lineRule="exact"/>
        <w:rPr>
          <w:sz w:val="20"/>
          <w:szCs w:val="20"/>
          <w:color w:val="auto"/>
        </w:rPr>
      </w:pPr>
    </w:p>
    <w:p>
      <w:pPr>
        <w:jc w:val="center"/>
        <w:ind w:right="4879"/>
        <w:spacing w:after="0" w:line="250" w:lineRule="auto"/>
        <w:rPr>
          <w:sz w:val="20"/>
          <w:szCs w:val="20"/>
          <w:color w:val="auto"/>
        </w:rPr>
      </w:pPr>
      <w:r>
        <w:rPr>
          <w:rFonts w:ascii="Courier New" w:cs="Courier New" w:eastAsia="Courier New" w:hAnsi="Courier New"/>
          <w:sz w:val="15"/>
          <w:szCs w:val="15"/>
          <w:color w:val="auto"/>
        </w:rPr>
        <w:t>The OPUC's order and  the  agency's  authority  to  grant recovery  of  the Trojan investment under Oregon law are being challenged  in  state  courts.  Management believes that the authorized recovery of the Trojan investment and decommissioning costs will be upheld and that these legal challenges will not have a material adverse impact on the results  of  operations or financial  condition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for any future reporting period.</w:t>
      </w:r>
    </w:p>
    <w:p>
      <w:pPr>
        <w:spacing w:after="0" w:line="185" w:lineRule="exact"/>
        <w:rPr>
          <w:sz w:val="20"/>
          <w:szCs w:val="20"/>
          <w:color w:val="auto"/>
        </w:rPr>
      </w:pPr>
    </w:p>
    <w:p>
      <w:pPr>
        <w:ind w:right="4879"/>
        <w:spacing w:after="0" w:line="250" w:lineRule="auto"/>
        <w:rPr>
          <w:sz w:val="20"/>
          <w:szCs w:val="20"/>
          <w:color w:val="auto"/>
        </w:rPr>
      </w:pPr>
      <w:r>
        <w:rPr>
          <w:rFonts w:ascii="Courier New" w:cs="Courier New" w:eastAsia="Courier New" w:hAnsi="Courier New"/>
          <w:sz w:val="15"/>
          <w:szCs w:val="15"/>
          <w:color w:val="auto"/>
        </w:rPr>
        <w:t>NUCLEAR FUEL DISPOSAL AND CLEANUP OF FEDERAL PLANTS - PGE contracted with the USDOE for permanent disposal of its spent nuclear fuel in federal facilities at a cost of</w:t>
      </w:r>
    </w:p>
    <w:p>
      <w:pPr>
        <w:spacing w:after="0" w:line="1" w:lineRule="exact"/>
        <w:rPr>
          <w:sz w:val="20"/>
          <w:szCs w:val="20"/>
          <w:color w:val="auto"/>
        </w:rPr>
      </w:pPr>
    </w:p>
    <w:p>
      <w:pPr>
        <w:jc w:val="center"/>
        <w:ind w:right="4879"/>
        <w:spacing w:after="0" w:line="250" w:lineRule="auto"/>
        <w:rPr>
          <w:sz w:val="20"/>
          <w:szCs w:val="20"/>
          <w:color w:val="auto"/>
        </w:rPr>
      </w:pPr>
      <w:r>
        <w:rPr>
          <w:rFonts w:ascii="Courier New" w:cs="Courier New" w:eastAsia="Courier New" w:hAnsi="Courier New"/>
          <w:sz w:val="15"/>
          <w:szCs w:val="15"/>
          <w:color w:val="auto"/>
        </w:rPr>
        <w:t>.1 cent  per net kilowatt-hour sold at Trojan which the Company paid  during  the  period  the  plant  operated. Significant  delays  are expected in the USDOE acceptance schedule of spent fuel  from  domestic  utilities.   The federal  repository,  which  was  originally scheduled to begin operations in 1998, is now estimated  to  commence</w:t>
      </w:r>
    </w:p>
    <w:p>
      <w:pPr>
        <w:spacing w:after="0" w:line="3" w:lineRule="exact"/>
        <w:rPr>
          <w:sz w:val="20"/>
          <w:szCs w:val="20"/>
          <w:color w:val="auto"/>
        </w:rPr>
      </w:pPr>
    </w:p>
    <w:p>
      <w:pPr>
        <w:jc w:val="right"/>
        <w:ind w:right="4779"/>
        <w:spacing w:after="0" w:line="250" w:lineRule="auto"/>
        <w:rPr>
          <w:sz w:val="20"/>
          <w:szCs w:val="20"/>
          <w:color w:val="auto"/>
        </w:rPr>
      </w:pPr>
      <w:r>
        <w:rPr>
          <w:rFonts w:ascii="Courier New" w:cs="Courier New" w:eastAsia="Courier New" w:hAnsi="Courier New"/>
          <w:sz w:val="15"/>
          <w:szCs w:val="15"/>
          <w:color w:val="auto"/>
        </w:rPr>
        <w:t>operations no   earlier   than  2010.   This  may  create difficulties  for  PGE in disposing  of  its  high-level radioactive waste by  2018.  However, federal legislation has been introduced which, if passed, would require USDOE to provide interim storage  for  high level waste until a permanent site is established.  PGE  intends  to build an interim storage facility at Trojan to house the  nuclear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fuel until a federal site is available.</w:t>
      </w:r>
    </w:p>
    <w:p>
      <w:pPr>
        <w:spacing w:after="0" w:line="185" w:lineRule="exact"/>
        <w:rPr>
          <w:sz w:val="20"/>
          <w:szCs w:val="20"/>
          <w:color w:val="auto"/>
        </w:rPr>
      </w:pPr>
    </w:p>
    <w:p>
      <w:pPr>
        <w:jc w:val="center"/>
        <w:ind w:right="4879"/>
        <w:spacing w:after="0" w:line="250" w:lineRule="auto"/>
        <w:rPr>
          <w:sz w:val="20"/>
          <w:szCs w:val="20"/>
          <w:color w:val="auto"/>
        </w:rPr>
      </w:pPr>
      <w:r>
        <w:rPr>
          <w:rFonts w:ascii="Courier New" w:cs="Courier New" w:eastAsia="Courier New" w:hAnsi="Courier New"/>
          <w:sz w:val="15"/>
          <w:szCs w:val="15"/>
          <w:color w:val="auto"/>
        </w:rPr>
        <w:t>The  Energy  Policy Act of 1992 provided for the creation of a Decontamination  and Decommissioning Fund to finance the  cleanup of USDOE gas  diffusion  plants.   Funding comes from  domestic  nuclear  utilities  and the federal government.  Each utility contributes based  on the ratio</w:t>
      </w:r>
    </w:p>
    <w:p>
      <w:pPr>
        <w:spacing w:after="0" w:line="2" w:lineRule="exact"/>
        <w:rPr>
          <w:sz w:val="20"/>
          <w:szCs w:val="20"/>
          <w:color w:val="auto"/>
        </w:rPr>
      </w:pPr>
    </w:p>
    <w:p>
      <w:pPr>
        <w:jc w:val="right"/>
        <w:ind w:right="4879"/>
        <w:spacing w:after="0" w:line="250" w:lineRule="auto"/>
        <w:rPr>
          <w:sz w:val="20"/>
          <w:szCs w:val="20"/>
          <w:color w:val="auto"/>
        </w:rPr>
      </w:pPr>
      <w:r>
        <w:rPr>
          <w:rFonts w:ascii="Courier New" w:cs="Courier New" w:eastAsia="Courier New" w:hAnsi="Courier New"/>
          <w:sz w:val="15"/>
          <w:szCs w:val="15"/>
          <w:color w:val="auto"/>
        </w:rPr>
        <w:t>of  the  amount  of  enrichment  services  the  utility purchased  to  the  total  amount  of enrichment services purchased  by  all  domestic  utilities   prior  to  the enactment  of  the legislation.  Based on Trojan's  1.1% usage  of  total  industry  enrichment  services,  PGE's portion of the funding  requirement  is approximately $17 million.  Amounts are funded over 15 years beginning with the USDOE's fiscal year 1993.  Since enactment,  PGE  has made  the  first four of the 15 annual payments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payment made in September 1993.</w:t>
      </w:r>
    </w:p>
    <w:p>
      <w:pPr>
        <w:spacing w:after="0" w:line="185" w:lineRule="exact"/>
        <w:rPr>
          <w:sz w:val="20"/>
          <w:szCs w:val="20"/>
          <w:color w:val="auto"/>
        </w:rPr>
      </w:pPr>
    </w:p>
    <w:p>
      <w:pPr>
        <w:jc w:val="center"/>
        <w:ind w:right="4879"/>
        <w:spacing w:after="0" w:line="250" w:lineRule="auto"/>
        <w:rPr>
          <w:sz w:val="20"/>
          <w:szCs w:val="20"/>
          <w:color w:val="auto"/>
        </w:rPr>
      </w:pPr>
      <w:r>
        <w:rPr>
          <w:rFonts w:ascii="Courier New" w:cs="Courier New" w:eastAsia="Courier New" w:hAnsi="Courier New"/>
          <w:sz w:val="15"/>
          <w:szCs w:val="15"/>
          <w:color w:val="auto"/>
        </w:rPr>
        <w:t>NUCLEAR INSURANCE  - The Price-Anderson Amendment of 1988 limits public liability  claims  that  could arise from a nuclear incident and provides for loss sharing  among all owners of nuclear reactor licenses.   Because Trojan  has been permanently defueled, the NRC has exempted PGE from participation  in  the  secondary insurance pool covering losses in excess of $200 million at other nuclear plants. In addition, the NRC has  reduced  the  required  primary nuclear  insurance coverage for Trojan from $200 million to $100 million  following  a  3 year cool-down period of the  nuclear fuel that is still on-site.   The  NRC  has allowed  PGE  to self-insure for on-site decontamination. PGE  continues  to   carry   non-contamination  property insurance on the Trojan plant at the $155 million level.</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139"/>
          </w:cols>
          <w:pgMar w:left="320" w:top="1005" w:right="1440" w:bottom="1440" w:gutter="0" w:footer="0" w:header="0"/>
        </w:sectPr>
      </w:pPr>
    </w:p>
    <w:bookmarkStart w:id="55" w:name="page56"/>
    <w:bookmarkEnd w:id="55"/>
    <w:p>
      <w:pPr>
        <w:ind w:left="80"/>
        <w:spacing w:after="0"/>
        <w:rPr>
          <w:sz w:val="20"/>
          <w:szCs w:val="20"/>
          <w:color w:val="auto"/>
        </w:rPr>
      </w:pPr>
      <w:r>
        <w:rPr>
          <w:rFonts w:ascii="Courier New" w:cs="Courier New" w:eastAsia="Courier New" w:hAnsi="Courier New"/>
          <w:sz w:val="15"/>
          <w:szCs w:val="15"/>
          <w:color w:val="auto"/>
        </w:rPr>
        <w:t>NOTE 12 - WNP-3 SETTLEMENT EXCHANGE AGREEMENT</w:t>
      </w:r>
    </w:p>
    <w:p>
      <w:pPr>
        <w:spacing w:after="0" w:line="185" w:lineRule="exact"/>
        <w:rPr>
          <w:sz w:val="20"/>
          <w:szCs w:val="20"/>
          <w:color w:val="auto"/>
        </w:rPr>
      </w:pPr>
    </w:p>
    <w:p>
      <w:pPr>
        <w:jc w:val="both"/>
        <w:ind w:left="80" w:right="2939"/>
        <w:spacing w:after="0" w:line="251" w:lineRule="auto"/>
        <w:rPr>
          <w:sz w:val="20"/>
          <w:szCs w:val="20"/>
          <w:color w:val="auto"/>
        </w:rPr>
      </w:pPr>
      <w:r>
        <w:rPr>
          <w:rFonts w:ascii="Courier New" w:cs="Courier New" w:eastAsia="Courier New" w:hAnsi="Courier New"/>
          <w:sz w:val="15"/>
          <w:szCs w:val="15"/>
          <w:color w:val="auto"/>
        </w:rPr>
        <w:t>PGE is selling energy received under a WNP-3 Settlement Exchange Agreement (WSA) to WAPA for 25 years, which began October 1990. Revenues from the WAPA sales contract are expected to be sufficient to support the carrying value of PGE's investment.</w:t>
      </w:r>
    </w:p>
    <w:p>
      <w:pPr>
        <w:spacing w:after="0" w:line="176"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energy received by PGE under WSA is the result of a settlement  related to litigation  surrounding  the  abandonment  of  WNP-3.  PGE receives about  65 average annual MW for approximately 30 years from  BPA  under  the  WSA.  In exchange,  PGE  will make available to BPA energy from its combustion turbines</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or from other available resources at an agreed-to price.</w:t>
      </w:r>
    </w:p>
    <w:p>
      <w:pPr>
        <w:spacing w:after="0" w:line="36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NOTE 13 - REGULATORY MATTERS</w:t>
      </w:r>
    </w:p>
    <w:p>
      <w:pPr>
        <w:spacing w:after="0" w:line="185" w:lineRule="exact"/>
        <w:rPr>
          <w:sz w:val="20"/>
          <w:szCs w:val="20"/>
          <w:color w:val="auto"/>
        </w:rPr>
      </w:pPr>
    </w:p>
    <w:p>
      <w:pPr>
        <w:jc w:val="both"/>
        <w:ind w:left="80" w:right="2939"/>
        <w:spacing w:after="0" w:line="251" w:lineRule="auto"/>
        <w:rPr>
          <w:sz w:val="20"/>
          <w:szCs w:val="20"/>
          <w:color w:val="auto"/>
        </w:rPr>
      </w:pPr>
      <w:r>
        <w:rPr>
          <w:rFonts w:ascii="Courier New" w:cs="Courier New" w:eastAsia="Courier New" w:hAnsi="Courier New"/>
          <w:sz w:val="15"/>
          <w:szCs w:val="15"/>
          <w:color w:val="auto"/>
        </w:rPr>
        <w:t>SETTLEMENT REACHED - Pursuant to the agreement adopted by the OPUC in the order discussed below, the Marion County Circuit Court approved PGE's request for dismissal of its dispute with the Commission regarding the allocation of the gain on a sale of a portion of Boardman and the Intertie in PGE V. RONALD EACHUS, MYRON KATZ, NANCY RYLES AND THE OREGON PUBLIC UTILITY COMMISSION.</w:t>
      </w:r>
    </w:p>
    <w:p>
      <w:pPr>
        <w:spacing w:after="0" w:line="176"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1995 Rate Orders - On March 29, 1995 the OPUC issued an order on PGE's 1993 general rate request. The order, based on a two-year test period, authorized a single average rate increase of 5% representing additional revenues of $51 million in 1995 and $52 million in 1996. The order established PGE's return on equity at</w:t>
      </w:r>
    </w:p>
    <w:p>
      <w:pPr>
        <w:spacing w:after="0" w:line="2"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11.6%  for  both  1995  and 1996.  This is  a  decrease  from the previously authorized 12.5%.  The order  authorized  PGE  to recover all of the estimated Trojan decommissioning costs and 87% of its remaining  investment  in  Trojan which  will be collected over Trojan's original license period ending in 2011. As a result  of  the  disallowance  of  13% of PGE's investment in Trojan, the</w:t>
      </w:r>
    </w:p>
    <w:p>
      <w:pPr>
        <w:spacing w:after="0" w:line="2" w:lineRule="exact"/>
        <w:rPr>
          <w:sz w:val="20"/>
          <w:szCs w:val="20"/>
          <w:color w:val="auto"/>
        </w:rPr>
      </w:pPr>
    </w:p>
    <w:p>
      <w:pPr>
        <w:ind w:left="180" w:right="2939" w:hanging="91"/>
        <w:spacing w:after="0" w:line="250" w:lineRule="auto"/>
        <w:rPr>
          <w:sz w:val="20"/>
          <w:szCs w:val="20"/>
          <w:color w:val="auto"/>
        </w:rPr>
      </w:pPr>
      <w:r>
        <w:rPr>
          <w:rFonts w:ascii="Courier New" w:cs="Courier New" w:eastAsia="Courier New" w:hAnsi="Courier New"/>
          <w:sz w:val="15"/>
          <w:szCs w:val="15"/>
          <w:color w:val="auto"/>
        </w:rPr>
        <w:t>Company recorded a $37 million after-tax charge</w:t>
      </w:r>
      <w:r>
        <w:rPr>
          <w:sz w:val="20"/>
          <w:szCs w:val="20"/>
          <w:color w:val="auto"/>
        </w:rPr>
        <w:t xml:space="preserve"> </w:t>
      </w:r>
      <w:r>
        <w:rPr>
          <w:rFonts w:ascii="Courier New" w:cs="Courier New" w:eastAsia="Courier New" w:hAnsi="Courier New"/>
          <w:sz w:val="15"/>
          <w:szCs w:val="15"/>
          <w:color w:val="auto"/>
        </w:rPr>
        <w:t>to income. The order also adopted a mechanism to decouple short-term profits from retail kilowatt-hour</w:t>
      </w:r>
    </w:p>
    <w:p>
      <w:pPr>
        <w:spacing w:after="0" w:line="1" w:lineRule="exact"/>
        <w:rPr>
          <w:sz w:val="20"/>
          <w:szCs w:val="20"/>
          <w:color w:val="auto"/>
        </w:rPr>
      </w:pPr>
    </w:p>
    <w:p>
      <w:pPr>
        <w:ind w:left="80" w:right="2939"/>
        <w:spacing w:after="0" w:line="253" w:lineRule="auto"/>
        <w:rPr>
          <w:sz w:val="20"/>
          <w:szCs w:val="20"/>
          <w:color w:val="auto"/>
        </w:rPr>
      </w:pPr>
      <w:r>
        <w:rPr>
          <w:rFonts w:ascii="Courier New" w:cs="Courier New" w:eastAsia="Courier New" w:hAnsi="Courier New"/>
          <w:sz w:val="15"/>
          <w:szCs w:val="15"/>
          <w:color w:val="auto"/>
        </w:rPr>
        <w:t>sales. For further information regarding the Trojan disallowance see Note 11, Trojan Nuclear Plant.</w:t>
      </w:r>
    </w:p>
    <w:p>
      <w:pPr>
        <w:spacing w:after="0" w:line="174"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On  November  21,  1995 the Commission issued an order granting PGE an average 2.7% rate increase to  recover  the  capital  and  fixed costs associated with Coyote  Springs  and  BPA's  October  1995 price increase.   The  order  also addressed recovery of PGE deferred power  costs  and  proposed  elimination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regulatory assets.</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order authorized full recovery of $11 million of power costs deferred from January through March 1995 and allowed  recovery of only $9 million of the $50 million of  power costs deferred from July 1993 through March 1994.  The order also  authorized  the  immediate  recovery  of  approximately $29 million  in incentive revenues associated with prior years' achievements  of the Company's energy efficiency programs.  PGE recorded a $13 million after-tax  charge  to</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based on the order.</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The  order  implemented  the  Company's  proposal to offset certain regulatory assets, including the  uncollected  balance of  all  power  cost  deferrals, incentive revenues  and a portion of the  remaining Trojan investment, against PGE's unamortized gain on the prior sale of a portion of Boardman.  The offset allowed  for  recovery of the deferred power  costs  and  incentive  revenues discussed  above,   without  increasing   customer  rates, while eliminating approximately $117 million  of  regulatory  assets  and  liabilities  from the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Company's balance sheets.</w:t>
      </w:r>
    </w:p>
    <w:p>
      <w:pPr>
        <w:spacing w:after="0" w:line="185" w:lineRule="exact"/>
        <w:rPr>
          <w:sz w:val="20"/>
          <w:szCs w:val="20"/>
          <w:color w:val="auto"/>
        </w:rPr>
      </w:pPr>
    </w:p>
    <w:p>
      <w:pPr>
        <w:jc w:val="both"/>
        <w:ind w:right="3219"/>
        <w:spacing w:after="0" w:line="253" w:lineRule="auto"/>
        <w:rPr>
          <w:sz w:val="20"/>
          <w:szCs w:val="20"/>
          <w:color w:val="auto"/>
        </w:rPr>
      </w:pPr>
      <w:r>
        <w:rPr>
          <w:rFonts w:ascii="Courier New" w:cs="Courier New" w:eastAsia="Courier New" w:hAnsi="Courier New"/>
          <w:sz w:val="15"/>
          <w:szCs w:val="15"/>
          <w:color w:val="auto"/>
        </w:rPr>
        <w:t>An application for reconsideration of the November 1995 order was filed with the OPUC by a party to the proceeding. A decision from the OPUC is pending.</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100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NOTE 14 - LEGAL MATTERS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BONNEVILLE PACIFIC CLASS ACTION AND LAWSUIT</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In  April  1992 legal action was filed by Bonneville Pacific against Portland General, Holdings,  and  certain  individuals affiliated with Portland General or Holdings alleging breach of fiduciary  duty, tortious interference, breach of contract, and other actionable wrongs related  to  Holdings'  investment in Bonneville  Pacific.   Following  his  appointment,  the  Bonneville  Pacific bankruptcy trustee, on behalf of Bonneville Pacific, filed numerous amendments to  the complaint.  The complaint now includes allegations of RICO violations and RICO  conspiracy,  collusive  tort,  civil  conspiracy,  common law fraud, negligent misrepresentation, breach of fiduciary duty, liability as a partner</w:t>
      </w:r>
    </w:p>
    <w:p>
      <w:pPr>
        <w:spacing w:after="0" w:line="4"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for the debts of a partnership, and other actionable wrongs. The Court has rejected the Trustee's previously filed damage study which is expected to be revised and refiled.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LEGAL MATTERS</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Portland General and certain of its subsidiaries are party to various other claims, legal actions and complaints arising in the ordinary course of business. These claims are not considered material.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While the ultimate  disposition  of  these  matters  may have an impact on the results  of  operations  for a future reporting period, management  believes, based on discussion of the  underlying  facts  and  circumstances  with  legal counsel,  that  these  matters will not have a material adverse effect 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of Portland General.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BONNEVILLE PACIFIC RELATED LITIGATION</w:t>
      </w:r>
    </w:p>
    <w:p>
      <w:pPr>
        <w:spacing w:after="0" w:line="8"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Holdings has filed complaints  seeking  approximately  $228 million in damages against Deloitte &amp; Touche and certain other parties associated with Bonneville Pacific  alleging that it relied on fraudulent and negligent  statements  and omissions by  Deloitte  &amp;  Touche and the other defendants when it acquired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 and made loans to Bonneville Pacific.</w:t>
      </w: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139"/>
          </w:cols>
          <w:pgMar w:left="320" w:top="828" w:right="1440" w:bottom="1440" w:gutter="0" w:footer="0" w:header="0"/>
        </w:sectPr>
      </w:pPr>
    </w:p>
    <w:bookmarkStart w:id="57" w:name="page58"/>
    <w:bookmarkEnd w:id="57"/>
    <w:p>
      <w:pPr>
        <w:ind w:left="1580"/>
        <w:spacing w:after="0"/>
        <w:rPr>
          <w:sz w:val="20"/>
          <w:szCs w:val="20"/>
          <w:color w:val="auto"/>
        </w:rPr>
      </w:pPr>
      <w:r>
        <w:rPr>
          <w:rFonts w:ascii="Courier New" w:cs="Courier New" w:eastAsia="Courier New" w:hAnsi="Courier New"/>
          <w:sz w:val="15"/>
          <w:szCs w:val="15"/>
          <w:color w:val="auto"/>
        </w:rPr>
        <w:t>QUARTERLY COMPARISON FOR 1995 AND 1994 (UNAUDITED)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CORPORATION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JUNE 30</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SEPTEMBER 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2960" w:type="dxa"/>
            <w:vAlign w:val="bottom"/>
          </w:tcPr>
          <w:p>
            <w:pPr>
              <w:spacing w:after="0"/>
              <w:rPr>
                <w:sz w:val="15"/>
                <w:szCs w:val="15"/>
                <w:color w:val="auto"/>
              </w:rPr>
            </w:pPr>
          </w:p>
        </w:tc>
        <w:tc>
          <w:tcPr>
            <w:tcW w:w="5540" w:type="dxa"/>
            <w:vAlign w:val="bottom"/>
            <w:gridSpan w:val="4"/>
          </w:tcPr>
          <w:p>
            <w:pPr>
              <w:jc w:val="right"/>
              <w:ind w:right="203"/>
              <w:spacing w:after="0"/>
              <w:rPr>
                <w:sz w:val="20"/>
                <w:szCs w:val="20"/>
                <w:color w:val="auto"/>
              </w:rPr>
            </w:pPr>
            <w:r>
              <w:rPr>
                <w:rFonts w:ascii="Courier New" w:cs="Courier New" w:eastAsia="Courier New" w:hAnsi="Courier New"/>
                <w:sz w:val="15"/>
                <w:szCs w:val="15"/>
                <w:color w:val="auto"/>
              </w:rPr>
              <w:t>(THOUSANDS  OF  DOLLARS EXCEPT PER SHARE AMOUNTS)</w:t>
            </w:r>
          </w:p>
        </w:tc>
      </w:tr>
      <w:tr>
        <w:trPr>
          <w:trHeight w:val="355"/>
        </w:trPr>
        <w:tc>
          <w:tcPr>
            <w:tcW w:w="29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$259,177</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$219,892</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$222,612</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$281,901</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49,553</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47,179</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40,266</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58,578</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Net income/(loss)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(1,954)</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32,403</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14,181</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36,406</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50,591,449</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50,697,040</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50,798,082</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50,976,781</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Earnings/(loss) per</w:t>
            </w: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average share{1}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$.64</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w:t>
            </w:r>
          </w:p>
        </w:tc>
      </w:tr>
      <w:tr>
        <w:trPr>
          <w:trHeight w:val="532"/>
        </w:trPr>
        <w:tc>
          <w:tcPr>
            <w:tcW w:w="296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$278,014</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$202,110</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$214,180</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$265,105</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55,920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30,019</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27,525</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40,832</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39,165</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23,965</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11,887</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24,513</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48,670,211</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50,145,565</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50,285,669</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50,461,348</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Earnings per average share{1}</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$.48</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$.24</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w:t>
            </w:r>
          </w:p>
        </w:tc>
      </w:tr>
      <w:tr>
        <w:trPr>
          <w:trHeight w:val="532"/>
        </w:trPr>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{1}As  a  result  of  dilutive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effects  of</w:t>
            </w:r>
          </w:p>
        </w:tc>
        <w:tc>
          <w:tcPr>
            <w:tcW w:w="31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shares issued during the period,</w:t>
            </w:r>
          </w:p>
        </w:tc>
        <w:tc>
          <w:tcPr>
            <w:tcW w:w="1160" w:type="dxa"/>
            <w:vAlign w:val="bottom"/>
          </w:tcPr>
          <w:p>
            <w:pPr>
              <w:spacing w:after="0"/>
              <w:rPr>
                <w:sz w:val="24"/>
                <w:szCs w:val="2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earnings per share cannot be</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added to arrive at annual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PORTLAND GENERAL ELECTRIC COMPANY</w:t>
            </w: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55"/>
        </w:trPr>
        <w:tc>
          <w:tcPr>
            <w:tcW w:w="2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JUNE 30</w:t>
            </w: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SEPTEMBER 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2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OF DOLLARS)</w:t>
            </w:r>
          </w:p>
        </w:tc>
        <w:tc>
          <w:tcPr>
            <w:tcW w:w="1020" w:type="dxa"/>
            <w:vAlign w:val="bottom"/>
          </w:tcPr>
          <w:p>
            <w:pPr>
              <w:spacing w:after="0"/>
              <w:rPr>
                <w:sz w:val="15"/>
                <w:szCs w:val="15"/>
                <w:color w:val="auto"/>
              </w:rPr>
            </w:pP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$258,891</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$218,476</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$222,240</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$282,021</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49,388</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46,499</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39,902</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59,397</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Net income/(loss)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640</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34,800</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16,789</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40,558</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Income available for</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(1,943)</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32,383</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14,409</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38,294</w:t>
            </w:r>
          </w:p>
        </w:tc>
      </w:tr>
      <w:tr>
        <w:trPr>
          <w:trHeight w:val="532"/>
        </w:trPr>
        <w:tc>
          <w:tcPr>
            <w:tcW w:w="21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$277,672</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$201,773</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$213,897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$265,613</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53,555</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27,734</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26,342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45,577</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41,187</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18,540</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14,807</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31,584</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Income available for</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38,199</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15,894</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12,224</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29,001</w:t>
            </w:r>
          </w:p>
        </w:tc>
      </w:tr>
      <w:tr>
        <w:trPr>
          <w:trHeight w:val="532"/>
        </w:trPr>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55</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39"/>
          </w:cols>
          <w:pgMar w:left="320" w:top="828" w:right="1440" w:bottom="1440" w:gutter="0" w:footer="0" w:header="0"/>
        </w:sectPr>
      </w:pPr>
    </w:p>
    <w:bookmarkStart w:id="58" w:name="page59"/>
    <w:bookmarkEnd w:id="58"/>
    <w:p>
      <w:pPr>
        <w:ind w:left="1280" w:right="4499" w:hanging="1844"/>
        <w:spacing w:after="0" w:line="253" w:lineRule="auto"/>
        <w:tabs>
          <w:tab w:leader="none" w:pos="12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35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None.</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362" w:lineRule="exact"/>
        <w:rPr>
          <w:sz w:val="20"/>
          <w:szCs w:val="20"/>
          <w:color w:val="auto"/>
        </w:rPr>
      </w:pPr>
    </w:p>
    <w:p>
      <w:pPr>
        <w:ind w:left="1380" w:right="3859" w:hanging="1291"/>
        <w:spacing w:after="0" w:line="253" w:lineRule="auto"/>
        <w:tabs>
          <w:tab w:leader="none" w:pos="1360" w:val="left"/>
        </w:tabs>
        <w:rPr>
          <w:sz w:val="20"/>
          <w:szCs w:val="20"/>
          <w:color w:val="auto"/>
        </w:rPr>
      </w:pPr>
      <w:r>
        <w:rPr>
          <w:rFonts w:ascii="Courier New" w:cs="Courier New" w:eastAsia="Courier New" w:hAnsi="Courier New"/>
          <w:sz w:val="15"/>
          <w:szCs w:val="15"/>
          <w:color w:val="auto"/>
        </w:rPr>
        <w:t>ITEMS 10-13</w:t>
      </w:r>
      <w:r>
        <w:rPr>
          <w:sz w:val="20"/>
          <w:szCs w:val="20"/>
          <w:color w:val="auto"/>
        </w:rPr>
        <w:tab/>
      </w:r>
      <w:r>
        <w:rPr>
          <w:rFonts w:ascii="Courier New" w:cs="Courier New" w:eastAsia="Courier New" w:hAnsi="Courier New"/>
          <w:sz w:val="15"/>
          <w:szCs w:val="15"/>
          <w:color w:val="auto"/>
        </w:rPr>
        <w:t>INFORMATION REGARDING DIRECTORS AND EXECUTIVE OFFICERS OF THE REGISTRANT</w:t>
      </w: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PORTLAND GENERAL CORPORATION</w:t>
      </w:r>
    </w:p>
    <w:p>
      <w:pPr>
        <w:spacing w:after="0" w:line="185" w:lineRule="exact"/>
        <w:rPr>
          <w:sz w:val="20"/>
          <w:szCs w:val="20"/>
          <w:color w:val="auto"/>
        </w:rPr>
      </w:pPr>
    </w:p>
    <w:p>
      <w:pPr>
        <w:ind w:left="80" w:right="2939" w:firstLine="92"/>
        <w:spacing w:after="0" w:line="252" w:lineRule="auto"/>
        <w:rPr>
          <w:sz w:val="20"/>
          <w:szCs w:val="20"/>
          <w:color w:val="auto"/>
        </w:rPr>
      </w:pPr>
      <w:r>
        <w:rPr>
          <w:rFonts w:ascii="Courier New" w:cs="Courier New" w:eastAsia="Courier New" w:hAnsi="Courier New"/>
          <w:sz w:val="15"/>
          <w:szCs w:val="15"/>
          <w:color w:val="auto"/>
        </w:rPr>
        <w:t>Information for Items 10-13 is incorporated by reference to Portland General's definitive proxy statement to be filed on or about March 27, 1996. Executive officers of Portland General are listed on page 23 of this report.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185" w:lineRule="exact"/>
        <w:rPr>
          <w:sz w:val="20"/>
          <w:szCs w:val="20"/>
          <w:color w:val="auto"/>
        </w:rPr>
      </w:pPr>
    </w:p>
    <w:p>
      <w:pPr>
        <w:jc w:val="both"/>
        <w:ind w:left="80" w:right="3019" w:firstLine="92"/>
        <w:spacing w:after="0" w:line="253" w:lineRule="auto"/>
        <w:rPr>
          <w:sz w:val="20"/>
          <w:szCs w:val="20"/>
          <w:color w:val="auto"/>
        </w:rPr>
      </w:pPr>
      <w:r>
        <w:rPr>
          <w:rFonts w:ascii="Courier New" w:cs="Courier New" w:eastAsia="Courier New" w:hAnsi="Courier New"/>
          <w:sz w:val="15"/>
          <w:szCs w:val="15"/>
          <w:color w:val="auto"/>
        </w:rPr>
        <w:t>Information for Items 10-13 is incorporated by reference to Portland General's definitive proxy statement to be filed on or about March 27, 1996. Executive officers of Portland General Electric are listed on page 23 of this report.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0" w:type="dxa"/>
            <w:vAlign w:val="bottom"/>
          </w:tcPr>
          <w:p>
            <w:pPr>
              <w:ind w:left="2360"/>
              <w:spacing w:after="0"/>
              <w:rPr>
                <w:sz w:val="20"/>
                <w:szCs w:val="20"/>
                <w:color w:val="auto"/>
              </w:rPr>
            </w:pPr>
            <w:r>
              <w:rPr>
                <w:rFonts w:ascii="Courier New" w:cs="Courier New" w:eastAsia="Courier New" w:hAnsi="Courier New"/>
                <w:sz w:val="15"/>
                <w:szCs w:val="15"/>
                <w:color w:val="auto"/>
              </w:rPr>
              <w:t>Part IV</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55"/>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ITEM</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c>
          <w:tcPr>
            <w:tcW w:w="5400" w:type="dxa"/>
            <w:vAlign w:val="bottom"/>
          </w:tcPr>
          <w:p>
            <w:pPr>
              <w:ind w:left="240"/>
              <w:spacing w:after="0"/>
              <w:rPr>
                <w:sz w:val="20"/>
                <w:szCs w:val="20"/>
                <w:color w:val="auto"/>
              </w:rPr>
            </w:pPr>
            <w:r>
              <w:rPr>
                <w:rFonts w:ascii="Courier New" w:cs="Courier New" w:eastAsia="Courier New" w:hAnsi="Courier New"/>
                <w:sz w:val="15"/>
                <w:szCs w:val="15"/>
                <w:color w:val="auto"/>
              </w:rPr>
              <w:t>EXHIBITS, FINANCIAL STATEMENT SCHEDULES AND REPORTS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7"/>
        </w:trPr>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0" w:type="dxa"/>
            <w:vAlign w:val="bottom"/>
          </w:tcPr>
          <w:p>
            <w:pPr>
              <w:ind w:left="240"/>
              <w:spacing w:after="0"/>
              <w:rPr>
                <w:sz w:val="20"/>
                <w:szCs w:val="20"/>
                <w:color w:val="auto"/>
              </w:rPr>
            </w:pPr>
            <w:r>
              <w:rPr>
                <w:rFonts w:ascii="Courier New" w:cs="Courier New" w:eastAsia="Courier New" w:hAnsi="Courier New"/>
                <w:sz w:val="15"/>
                <w:szCs w:val="15"/>
                <w:color w:val="auto"/>
              </w:rPr>
              <w:t>ON FORM 8-K</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532"/>
        </w:trPr>
        <w:tc>
          <w:tcPr>
            <w:tcW w:w="63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PORTLAND GENERAL CORPORATION AND PORTLAND GENERAL ELECTRIC COMPANY</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32"/>
        </w:trPr>
        <w:tc>
          <w:tcPr>
            <w:tcW w:w="3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6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INDEX TO FINANCIAL STATEMENTS AND FINANCIAL STATEMENT SCHEDULES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7"/>
        </w:trPr>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NO.</w:t>
            </w:r>
          </w:p>
        </w:tc>
      </w:tr>
      <w:tr>
        <w:trPr>
          <w:trHeight w:val="177"/>
        </w:trPr>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PGC</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PGE</w:t>
            </w: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Report of Independent Public Accountants</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Consolidated Statements of Income for each of the three years</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the period ended December 31, 1995</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Consolidated Statements of Retained Earnings for each of the</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three years in the period ended December 31, 1995</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Consolidated Balance Sheets at December 31, 1995 and 1994</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Consolidated Statement of Cash Flows for each of the three</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7"/>
        </w:trPr>
        <w:tc>
          <w:tcPr>
            <w:tcW w:w="36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years in the period ended December 31, 1995</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7"/>
        </w:trPr>
        <w:tc>
          <w:tcPr>
            <w:tcW w:w="360" w:type="dxa"/>
            <w:vAlign w:val="bottom"/>
          </w:tcPr>
          <w:p>
            <w:pPr>
              <w:spacing w:after="0"/>
              <w:rPr>
                <w:sz w:val="15"/>
                <w:szCs w:val="15"/>
                <w:color w:val="auto"/>
              </w:rPr>
            </w:pP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bl>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FINANCIAL STATEMENT SCHEDULES</w:t>
      </w:r>
    </w:p>
    <w:p>
      <w:pPr>
        <w:spacing w:after="0" w:line="8" w:lineRule="exact"/>
        <w:rPr>
          <w:sz w:val="20"/>
          <w:szCs w:val="20"/>
          <w:color w:val="auto"/>
        </w:rPr>
      </w:pPr>
    </w:p>
    <w:p>
      <w:pPr>
        <w:jc w:val="both"/>
        <w:ind w:left="360" w:right="2939"/>
        <w:spacing w:after="0" w:line="252" w:lineRule="auto"/>
        <w:rPr>
          <w:sz w:val="20"/>
          <w:szCs w:val="20"/>
          <w:color w:val="auto"/>
        </w:rPr>
      </w:pPr>
      <w:r>
        <w:rPr>
          <w:rFonts w:ascii="Courier New" w:cs="Courier New" w:eastAsia="Courier New" w:hAnsi="Courier New"/>
          <w:sz w:val="15"/>
          <w:szCs w:val="15"/>
          <w:color w:val="auto"/>
        </w:rPr>
        <w:t>Schedules are omitted because of the absence of conditions under which they are required or because the required information is given in the financial statements or notes thereto.</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EXHIBITS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See Exhibit Index on Page 59 of this report.</w:t>
      </w:r>
    </w:p>
    <w:p>
      <w:pPr>
        <w:spacing w:after="0" w:line="185" w:lineRule="exact"/>
        <w:rPr>
          <w:sz w:val="20"/>
          <w:szCs w:val="20"/>
          <w:color w:val="auto"/>
        </w:rPr>
      </w:pPr>
    </w:p>
    <w:p>
      <w:pPr>
        <w:ind w:left="80"/>
        <w:spacing w:after="0"/>
        <w:tabs>
          <w:tab w:leader="none" w:pos="520" w:val="left"/>
        </w:tabs>
        <w:rPr>
          <w:sz w:val="20"/>
          <w:szCs w:val="20"/>
          <w:color w:val="auto"/>
        </w:rPr>
      </w:pPr>
      <w:r>
        <w:rPr>
          <w:rFonts w:ascii="Courier New" w:cs="Courier New" w:eastAsia="Courier New" w:hAnsi="Courier New"/>
          <w:sz w:val="15"/>
          <w:szCs w:val="15"/>
          <w:color w:val="auto"/>
        </w:rPr>
        <w:t>(b)</w:t>
        <w:tab/>
        <w:t>REPORT ON FORM 8-K</w:t>
      </w:r>
    </w:p>
    <w:p>
      <w:pPr>
        <w:sectPr>
          <w:pgSz w:w="11900" w:h="16838" w:orient="portrait"/>
          <w:cols w:equalWidth="0" w:num="1">
            <w:col w:w="10219"/>
          </w:cols>
          <w:pgMar w:left="240" w:top="828" w:right="1440" w:bottom="1440" w:gutter="0" w:footer="0" w:header="0"/>
        </w:sectPr>
      </w:pPr>
    </w:p>
    <w:p>
      <w:pPr>
        <w:spacing w:after="0" w:line="185" w:lineRule="exact"/>
        <w:rPr>
          <w:sz w:val="20"/>
          <w:szCs w:val="20"/>
          <w:color w:val="auto"/>
        </w:rPr>
      </w:pPr>
    </w:p>
    <w:p>
      <w:pPr>
        <w:ind w:left="360"/>
        <w:spacing w:after="0"/>
        <w:tabs>
          <w:tab w:leader="none" w:pos="3020" w:val="left"/>
        </w:tabs>
        <w:rPr>
          <w:sz w:val="20"/>
          <w:szCs w:val="20"/>
          <w:color w:val="auto"/>
        </w:rPr>
      </w:pPr>
      <w:r>
        <w:rPr>
          <w:rFonts w:ascii="Courier New" w:cs="Courier New" w:eastAsia="Courier New" w:hAnsi="Courier New"/>
          <w:sz w:val="15"/>
          <w:szCs w:val="15"/>
          <w:color w:val="auto"/>
        </w:rPr>
        <w:t>November 21, 1995 - Item 5.</w:t>
        <w:tab/>
        <w:t>Other Events: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PGC</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0"/>
          <w:szCs w:val="20"/>
          <w:color w:val="auto"/>
        </w:rPr>
      </w:pPr>
      <w:r>
        <w:rPr>
          <w:sz w:val="20"/>
          <w:szCs w:val="20"/>
          <w:color w:val="auto"/>
        </w:rPr>
        <w:br w:type="column"/>
      </w:r>
    </w:p>
    <w:p>
      <w:pPr>
        <w:jc w:val="center"/>
        <w:ind w:right="2939"/>
        <w:spacing w:after="0"/>
        <w:rPr>
          <w:sz w:val="20"/>
          <w:szCs w:val="20"/>
          <w:color w:val="auto"/>
        </w:rPr>
      </w:pPr>
      <w:r>
        <w:rPr>
          <w:rFonts w:ascii="Courier New" w:cs="Courier New" w:eastAsia="Courier New" w:hAnsi="Courier New"/>
          <w:sz w:val="15"/>
          <w:szCs w:val="15"/>
          <w:color w:val="auto"/>
        </w:rPr>
        <w:t>PGE</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X</w:t>
      </w:r>
    </w:p>
    <w:p>
      <w:pPr>
        <w:spacing w:after="0" w:line="8" w:lineRule="exact"/>
        <w:rPr>
          <w:sz w:val="20"/>
          <w:szCs w:val="20"/>
          <w:color w:val="auto"/>
        </w:rPr>
      </w:pPr>
    </w:p>
    <w:p>
      <w:pPr>
        <w:sectPr>
          <w:pgSz w:w="11900" w:h="16838" w:orient="portrait"/>
          <w:cols w:equalWidth="0" w:num="3">
            <w:col w:w="5740" w:space="720"/>
            <w:col w:w="280" w:space="260"/>
            <w:col w:w="3219"/>
          </w:cols>
          <w:pgMar w:left="240" w:top="828"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The OPUC issued an order on PGE's August 1995 consolidated</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filing.</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828" w:right="1440" w:bottom="1440" w:gutter="0" w:footer="0" w:header="0"/>
          <w:type w:val="continuous"/>
        </w:sectPr>
      </w:pPr>
    </w:p>
    <w:bookmarkStart w:id="59" w:name="page60"/>
    <w:bookmarkEnd w:id="59"/>
    <w:p>
      <w:pPr>
        <w:jc w:val="center"/>
        <w:ind w:right="3039"/>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both"/>
        <w:ind w:left="80" w:right="2939"/>
        <w:spacing w:after="0" w:line="25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Portland General Corporation</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February 29,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 L. HARRISON</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Ken L. Harrison</w:t>
      </w:r>
    </w:p>
    <w:p>
      <w:pPr>
        <w:spacing w:after="0" w:line="185" w:lineRule="exact"/>
        <w:rPr>
          <w:sz w:val="20"/>
          <w:szCs w:val="20"/>
          <w:color w:val="auto"/>
        </w:rPr>
      </w:pPr>
    </w:p>
    <w:p>
      <w:pPr>
        <w:sectPr>
          <w:pgSz w:w="11900" w:h="16838" w:orient="portrait"/>
          <w:cols w:equalWidth="0" w:num="3">
            <w:col w:w="1680" w:space="720"/>
            <w:col w:w="180" w:space="560"/>
            <w:col w:w="7079"/>
          </w:cols>
          <w:pgMar w:left="240" w:top="650"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5"/>
          <w:szCs w:val="15"/>
          <w:color w:val="auto"/>
        </w:rPr>
        <w:t>Chairman of the Board and</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Chief Executive Officer</w:t>
      </w:r>
    </w:p>
    <w:p>
      <w:pPr>
        <w:spacing w:after="0" w:line="362"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Registrant and in the capacities and on the dates indicated.</w:t>
      </w:r>
    </w:p>
    <w:p>
      <w:pPr>
        <w:sectPr>
          <w:pgSz w:w="11900" w:h="16838" w:orient="portrait"/>
          <w:cols w:equalWidth="0" w:num="1">
            <w:col w:w="10219"/>
          </w:cols>
          <w:pgMar w:left="240" w:top="650"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 L. HARRISON</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250" w:lineRule="auto"/>
        <w:rPr>
          <w:sz w:val="20"/>
          <w:szCs w:val="20"/>
          <w:color w:val="auto"/>
        </w:rPr>
      </w:pPr>
      <w:r>
        <w:rPr>
          <w:rFonts w:ascii="Courier New" w:cs="Courier New" w:eastAsia="Courier New" w:hAnsi="Courier New"/>
          <w:sz w:val="15"/>
          <w:szCs w:val="15"/>
          <w:color w:val="auto"/>
        </w:rPr>
        <w:t>Chairman of the Board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29, 1996</w:t>
      </w:r>
    </w:p>
    <w:p>
      <w:pPr>
        <w:spacing w:after="0" w:line="7" w:lineRule="exact"/>
        <w:rPr>
          <w:sz w:val="20"/>
          <w:szCs w:val="20"/>
          <w:color w:val="auto"/>
        </w:rPr>
      </w:pPr>
    </w:p>
    <w:p>
      <w:pPr>
        <w:sectPr>
          <w:pgSz w:w="11900" w:h="16838" w:orient="portrait"/>
          <w:cols w:equalWidth="0" w:num="3">
            <w:col w:w="2040" w:space="720"/>
            <w:col w:w="2300" w:space="660"/>
            <w:col w:w="4499"/>
          </w:cols>
          <w:pgMar w:left="240" w:top="650" w:right="1440" w:bottom="1440" w:gutter="0" w:footer="0" w:header="0"/>
          <w:type w:val="continuous"/>
        </w:sectPr>
      </w:pPr>
    </w:p>
    <w:p>
      <w:pPr>
        <w:ind w:left="280"/>
        <w:spacing w:after="0"/>
        <w:rPr>
          <w:sz w:val="20"/>
          <w:szCs w:val="20"/>
          <w:color w:val="auto"/>
        </w:rPr>
      </w:pPr>
      <w:r>
        <w:rPr>
          <w:rFonts w:ascii="Courier New" w:cs="Courier New" w:eastAsia="Courier New" w:hAnsi="Courier New"/>
          <w:sz w:val="15"/>
          <w:szCs w:val="15"/>
          <w:color w:val="auto"/>
        </w:rPr>
        <w:t>Ken L. Harrison</w:t>
      </w:r>
    </w:p>
    <w:p>
      <w:pPr>
        <w:sectPr>
          <w:pgSz w:w="11900" w:h="16838" w:orient="portrait"/>
          <w:cols w:equalWidth="0" w:num="1">
            <w:col w:w="10219"/>
          </w:cols>
          <w:pgMar w:left="240" w:top="650"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JOSEPH M. HIRKO</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right="120"/>
        <w:spacing w:after="0" w:line="250" w:lineRule="auto"/>
        <w:rPr>
          <w:sz w:val="20"/>
          <w:szCs w:val="20"/>
          <w:color w:val="auto"/>
        </w:rPr>
      </w:pPr>
      <w:r>
        <w:rPr>
          <w:rFonts w:ascii="Courier New" w:cs="Courier New" w:eastAsia="Courier New" w:hAnsi="Courier New"/>
          <w:sz w:val="15"/>
          <w:szCs w:val="15"/>
          <w:color w:val="auto"/>
        </w:rPr>
        <w:t>Senior Vice President,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29, 1996</w:t>
      </w:r>
    </w:p>
    <w:p>
      <w:pPr>
        <w:spacing w:after="0" w:line="7" w:lineRule="exact"/>
        <w:rPr>
          <w:sz w:val="20"/>
          <w:szCs w:val="20"/>
          <w:color w:val="auto"/>
        </w:rPr>
      </w:pPr>
    </w:p>
    <w:p>
      <w:pPr>
        <w:sectPr>
          <w:pgSz w:w="11900" w:h="16838" w:orient="portrait"/>
          <w:cols w:equalWidth="0" w:num="3">
            <w:col w:w="2040" w:space="720"/>
            <w:col w:w="2240" w:space="720"/>
            <w:col w:w="4499"/>
          </w:cols>
          <w:pgMar w:left="240" w:top="65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Joseph M. Hirko</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*Gwyneth Gamble Booth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Brix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*Carolyn S. Chambers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 Creighton,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 L. Harrison</w:t>
      </w:r>
    </w:p>
    <w:p>
      <w:pPr>
        <w:sectPr>
          <w:pgSz w:w="11900" w:h="16838" w:orient="portrait"/>
          <w:cols w:equalWidth="0" w:num="1">
            <w:col w:w="10219"/>
          </w:cols>
          <w:pgMar w:left="240" w:top="65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E. Hudson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February 29, 1996</w:t>
      </w:r>
    </w:p>
    <w:p>
      <w:pPr>
        <w:spacing w:after="0" w:line="8" w:lineRule="exact"/>
        <w:rPr>
          <w:sz w:val="20"/>
          <w:szCs w:val="20"/>
          <w:color w:val="auto"/>
        </w:rPr>
      </w:pPr>
    </w:p>
    <w:p>
      <w:pPr>
        <w:sectPr>
          <w:pgSz w:w="11900" w:h="16838" w:orient="portrait"/>
          <w:cols w:equalWidth="0" w:num="3">
            <w:col w:w="2040" w:space="720"/>
            <w:col w:w="2240" w:space="720"/>
            <w:col w:w="449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*Warren E. McCain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*Jerome J. Meyer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*Randolph L. Miller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G. Willison</w:t>
      </w:r>
    </w:p>
    <w:p>
      <w:pPr>
        <w:sectPr>
          <w:pgSz w:w="11900" w:h="16838" w:orient="portrait"/>
          <w:cols w:equalWidth="0" w:num="1">
            <w:col w:w="10219"/>
          </w:cols>
          <w:pgMar w:left="240" w:top="650"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 JOSEPH E. FELTZ</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E. Feltz, Attorney-in-Fact)</w:t>
      </w:r>
    </w:p>
    <w:p>
      <w:pPr>
        <w:spacing w:after="0" w:line="200" w:lineRule="exact"/>
        <w:rPr>
          <w:sz w:val="20"/>
          <w:szCs w:val="20"/>
          <w:color w:val="auto"/>
        </w:rPr>
      </w:pPr>
    </w:p>
    <w:p>
      <w:pPr>
        <w:sectPr>
          <w:pgSz w:w="11900" w:h="16838" w:orient="portrait"/>
          <w:cols w:equalWidth="0" w:num="2">
            <w:col w:w="280" w:space="260"/>
            <w:col w:w="9679"/>
          </w:cols>
          <w:pgMar w:left="240" w:top="650" w:right="1440" w:bottom="1440" w:gutter="0" w:footer="0" w:header="0"/>
          <w:type w:val="continuous"/>
        </w:sectPr>
      </w:pP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50" w:right="1440" w:bottom="1440" w:gutter="0" w:footer="0" w:header="0"/>
          <w:type w:val="continuous"/>
        </w:sectPr>
      </w:pPr>
    </w:p>
    <w:bookmarkStart w:id="60" w:name="page61"/>
    <w:bookmarkEnd w:id="60"/>
    <w:p>
      <w:pPr>
        <w:jc w:val="center"/>
        <w:ind w:right="3039"/>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behalf by the undersigned, thereunto duly authorized.</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Portland General Electric Company</w:t>
      </w:r>
    </w:p>
    <w:p>
      <w:pPr>
        <w:sectPr>
          <w:pgSz w:w="11900" w:h="16838" w:orient="portrait"/>
          <w:cols w:equalWidth="0" w:num="1">
            <w:col w:w="10219"/>
          </w:cols>
          <w:pgMar w:left="240" w:top="828"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February 29,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KEN L. HARRISON</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Ken L. Harrison</w:t>
      </w:r>
    </w:p>
    <w:p>
      <w:pPr>
        <w:spacing w:after="0" w:line="185" w:lineRule="exact"/>
        <w:rPr>
          <w:sz w:val="20"/>
          <w:szCs w:val="20"/>
          <w:color w:val="auto"/>
        </w:rPr>
      </w:pPr>
    </w:p>
    <w:p>
      <w:pPr>
        <w:sectPr>
          <w:pgSz w:w="11900" w:h="16838" w:orient="portrait"/>
          <w:cols w:equalWidth="0" w:num="3">
            <w:col w:w="1660" w:space="640"/>
            <w:col w:w="180" w:space="460"/>
            <w:col w:w="7279"/>
          </w:cols>
          <w:pgMar w:left="240" w:top="828"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5"/>
          <w:szCs w:val="15"/>
          <w:color w:val="auto"/>
        </w:rPr>
        <w:t>Chairman of the Board and</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828" w:right="1440" w:bottom="1440" w:gutter="0" w:footer="0" w:header="0"/>
          <w:type w:val="continuous"/>
        </w:sectPr>
      </w:pPr>
    </w:p>
    <w:p>
      <w:pPr>
        <w:spacing w:after="0" w:line="362"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Registrant and in the capacities and on the dates indicated.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60" w:type="dxa"/>
            <w:vAlign w:val="bottom"/>
          </w:tcPr>
          <w:p>
            <w:pPr>
              <w:ind w:left="320"/>
              <w:spacing w:after="0"/>
              <w:rPr>
                <w:sz w:val="20"/>
                <w:szCs w:val="20"/>
                <w:color w:val="auto"/>
              </w:rPr>
            </w:pPr>
            <w:r>
              <w:rPr>
                <w:rFonts w:ascii="Courier New" w:cs="Courier New" w:eastAsia="Courier New" w:hAnsi="Courier New"/>
                <w:sz w:val="15"/>
                <w:szCs w:val="15"/>
                <w:color w:val="auto"/>
              </w:rPr>
              <w:t>Chairman of the Board and</w:t>
            </w:r>
          </w:p>
        </w:tc>
        <w:tc>
          <w:tcPr>
            <w:tcW w:w="1880" w:type="dxa"/>
            <w:vAlign w:val="bottom"/>
          </w:tcPr>
          <w:p>
            <w:pPr>
              <w:spacing w:after="0"/>
              <w:rPr>
                <w:sz w:val="14"/>
                <w:szCs w:val="14"/>
                <w:color w:val="auto"/>
              </w:rPr>
            </w:pPr>
          </w:p>
        </w:tc>
      </w:tr>
      <w:tr>
        <w:trPr>
          <w:trHeight w:val="17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/S/ KEN L. HARRISON</w:t>
            </w:r>
          </w:p>
        </w:tc>
        <w:tc>
          <w:tcPr>
            <w:tcW w:w="2960" w:type="dxa"/>
            <w:vAlign w:val="bottom"/>
          </w:tcPr>
          <w:p>
            <w:pPr>
              <w:ind w:left="320"/>
              <w:spacing w:after="0"/>
              <w:rPr>
                <w:sz w:val="20"/>
                <w:szCs w:val="20"/>
                <w:color w:val="auto"/>
              </w:rPr>
            </w:pPr>
            <w:r>
              <w:rPr>
                <w:rFonts w:ascii="Courier New" w:cs="Courier New" w:eastAsia="Courier New" w:hAnsi="Courier New"/>
                <w:sz w:val="15"/>
                <w:szCs w:val="15"/>
                <w:color w:val="auto"/>
              </w:rPr>
              <w:t>Chief Executive Officer</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February 29, 1996</w:t>
            </w:r>
          </w:p>
        </w:tc>
      </w:tr>
      <w:tr>
        <w:trPr>
          <w:trHeight w:val="177"/>
        </w:trPr>
        <w:tc>
          <w:tcPr>
            <w:tcW w:w="2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Ken L. Harrison</w:t>
            </w: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532"/>
        </w:trPr>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60" w:type="dxa"/>
            <w:vAlign w:val="bottom"/>
          </w:tcPr>
          <w:p>
            <w:pPr>
              <w:ind w:left="320"/>
              <w:spacing w:after="0"/>
              <w:rPr>
                <w:sz w:val="20"/>
                <w:szCs w:val="20"/>
                <w:color w:val="auto"/>
              </w:rPr>
            </w:pPr>
            <w:r>
              <w:rPr>
                <w:rFonts w:ascii="Courier New" w:cs="Courier New" w:eastAsia="Courier New" w:hAnsi="Courier New"/>
                <w:sz w:val="15"/>
                <w:szCs w:val="15"/>
                <w:color w:val="auto"/>
              </w:rPr>
              <w:t>Senior Vice President</w:t>
            </w:r>
          </w:p>
        </w:tc>
        <w:tc>
          <w:tcPr>
            <w:tcW w:w="1880" w:type="dxa"/>
            <w:vAlign w:val="bottom"/>
          </w:tcPr>
          <w:p>
            <w:pPr>
              <w:spacing w:after="0"/>
              <w:rPr>
                <w:sz w:val="24"/>
                <w:szCs w:val="24"/>
                <w:color w:val="auto"/>
              </w:rPr>
            </w:pPr>
          </w:p>
        </w:tc>
      </w:tr>
      <w:tr>
        <w:trPr>
          <w:trHeight w:val="17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/S/ JOSEPH M. HIRKO</w:t>
            </w:r>
          </w:p>
        </w:tc>
        <w:tc>
          <w:tcPr>
            <w:tcW w:w="2960" w:type="dxa"/>
            <w:vAlign w:val="bottom"/>
          </w:tcPr>
          <w:p>
            <w:pPr>
              <w:ind w:left="320"/>
              <w:spacing w:after="0"/>
              <w:rPr>
                <w:sz w:val="20"/>
                <w:szCs w:val="20"/>
                <w:color w:val="auto"/>
              </w:rPr>
            </w:pPr>
            <w:r>
              <w:rPr>
                <w:rFonts w:ascii="Courier New" w:cs="Courier New" w:eastAsia="Courier New" w:hAnsi="Courier New"/>
                <w:sz w:val="15"/>
                <w:szCs w:val="15"/>
                <w:color w:val="auto"/>
              </w:rPr>
              <w:t>Chief Financial Officer</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February 29, 1996</w:t>
            </w:r>
          </w:p>
        </w:tc>
      </w:tr>
      <w:tr>
        <w:trPr>
          <w:trHeight w:val="177"/>
        </w:trPr>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Joseph M. Hirko</w:t>
            </w: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710"/>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*Gwyneth Gamble Booth</w:t>
            </w:r>
          </w:p>
        </w:tc>
        <w:tc>
          <w:tcPr>
            <w:tcW w:w="29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*Peter J. Brix</w:t>
            </w:r>
          </w:p>
        </w:tc>
        <w:tc>
          <w:tcPr>
            <w:tcW w:w="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*Carolyn S. Chambers</w:t>
            </w: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*John W. Creighton, Jr.</w:t>
            </w: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*Ken L. Harrison</w:t>
            </w:r>
          </w:p>
        </w:tc>
        <w:tc>
          <w:tcPr>
            <w:tcW w:w="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*Jerry E. Hudson</w:t>
            </w:r>
          </w:p>
        </w:tc>
        <w:tc>
          <w:tcPr>
            <w:tcW w:w="880" w:type="dxa"/>
            <w:vAlign w:val="bottom"/>
          </w:tcPr>
          <w:p>
            <w:pPr>
              <w:spacing w:after="0"/>
              <w:rPr>
                <w:sz w:val="15"/>
                <w:szCs w:val="15"/>
                <w:color w:val="auto"/>
              </w:rPr>
            </w:pPr>
          </w:p>
        </w:tc>
        <w:tc>
          <w:tcPr>
            <w:tcW w:w="2960" w:type="dxa"/>
            <w:vAlign w:val="bottom"/>
          </w:tcPr>
          <w:p>
            <w:pPr>
              <w:ind w:left="320"/>
              <w:spacing w:after="0"/>
              <w:rPr>
                <w:sz w:val="20"/>
                <w:szCs w:val="20"/>
                <w:color w:val="auto"/>
              </w:rPr>
            </w:pPr>
            <w:r>
              <w:rPr>
                <w:rFonts w:ascii="Courier New" w:cs="Courier New" w:eastAsia="Courier New" w:hAnsi="Courier New"/>
                <w:sz w:val="15"/>
                <w:szCs w:val="15"/>
                <w:color w:val="auto"/>
              </w:rPr>
              <w:t>Directors</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February 29, 1996</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*Warren E. McCain</w:t>
            </w:r>
          </w:p>
        </w:tc>
        <w:tc>
          <w:tcPr>
            <w:tcW w:w="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*Jerome J. Meyer</w:t>
            </w:r>
          </w:p>
        </w:tc>
        <w:tc>
          <w:tcPr>
            <w:tcW w:w="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*Randolph L. Miller</w:t>
            </w: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*Bruce G. Willison</w:t>
            </w: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532"/>
        </w:trPr>
        <w:tc>
          <w:tcPr>
            <w:tcW w:w="1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/S/ JOSEPH E. FELTZ</w:t>
            </w:r>
          </w:p>
        </w:tc>
        <w:tc>
          <w:tcPr>
            <w:tcW w:w="1880" w:type="dxa"/>
            <w:vAlign w:val="bottom"/>
          </w:tcPr>
          <w:p>
            <w:pPr>
              <w:spacing w:after="0"/>
              <w:rPr>
                <w:sz w:val="24"/>
                <w:szCs w:val="24"/>
                <w:color w:val="auto"/>
              </w:rPr>
            </w:pPr>
          </w:p>
        </w:tc>
      </w:tr>
    </w:tbl>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(Joseph E. Feltz, Attorney-in-Fact)</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828" w:right="1440" w:bottom="1440" w:gutter="0" w:footer="0" w:header="0"/>
          <w:type w:val="continuous"/>
        </w:sectPr>
      </w:pPr>
    </w:p>
    <w:bookmarkStart w:id="61" w:name="page62"/>
    <w:bookmarkEnd w:id="61"/>
    <w:p>
      <w:pPr>
        <w:jc w:val="center"/>
        <w:ind w:left="1280"/>
        <w:spacing w:after="0"/>
        <w:rPr>
          <w:sz w:val="20"/>
          <w:szCs w:val="20"/>
          <w:color w:val="auto"/>
        </w:rPr>
      </w:pPr>
      <w:r>
        <w:rPr>
          <w:rFonts w:ascii="Courier New" w:cs="Courier New" w:eastAsia="Courier New" w:hAnsi="Courier New"/>
          <w:sz w:val="15"/>
          <w:szCs w:val="15"/>
          <w:color w:val="auto"/>
        </w:rPr>
        <w:t>PORTLAND GENERAL CORPORATION AND SUBSIDIARIES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40"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185" w:lineRule="exact"/>
        <w:rPr>
          <w:sz w:val="20"/>
          <w:szCs w:val="20"/>
          <w:color w:val="auto"/>
        </w:rPr>
      </w:pPr>
    </w:p>
    <w:p>
      <w:pPr>
        <w:ind w:left="840" w:hanging="833"/>
        <w:spacing w:after="0"/>
        <w:tabs>
          <w:tab w:leader="none" w:pos="8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84" w:lineRule="exact"/>
        <w:rPr>
          <w:rFonts w:ascii="Courier New" w:cs="Courier New" w:eastAsia="Courier New" w:hAnsi="Courier New"/>
          <w:sz w:val="15"/>
          <w:szCs w:val="15"/>
          <w:color w:val="auto"/>
        </w:rPr>
      </w:pPr>
    </w:p>
    <w:p>
      <w:pPr>
        <w:ind w:left="840" w:right="280" w:hanging="185"/>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Restated Articles of Incorporation of Portland General Corporation [Pre-effective Amendment No. 1 to Form S-4, Registration No. 33-1987, dated December 31, 1985, Exhibit (B)].</w:t>
      </w:r>
    </w:p>
    <w:p>
      <w:pPr>
        <w:spacing w:after="0" w:line="176" w:lineRule="exact"/>
        <w:rPr>
          <w:sz w:val="20"/>
          <w:szCs w:val="20"/>
          <w:color w:val="auto"/>
        </w:rPr>
      </w:pPr>
    </w:p>
    <w:p>
      <w:pPr>
        <w:ind w:left="840" w:right="280" w:hanging="187"/>
        <w:spacing w:after="0" w:line="251" w:lineRule="auto"/>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dated July 2, 1987, to the Articles of Incorporation limiting the personal liability of directors of Portland General Corporation [Form 10-K for the fiscal year ended December 31, 1987, Exhibit (3)].</w:t>
      </w:r>
    </w:p>
    <w:p>
      <w:pPr>
        <w:spacing w:after="0" w:line="176" w:lineRule="exact"/>
        <w:rPr>
          <w:rFonts w:ascii="Courier New" w:cs="Courier New" w:eastAsia="Courier New" w:hAnsi="Courier New"/>
          <w:sz w:val="15"/>
          <w:szCs w:val="15"/>
          <w:color w:val="auto"/>
        </w:rPr>
      </w:pPr>
    </w:p>
    <w:p>
      <w:pPr>
        <w:ind w:left="840" w:right="100" w:hanging="187"/>
        <w:spacing w:after="0" w:line="253" w:lineRule="auto"/>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 of Articles of Incorporation of Portland General Electric Company [Registration No. 2-85001, Exhibit (4)].</w:t>
      </w:r>
    </w:p>
    <w:p>
      <w:pPr>
        <w:spacing w:after="0" w:line="174" w:lineRule="exact"/>
        <w:rPr>
          <w:rFonts w:ascii="Courier New" w:cs="Courier New" w:eastAsia="Courier New" w:hAnsi="Courier New"/>
          <w:sz w:val="15"/>
          <w:szCs w:val="15"/>
          <w:color w:val="auto"/>
        </w:rPr>
      </w:pPr>
    </w:p>
    <w:p>
      <w:pPr>
        <w:ind w:left="840" w:right="560" w:hanging="187"/>
        <w:spacing w:after="0" w:line="251" w:lineRule="auto"/>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dated July 2, 1987, to the Articles of Incorporation limiting the personal liability of directors of Portland General Electric Company [Form 10-K for the fiscal year ended December 31, 1987, Exhibit (3)].</w:t>
      </w:r>
    </w:p>
    <w:p>
      <w:pPr>
        <w:spacing w:after="0" w:line="176" w:lineRule="exact"/>
        <w:rPr>
          <w:rFonts w:ascii="Courier New" w:cs="Courier New" w:eastAsia="Courier New" w:hAnsi="Courier New"/>
          <w:sz w:val="15"/>
          <w:szCs w:val="15"/>
          <w:color w:val="auto"/>
        </w:rPr>
      </w:pPr>
    </w:p>
    <w:p>
      <w:pPr>
        <w:ind w:left="840" w:right="740" w:hanging="187"/>
        <w:spacing w:after="0" w:line="252" w:lineRule="auto"/>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Articles of Amendment of the New Preferred Stock of Portland General Electric Company [Registration No. 33-21257, Exhibit (4)].</w:t>
      </w:r>
    </w:p>
    <w:p>
      <w:pPr>
        <w:spacing w:after="0" w:line="174" w:lineRule="exact"/>
        <w:rPr>
          <w:rFonts w:ascii="Courier New" w:cs="Courier New" w:eastAsia="Courier New" w:hAnsi="Courier New"/>
          <w:sz w:val="15"/>
          <w:szCs w:val="15"/>
          <w:color w:val="auto"/>
        </w:rPr>
      </w:pPr>
    </w:p>
    <w:p>
      <w:pPr>
        <w:ind w:left="840" w:right="560" w:hanging="187"/>
        <w:spacing w:after="0" w:line="252" w:lineRule="auto"/>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Portland General Corporation as amended on February 5, 1991 [Form 10-K for the fiscal year ended December 31, 1990, Exhibit (10)].</w:t>
      </w:r>
    </w:p>
    <w:p>
      <w:pPr>
        <w:spacing w:after="0" w:line="174" w:lineRule="exact"/>
        <w:rPr>
          <w:rFonts w:ascii="Courier New" w:cs="Courier New" w:eastAsia="Courier New" w:hAnsi="Courier New"/>
          <w:sz w:val="15"/>
          <w:szCs w:val="15"/>
          <w:color w:val="auto"/>
        </w:rPr>
      </w:pPr>
    </w:p>
    <w:p>
      <w:pPr>
        <w:ind w:left="840" w:right="560" w:hanging="187"/>
        <w:spacing w:after="0" w:line="252" w:lineRule="auto"/>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Portland General Electric Company as amended on October 1, 1991 [Form 10-K for the fiscal year ended December 31, 1991, Exhibit (3)].</w:t>
      </w:r>
    </w:p>
    <w:p>
      <w:pPr>
        <w:spacing w:after="0" w:line="174" w:lineRule="exact"/>
        <w:rPr>
          <w:rFonts w:ascii="Courier New" w:cs="Courier New" w:eastAsia="Courier New" w:hAnsi="Courier New"/>
          <w:sz w:val="15"/>
          <w:szCs w:val="15"/>
          <w:color w:val="auto"/>
        </w:rPr>
      </w:pPr>
    </w:p>
    <w:p>
      <w:pPr>
        <w:ind w:left="840" w:right="560" w:hanging="833"/>
        <w:spacing w:after="0" w:line="253" w:lineRule="auto"/>
        <w:tabs>
          <w:tab w:leader="none" w:pos="8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 including indentures</w:t>
      </w:r>
    </w:p>
    <w:p>
      <w:pPr>
        <w:spacing w:after="0" w:line="174" w:lineRule="exact"/>
        <w:rPr>
          <w:rFonts w:ascii="Courier New" w:cs="Courier New" w:eastAsia="Courier New" w:hAnsi="Courier New"/>
          <w:sz w:val="15"/>
          <w:szCs w:val="15"/>
          <w:color w:val="auto"/>
        </w:rPr>
      </w:pPr>
    </w:p>
    <w:p>
      <w:pPr>
        <w:ind w:left="840" w:right="280" w:hanging="187"/>
        <w:spacing w:after="0" w:line="253" w:lineRule="auto"/>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Electric Company Indenture of Mortgage and Deed of Trust dated July 1, 1945;</w:t>
      </w:r>
    </w:p>
    <w:p>
      <w:pPr>
        <w:spacing w:after="0" w:line="174" w:lineRule="exact"/>
        <w:rPr>
          <w:rFonts w:ascii="Courier New" w:cs="Courier New" w:eastAsia="Courier New" w:hAnsi="Courier New"/>
          <w:sz w:val="15"/>
          <w:szCs w:val="15"/>
          <w:color w:val="auto"/>
        </w:rPr>
      </w:pPr>
    </w:p>
    <w:p>
      <w:pPr>
        <w:ind w:left="840" w:right="20" w:hanging="187"/>
        <w:spacing w:after="0" w:line="251" w:lineRule="auto"/>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Fifteenth Supplemental Indenture, dated June 1, 1966; Eighteenth Supplemental Indenture, dated November 1, 1970; Twentieth Supplemental Indenture, dated November 1, 1972; Twenty-First Supplemental Indenture, dated April 1, 1973; (Registration No. 2-61199, Exhibit 2.d-1).</w:t>
      </w:r>
    </w:p>
    <w:p>
      <w:pPr>
        <w:spacing w:after="0" w:line="176" w:lineRule="exact"/>
        <w:rPr>
          <w:rFonts w:ascii="Courier New" w:cs="Courier New" w:eastAsia="Courier New" w:hAnsi="Courier New"/>
          <w:sz w:val="15"/>
          <w:szCs w:val="15"/>
          <w:color w:val="auto"/>
        </w:rPr>
      </w:pPr>
    </w:p>
    <w:p>
      <w:pPr>
        <w:ind w:left="840" w:hanging="187"/>
        <w:spacing w:after="0"/>
        <w:tabs>
          <w:tab w:leader="none" w:pos="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Fortieth Supplemental Indenture, dated October 1,</w:t>
      </w:r>
    </w:p>
    <w:p>
      <w:pPr>
        <w:spacing w:after="0" w:line="7" w:lineRule="exact"/>
        <w:rPr>
          <w:rFonts w:ascii="Courier New" w:cs="Courier New" w:eastAsia="Courier New" w:hAnsi="Courier New"/>
          <w:sz w:val="15"/>
          <w:szCs w:val="15"/>
          <w:color w:val="auto"/>
        </w:rPr>
      </w:pPr>
    </w:p>
    <w:p>
      <w:pPr>
        <w:ind w:left="840" w:right="38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1990 [Form 10-K for the fiscal year ended December 31, 1990, 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5"/>
          <w:szCs w:val="15"/>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4"/>
          <w:szCs w:val="14"/>
          <w:color w:val="auto"/>
        </w:rPr>
        <w:t>PGC</w:t>
      </w:r>
      <w:r>
        <w:rPr>
          <w:sz w:val="20"/>
          <w:szCs w:val="20"/>
          <w:color w:val="auto"/>
        </w:rPr>
        <w:tab/>
      </w:r>
      <w:r>
        <w:rPr>
          <w:rFonts w:ascii="Courier New" w:cs="Courier New" w:eastAsia="Courier New" w:hAnsi="Courier New"/>
          <w:sz w:val="14"/>
          <w:szCs w:val="14"/>
          <w:color w:val="auto"/>
        </w:rPr>
        <w:t>PGE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X</w:t>
      </w:r>
    </w:p>
    <w:p>
      <w:pPr>
        <w:spacing w:after="0" w:line="362"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340"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34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340"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34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ectPr>
          <w:pgSz w:w="11900" w:h="16838" w:orient="portrait"/>
          <w:cols w:equalWidth="0" w:num="2">
            <w:col w:w="6200" w:space="720"/>
            <w:col w:w="3219"/>
          </w:cols>
          <w:pgMar w:left="320" w:top="1005" w:right="1440" w:bottom="1440" w:gutter="0" w:footer="0" w:header="0"/>
        </w:sectPr>
      </w:pPr>
    </w:p>
    <w:bookmarkStart w:id="62" w:name="page63"/>
    <w:bookmarkEnd w:id="62"/>
    <w:p>
      <w:pPr>
        <w:jc w:val="center"/>
        <w:ind w:left="1360"/>
        <w:spacing w:after="0"/>
        <w:rPr>
          <w:sz w:val="20"/>
          <w:szCs w:val="20"/>
          <w:color w:val="auto"/>
        </w:rPr>
      </w:pPr>
      <w:r>
        <w:rPr>
          <w:rFonts w:ascii="Courier New" w:cs="Courier New" w:eastAsia="Courier New" w:hAnsi="Courier New"/>
          <w:sz w:val="15"/>
          <w:szCs w:val="15"/>
          <w:color w:val="auto"/>
        </w:rPr>
        <w:t>PORTLAND GENERAL CORPORATION AND SUBSIDIARIES</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40" w:lineRule="exact"/>
        <w:rPr>
          <w:sz w:val="20"/>
          <w:szCs w:val="20"/>
          <w:color w:val="auto"/>
        </w:rPr>
      </w:pPr>
    </w:p>
    <w:p>
      <w:pPr>
        <w:ind w:left="80"/>
        <w:spacing w:after="0"/>
        <w:tabs>
          <w:tab w:leader="none" w:pos="29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362" w:lineRule="exact"/>
        <w:rPr>
          <w:sz w:val="20"/>
          <w:szCs w:val="20"/>
          <w:color w:val="auto"/>
        </w:rPr>
      </w:pPr>
    </w:p>
    <w:p>
      <w:pPr>
        <w:ind w:left="740" w:hanging="653"/>
        <w:spacing w:after="0"/>
        <w:tabs>
          <w:tab w:leader="none" w:pos="7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Forty-First Supplemental Indenture dated December 31,</w:t>
      </w:r>
    </w:p>
    <w:p>
      <w:pPr>
        <w:spacing w:after="0" w:line="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Cont.</w:t>
      </w:r>
      <w:r>
        <w:rPr>
          <w:sz w:val="20"/>
          <w:szCs w:val="20"/>
          <w:color w:val="auto"/>
        </w:rPr>
        <w:tab/>
      </w:r>
      <w:r>
        <w:rPr>
          <w:rFonts w:ascii="Courier New" w:cs="Courier New" w:eastAsia="Courier New" w:hAnsi="Courier New"/>
          <w:sz w:val="15"/>
          <w:szCs w:val="15"/>
          <w:color w:val="auto"/>
        </w:rPr>
        <w:t>1991 [Form 10-K for the fiscal year ended December 31,</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1991, Exhibit (4)].</w:t>
      </w:r>
    </w:p>
    <w:p>
      <w:pPr>
        <w:spacing w:after="0" w:line="185" w:lineRule="exact"/>
        <w:rPr>
          <w:sz w:val="20"/>
          <w:szCs w:val="20"/>
          <w:color w:val="auto"/>
        </w:rPr>
      </w:pPr>
    </w:p>
    <w:p>
      <w:pPr>
        <w:ind w:left="920" w:right="280" w:hanging="187"/>
        <w:spacing w:after="0" w:line="252" w:lineRule="auto"/>
        <w:tabs>
          <w:tab w:leader="none" w:pos="9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Forty-Second Supplemental Indenture dated April 1, 1993 [Form 10-Q for the quarter ended March 31,1993, Exhibit (4)].</w:t>
      </w:r>
    </w:p>
    <w:p>
      <w:pPr>
        <w:spacing w:after="0" w:line="174" w:lineRule="exact"/>
        <w:rPr>
          <w:rFonts w:ascii="Courier New" w:cs="Courier New" w:eastAsia="Courier New" w:hAnsi="Courier New"/>
          <w:sz w:val="15"/>
          <w:szCs w:val="15"/>
          <w:color w:val="auto"/>
        </w:rPr>
      </w:pPr>
    </w:p>
    <w:p>
      <w:pPr>
        <w:ind w:left="920" w:right="480" w:hanging="187"/>
        <w:spacing w:after="0" w:line="252" w:lineRule="auto"/>
        <w:tabs>
          <w:tab w:leader="none" w:pos="9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Forty-Third Supplemental Indenture dated July 1, 1993 [Form 10-Q for the quarter ended September 30, 1993, Exhibit (4)].</w:t>
      </w:r>
    </w:p>
    <w:p>
      <w:pPr>
        <w:spacing w:after="0" w:line="174" w:lineRule="exact"/>
        <w:rPr>
          <w:rFonts w:ascii="Courier New" w:cs="Courier New" w:eastAsia="Courier New" w:hAnsi="Courier New"/>
          <w:sz w:val="15"/>
          <w:szCs w:val="15"/>
          <w:color w:val="auto"/>
        </w:rPr>
      </w:pPr>
    </w:p>
    <w:p>
      <w:pPr>
        <w:ind w:left="920" w:right="200" w:hanging="187"/>
        <w:spacing w:after="0" w:line="252" w:lineRule="auto"/>
        <w:tabs>
          <w:tab w:leader="none" w:pos="9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Forty-Fourth Supplemental Indenture dated August 1, 1994 [Form 10-Q for the quarter ended September 30, 1994, Exhibit (4)].</w:t>
      </w:r>
    </w:p>
    <w:p>
      <w:pPr>
        <w:spacing w:after="0" w:line="174" w:lineRule="exact"/>
        <w:rPr>
          <w:rFonts w:ascii="Courier New" w:cs="Courier New" w:eastAsia="Courier New" w:hAnsi="Courier New"/>
          <w:sz w:val="15"/>
          <w:szCs w:val="15"/>
          <w:color w:val="auto"/>
        </w:rPr>
      </w:pPr>
    </w:p>
    <w:p>
      <w:pPr>
        <w:ind w:left="920" w:right="560" w:hanging="187"/>
        <w:spacing w:after="0" w:line="252" w:lineRule="auto"/>
        <w:tabs>
          <w:tab w:leader="none" w:pos="9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Forty-Fifth Supplemental Indenture dated May 1, 1995 [Form 10-Q for the quarter ended June 30, 1995, Exhibit (4)].</w:t>
      </w:r>
    </w:p>
    <w:p>
      <w:pPr>
        <w:spacing w:after="0" w:line="174" w:lineRule="exact"/>
        <w:rPr>
          <w:rFonts w:ascii="Courier New" w:cs="Courier New" w:eastAsia="Courier New" w:hAnsi="Courier New"/>
          <w:sz w:val="15"/>
          <w:szCs w:val="15"/>
          <w:color w:val="auto"/>
        </w:rPr>
      </w:pPr>
    </w:p>
    <w:p>
      <w:pPr>
        <w:ind w:left="920" w:right="28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instruments which define the rights of holders of long-term debt not required to be filed herein will be furnished upon written request.</w:t>
      </w:r>
    </w:p>
    <w:p>
      <w:pPr>
        <w:spacing w:after="0" w:line="174" w:lineRule="exact"/>
        <w:rPr>
          <w:rFonts w:ascii="Courier New" w:cs="Courier New" w:eastAsia="Courier New" w:hAnsi="Courier New"/>
          <w:sz w:val="15"/>
          <w:szCs w:val="15"/>
          <w:color w:val="auto"/>
        </w:rPr>
      </w:pPr>
    </w:p>
    <w:p>
      <w:pPr>
        <w:ind w:left="920" w:hanging="833"/>
        <w:spacing w:after="0"/>
        <w:tabs>
          <w:tab w:leader="none" w:pos="9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84" w:lineRule="exact"/>
        <w:rPr>
          <w:rFonts w:ascii="Courier New" w:cs="Courier New" w:eastAsia="Courier New" w:hAnsi="Courier New"/>
          <w:sz w:val="15"/>
          <w:szCs w:val="15"/>
          <w:color w:val="auto"/>
        </w:rPr>
      </w:pPr>
    </w:p>
    <w:p>
      <w:pPr>
        <w:ind w:left="920" w:right="660" w:hanging="187"/>
        <w:spacing w:after="0" w:line="252" w:lineRule="auto"/>
        <w:tabs>
          <w:tab w:leader="none" w:pos="9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Residential Purchase and Sale Agreement with the Bonneville Power Administration [Form 10-K for the fiscal year ended December 31, 1981, Exhibit (10)].</w:t>
      </w:r>
    </w:p>
    <w:p>
      <w:pPr>
        <w:spacing w:after="0" w:line="174" w:lineRule="exact"/>
        <w:rPr>
          <w:rFonts w:ascii="Courier New" w:cs="Courier New" w:eastAsia="Courier New" w:hAnsi="Courier New"/>
          <w:sz w:val="15"/>
          <w:szCs w:val="15"/>
          <w:color w:val="auto"/>
        </w:rPr>
      </w:pPr>
    </w:p>
    <w:p>
      <w:pPr>
        <w:ind w:left="920" w:right="200" w:hanging="187"/>
        <w:spacing w:after="0" w:line="252" w:lineRule="auto"/>
        <w:tabs>
          <w:tab w:leader="none" w:pos="9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Sales Contract and Amendatory Agreement Nos. 1 and 2 with Bonneville Power Administration [Form 10-K for the fiscal year ended December 31, 1982, Exhibit (10)].</w:t>
      </w:r>
    </w:p>
    <w:p>
      <w:pPr>
        <w:spacing w:after="0" w:line="175" w:lineRule="exact"/>
        <w:rPr>
          <w:sz w:val="20"/>
          <w:szCs w:val="20"/>
          <w:color w:val="auto"/>
        </w:rPr>
      </w:pPr>
    </w:p>
    <w:p>
      <w:pPr>
        <w:ind w:left="740" w:right="20"/>
        <w:spacing w:after="0" w:line="253" w:lineRule="auto"/>
        <w:rPr>
          <w:sz w:val="20"/>
          <w:szCs w:val="20"/>
          <w:color w:val="auto"/>
        </w:rPr>
      </w:pPr>
      <w:r>
        <w:rPr>
          <w:rFonts w:ascii="Courier New" w:cs="Courier New" w:eastAsia="Courier New" w:hAnsi="Courier New"/>
          <w:sz w:val="15"/>
          <w:szCs w:val="15"/>
          <w:color w:val="auto"/>
        </w:rPr>
        <w:t>The following 12 exhibits were filed in conjunction with the 1985 Boardman/Intertie Sale:</w:t>
      </w:r>
    </w:p>
    <w:p>
      <w:pPr>
        <w:spacing w:after="0" w:line="174" w:lineRule="exact"/>
        <w:rPr>
          <w:sz w:val="20"/>
          <w:szCs w:val="20"/>
          <w:color w:val="auto"/>
        </w:rPr>
      </w:pPr>
    </w:p>
    <w:p>
      <w:pPr>
        <w:ind w:left="920" w:right="280" w:hanging="187"/>
        <w:spacing w:after="0" w:line="252" w:lineRule="auto"/>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Power Sale Agreement, dated November 5, 1985 [Form 10-K for the fiscal year ended December 31, 1985, Exhibit (10)].</w:t>
      </w:r>
    </w:p>
    <w:p>
      <w:pPr>
        <w:spacing w:after="0" w:line="174" w:lineRule="exact"/>
        <w:rPr>
          <w:rFonts w:ascii="Courier New" w:cs="Courier New" w:eastAsia="Courier New" w:hAnsi="Courier New"/>
          <w:sz w:val="15"/>
          <w:szCs w:val="15"/>
          <w:color w:val="auto"/>
        </w:rPr>
      </w:pPr>
    </w:p>
    <w:p>
      <w:pPr>
        <w:jc w:val="both"/>
        <w:ind w:left="920" w:right="1020" w:hanging="187"/>
        <w:spacing w:after="0" w:line="252" w:lineRule="auto"/>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Transmission Service Agreement, dated November 5, 1985 [Form 10-K for the fiscal year ended December 31, 1985, Exhibit (10)].</w:t>
      </w:r>
    </w:p>
    <w:p>
      <w:pPr>
        <w:spacing w:after="0" w:line="174" w:lineRule="exact"/>
        <w:rPr>
          <w:rFonts w:ascii="Courier New" w:cs="Courier New" w:eastAsia="Courier New" w:hAnsi="Courier New"/>
          <w:sz w:val="15"/>
          <w:szCs w:val="15"/>
          <w:color w:val="auto"/>
        </w:rPr>
      </w:pPr>
    </w:p>
    <w:p>
      <w:pPr>
        <w:ind w:left="920" w:right="840" w:hanging="187"/>
        <w:spacing w:after="0" w:line="252" w:lineRule="auto"/>
        <w:tabs>
          <w:tab w:leader="none" w:pos="9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Agreement, dated December 30, 1985 [Form 10-K for the fiscal year ended December 31, 1985, Exhibit (10)].</w:t>
      </w:r>
    </w:p>
    <w:p>
      <w:pPr>
        <w:spacing w:after="0" w:line="200" w:lineRule="exact"/>
        <w:rPr>
          <w:sz w:val="20"/>
          <w:szCs w:val="20"/>
          <w:color w:val="auto"/>
        </w:rPr>
      </w:pPr>
    </w:p>
    <w:p>
      <w:pPr>
        <w:spacing w:after="0" w:line="329" w:lineRule="exact"/>
        <w:rPr>
          <w:sz w:val="20"/>
          <w:szCs w:val="20"/>
          <w:color w:val="auto"/>
        </w:rPr>
      </w:pPr>
    </w:p>
    <w:p>
      <w:pPr>
        <w:jc w:val="center"/>
        <w:ind w:left="900"/>
        <w:spacing w:after="0"/>
        <w:rPr>
          <w:sz w:val="20"/>
          <w:szCs w:val="20"/>
          <w:color w:val="auto"/>
        </w:rPr>
      </w:pPr>
      <w:r>
        <w:rPr>
          <w:rFonts w:ascii="Courier New" w:cs="Courier New" w:eastAsia="Courier New" w:hAnsi="Courier New"/>
          <w:sz w:val="15"/>
          <w:szCs w:val="15"/>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PGC</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6"/>
              </w:rPr>
              <w:t>PGE</w:t>
            </w:r>
          </w:p>
        </w:tc>
      </w:tr>
      <w:tr>
        <w:trPr>
          <w:trHeight w:val="887"/>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34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34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pacing w:after="0" w:line="200" w:lineRule="exact"/>
        <w:rPr>
          <w:sz w:val="20"/>
          <w:szCs w:val="20"/>
          <w:color w:val="auto"/>
        </w:rPr>
      </w:pPr>
    </w:p>
    <w:p>
      <w:pPr>
        <w:spacing w:after="0" w:line="340" w:lineRule="exact"/>
        <w:rPr>
          <w:sz w:val="20"/>
          <w:szCs w:val="20"/>
          <w:color w:val="auto"/>
        </w:rPr>
      </w:pPr>
    </w:p>
    <w:p>
      <w:pPr>
        <w:ind w:left="100"/>
        <w:spacing w:after="0"/>
        <w:tabs>
          <w:tab w:leader="none" w:pos="72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X</w:t>
      </w:r>
    </w:p>
    <w:p>
      <w:pPr>
        <w:sectPr>
          <w:pgSz w:w="11900" w:h="16838" w:orient="portrait"/>
          <w:cols w:equalWidth="0" w:num="2">
            <w:col w:w="6280" w:space="720"/>
            <w:col w:w="3219"/>
          </w:cols>
          <w:pgMar w:left="240" w:top="1005" w:right="1440" w:bottom="1440" w:gutter="0" w:footer="0" w:header="0"/>
        </w:sectPr>
      </w:pPr>
    </w:p>
    <w:bookmarkStart w:id="63" w:name="page64"/>
    <w:bookmarkEnd w:id="63"/>
    <w:p>
      <w:pPr>
        <w:jc w:val="center"/>
        <w:ind w:left="1200"/>
        <w:spacing w:after="0"/>
        <w:rPr>
          <w:sz w:val="20"/>
          <w:szCs w:val="20"/>
          <w:color w:val="auto"/>
        </w:rPr>
      </w:pPr>
      <w:r>
        <w:rPr>
          <w:rFonts w:ascii="Courier New" w:cs="Courier New" w:eastAsia="Courier New" w:hAnsi="Courier New"/>
          <w:sz w:val="15"/>
          <w:szCs w:val="15"/>
          <w:color w:val="auto"/>
        </w:rPr>
        <w:t>PORTLAND GENERAL CORPORATION AND SUBSIDIARIES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40"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185" w:lineRule="exact"/>
        <w:rPr>
          <w:sz w:val="20"/>
          <w:szCs w:val="20"/>
          <w:color w:val="auto"/>
        </w:rPr>
      </w:pPr>
    </w:p>
    <w:p>
      <w:pPr>
        <w:ind w:left="660" w:hanging="653"/>
        <w:spacing w:after="0"/>
        <w:tabs>
          <w:tab w:leader="none" w:pos="6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Lease Agreement, dated December 30, 1985 [Form 10-K</w:t>
      </w:r>
    </w:p>
    <w:p>
      <w:pPr>
        <w:spacing w:after="0" w:line="7" w:lineRule="exact"/>
        <w:rPr>
          <w:rFonts w:ascii="Courier New" w:cs="Courier New" w:eastAsia="Courier New" w:hAnsi="Courier New"/>
          <w:sz w:val="15"/>
          <w:szCs w:val="15"/>
          <w:color w:val="auto"/>
        </w:rPr>
      </w:pPr>
    </w:p>
    <w:p>
      <w:pPr>
        <w:ind w:left="840" w:right="1380" w:hanging="831"/>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Cont.for the fiscal year ended December 31, 1985, Exhibit (10)].</w:t>
      </w:r>
    </w:p>
    <w:p>
      <w:pPr>
        <w:spacing w:after="0" w:line="174" w:lineRule="exact"/>
        <w:rPr>
          <w:rFonts w:ascii="Courier New" w:cs="Courier New" w:eastAsia="Courier New" w:hAnsi="Courier New"/>
          <w:sz w:val="15"/>
          <w:szCs w:val="15"/>
          <w:color w:val="auto"/>
        </w:rPr>
      </w:pPr>
    </w:p>
    <w:p>
      <w:pPr>
        <w:ind w:left="840" w:right="920" w:hanging="185"/>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PGE-Lessee Agreement, dated December 30, 1985 [Form 10-K for the fiscal year ended December 31, 1985, Exhibit (10)].</w:t>
      </w:r>
    </w:p>
    <w:p>
      <w:pPr>
        <w:spacing w:after="0" w:line="175" w:lineRule="exact"/>
        <w:rPr>
          <w:sz w:val="20"/>
          <w:szCs w:val="20"/>
          <w:color w:val="auto"/>
        </w:rPr>
      </w:pPr>
    </w:p>
    <w:p>
      <w:pPr>
        <w:ind w:left="840" w:right="920" w:hanging="187"/>
        <w:spacing w:after="0" w:line="252"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Sales Agreement, dated December 30, 1985 [Form 10-K for the fiscal year ended December 31, 1985, Exhibit (10)].</w:t>
      </w:r>
    </w:p>
    <w:p>
      <w:pPr>
        <w:spacing w:after="0" w:line="174" w:lineRule="exact"/>
        <w:rPr>
          <w:rFonts w:ascii="Courier New" w:cs="Courier New" w:eastAsia="Courier New" w:hAnsi="Courier New"/>
          <w:sz w:val="15"/>
          <w:szCs w:val="15"/>
          <w:color w:val="auto"/>
        </w:rPr>
      </w:pPr>
    </w:p>
    <w:p>
      <w:pPr>
        <w:ind w:left="840" w:right="920" w:hanging="187"/>
        <w:spacing w:after="0" w:line="251"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Bargain and Sale Deed, Bill of Sale and Grant of Easements and Licenses, dated December 30, 1985 [Form 10-K for the fiscal year ended December 31, 1985, Exhibit (10)].</w:t>
      </w:r>
    </w:p>
    <w:p>
      <w:pPr>
        <w:spacing w:after="0" w:line="176" w:lineRule="exact"/>
        <w:rPr>
          <w:rFonts w:ascii="Courier New" w:cs="Courier New" w:eastAsia="Courier New" w:hAnsi="Courier New"/>
          <w:sz w:val="15"/>
          <w:szCs w:val="15"/>
          <w:color w:val="auto"/>
        </w:rPr>
      </w:pPr>
    </w:p>
    <w:p>
      <w:pPr>
        <w:ind w:left="840" w:right="820" w:hanging="187"/>
        <w:spacing w:after="0" w:line="252"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Bill of Sale, dated December 30, 1985 [Form 10-K for the fiscal year ended December 31, 1985, Exhibit (10)].</w:t>
      </w:r>
    </w:p>
    <w:p>
      <w:pPr>
        <w:spacing w:after="0" w:line="174" w:lineRule="exact"/>
        <w:rPr>
          <w:rFonts w:ascii="Courier New" w:cs="Courier New" w:eastAsia="Courier New" w:hAnsi="Courier New"/>
          <w:sz w:val="15"/>
          <w:szCs w:val="15"/>
          <w:color w:val="auto"/>
        </w:rPr>
      </w:pPr>
    </w:p>
    <w:p>
      <w:pPr>
        <w:ind w:left="840" w:hanging="187"/>
        <w:spacing w:after="0"/>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 Agreement, dated December 30, 1985 [Form 10-K</w:t>
      </w:r>
    </w:p>
    <w:p>
      <w:pPr>
        <w:spacing w:after="0" w:line="7" w:lineRule="exact"/>
        <w:rPr>
          <w:rFonts w:ascii="Courier New" w:cs="Courier New" w:eastAsia="Courier New" w:hAnsi="Courier New"/>
          <w:sz w:val="15"/>
          <w:szCs w:val="15"/>
          <w:color w:val="auto"/>
        </w:rPr>
      </w:pPr>
    </w:p>
    <w:p>
      <w:pPr>
        <w:ind w:left="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1985, Exhibit (10)].</w:t>
      </w:r>
    </w:p>
    <w:p>
      <w:pPr>
        <w:spacing w:after="0" w:line="184" w:lineRule="exact"/>
        <w:rPr>
          <w:rFonts w:ascii="Courier New" w:cs="Courier New" w:eastAsia="Courier New" w:hAnsi="Courier New"/>
          <w:sz w:val="15"/>
          <w:szCs w:val="15"/>
          <w:color w:val="auto"/>
        </w:rPr>
      </w:pPr>
    </w:p>
    <w:p>
      <w:pPr>
        <w:ind w:left="840" w:right="360" w:hanging="187"/>
        <w:spacing w:after="0" w:line="252"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Indemnification Agreement, dated December 30, 1985 [Form 10-K for the fiscal year ended December 31, 1985, Exhibit (10)].</w:t>
      </w:r>
    </w:p>
    <w:p>
      <w:pPr>
        <w:spacing w:after="0" w:line="174" w:lineRule="exact"/>
        <w:rPr>
          <w:rFonts w:ascii="Courier New" w:cs="Courier New" w:eastAsia="Courier New" w:hAnsi="Courier New"/>
          <w:sz w:val="15"/>
          <w:szCs w:val="15"/>
          <w:color w:val="auto"/>
        </w:rPr>
      </w:pPr>
    </w:p>
    <w:p>
      <w:pPr>
        <w:ind w:left="840" w:right="360" w:hanging="187"/>
        <w:spacing w:after="0" w:line="252"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 Indenture, Mortgage and Security Agreement, dated December 30, 1985 [Form 10-K for the fiscal year ended December 31, 1985, Exhibit (10)].</w:t>
      </w:r>
    </w:p>
    <w:p>
      <w:pPr>
        <w:spacing w:after="0" w:line="174" w:lineRule="exact"/>
        <w:rPr>
          <w:rFonts w:ascii="Courier New" w:cs="Courier New" w:eastAsia="Courier New" w:hAnsi="Courier New"/>
          <w:sz w:val="15"/>
          <w:szCs w:val="15"/>
          <w:color w:val="auto"/>
        </w:rPr>
      </w:pPr>
    </w:p>
    <w:p>
      <w:pPr>
        <w:ind w:left="840" w:hanging="187"/>
        <w:spacing w:after="0" w:line="252"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and Amended Trust Indenture, Mortgage and Security Agreement, dated February 27, 1986 [Form 10-K for the fiscal year ended December 31, 1985, Exhibit (10)].</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840" w:right="1020" w:hanging="187"/>
        <w:spacing w:after="0" w:line="251"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Outside Directors' Deferred Compensation Plan, 1990 Restatement dated November 1, 1990 [Form 10-K for the fiscal year ended December 31, 1990, Exhibit (10)].</w:t>
      </w:r>
    </w:p>
    <w:p>
      <w:pPr>
        <w:spacing w:after="0" w:line="176" w:lineRule="exact"/>
        <w:rPr>
          <w:rFonts w:ascii="Courier New" w:cs="Courier New" w:eastAsia="Courier New" w:hAnsi="Courier New"/>
          <w:sz w:val="15"/>
          <w:szCs w:val="15"/>
          <w:color w:val="auto"/>
        </w:rPr>
      </w:pPr>
    </w:p>
    <w:p>
      <w:pPr>
        <w:ind w:left="840" w:right="360" w:hanging="187"/>
        <w:spacing w:after="0" w:line="251"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Retirement Plan for Outside Directors, 1990 Restatement dated July 10, 1990 [Form 10-K for the fiscal year ended December 31, 1990, Exhibit (10)].</w:t>
      </w:r>
    </w:p>
    <w:p>
      <w:pPr>
        <w:spacing w:after="0" w:line="200" w:lineRule="exact"/>
        <w:rPr>
          <w:sz w:val="20"/>
          <w:szCs w:val="20"/>
          <w:color w:val="auto"/>
        </w:rPr>
      </w:pPr>
    </w:p>
    <w:p>
      <w:pPr>
        <w:spacing w:after="0" w:line="331"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5"/>
          <w:szCs w:val="15"/>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PGC</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6"/>
              </w:rPr>
              <w:t>PGE</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887"/>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532"/>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1242"/>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887"/>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bl>
    <w:p>
      <w:pPr>
        <w:sectPr>
          <w:pgSz w:w="11900" w:h="16838" w:orient="portrait"/>
          <w:cols w:equalWidth="0" w:num="2">
            <w:col w:w="6280" w:space="640"/>
            <w:col w:w="3219"/>
          </w:cols>
          <w:pgMar w:left="320" w:top="1005" w:right="1440" w:bottom="1440" w:gutter="0" w:footer="0" w:header="0"/>
        </w:sectPr>
      </w:pPr>
    </w:p>
    <w:bookmarkStart w:id="64" w:name="page65"/>
    <w:bookmarkEnd w:id="64"/>
    <w:p>
      <w:pPr>
        <w:jc w:val="center"/>
        <w:ind w:left="1120"/>
        <w:spacing w:after="0"/>
        <w:rPr>
          <w:sz w:val="20"/>
          <w:szCs w:val="20"/>
          <w:color w:val="auto"/>
        </w:rPr>
      </w:pPr>
      <w:r>
        <w:rPr>
          <w:rFonts w:ascii="Courier New" w:cs="Courier New" w:eastAsia="Courier New" w:hAnsi="Courier New"/>
          <w:sz w:val="15"/>
          <w:szCs w:val="15"/>
          <w:color w:val="auto"/>
        </w:rPr>
        <w:t>PORTLAND GENERAL CORPORATION AND SUBSIDIARIES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40"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185" w:lineRule="exact"/>
        <w:rPr>
          <w:sz w:val="20"/>
          <w:szCs w:val="20"/>
          <w:color w:val="auto"/>
        </w:rPr>
      </w:pPr>
    </w:p>
    <w:p>
      <w:pPr>
        <w:ind w:left="660" w:hanging="653"/>
        <w:spacing w:after="0"/>
        <w:tabs>
          <w:tab w:leader="none" w:pos="6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Portland General Corporation Outside Directors Life</w:t>
      </w:r>
    </w:p>
    <w:p>
      <w:pPr>
        <w:spacing w:after="0" w:line="7" w:lineRule="exact"/>
        <w:rPr>
          <w:rFonts w:ascii="Courier New" w:cs="Courier New" w:eastAsia="Courier New" w:hAnsi="Courier New"/>
          <w:sz w:val="15"/>
          <w:szCs w:val="15"/>
          <w:color w:val="auto"/>
        </w:rPr>
      </w:pPr>
    </w:p>
    <w:p>
      <w:pPr>
        <w:ind w:left="840" w:right="660" w:hanging="831"/>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Cont.Insurance Benefit Plan, Amendment No. 2 dated December 3, 1989 [Form 10-K for the fiscal year ended December 31, 1989, Exhibit (10)].</w:t>
      </w:r>
    </w:p>
    <w:p>
      <w:pPr>
        <w:spacing w:after="0" w:line="175" w:lineRule="exact"/>
        <w:rPr>
          <w:sz w:val="20"/>
          <w:szCs w:val="20"/>
          <w:color w:val="auto"/>
        </w:rPr>
      </w:pPr>
    </w:p>
    <w:p>
      <w:pPr>
        <w:ind w:left="840" w:right="660" w:hanging="187"/>
        <w:spacing w:after="0" w:line="250" w:lineRule="auto"/>
        <w:tabs>
          <w:tab w:leader="none" w:pos="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Outside Directors' Stock Compensation Plan, Amended and Restated December 6,</w:t>
      </w:r>
    </w:p>
    <w:p>
      <w:pPr>
        <w:ind w:left="840" w:right="56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1989 [Form 10-K for the fiscal year ended December 31, 1991, Exhibit (10)].</w:t>
      </w:r>
    </w:p>
    <w:p>
      <w:pPr>
        <w:spacing w:after="0" w:line="174" w:lineRule="exact"/>
        <w:rPr>
          <w:rFonts w:ascii="Courier New" w:cs="Courier New" w:eastAsia="Courier New" w:hAnsi="Courier New"/>
          <w:sz w:val="15"/>
          <w:szCs w:val="15"/>
          <w:color w:val="auto"/>
        </w:rPr>
      </w:pPr>
    </w:p>
    <w:p>
      <w:pPr>
        <w:ind w:left="840" w:right="660" w:hanging="187"/>
        <w:spacing w:after="0" w:line="250" w:lineRule="auto"/>
        <w:tabs>
          <w:tab w:leader="none" w:pos="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outside Directors' Stock Compensation Plan, Amendment No. 1 dated February 8,</w:t>
      </w:r>
    </w:p>
    <w:p>
      <w:pPr>
        <w:ind w:left="840" w:right="66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1994 [Form 10-Q for the quarter ended March 31, 1994, Exhibit (10)].</w:t>
      </w:r>
    </w:p>
    <w:p>
      <w:pPr>
        <w:spacing w:after="0" w:line="174" w:lineRule="exact"/>
        <w:rPr>
          <w:rFonts w:ascii="Courier New" w:cs="Courier New" w:eastAsia="Courier New" w:hAnsi="Courier New"/>
          <w:sz w:val="15"/>
          <w:szCs w:val="15"/>
          <w:color w:val="auto"/>
        </w:rPr>
      </w:pPr>
    </w:p>
    <w:p>
      <w:pPr>
        <w:ind w:left="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COMPENSATION PLANS AND ARRANGEMENTS</w:t>
      </w:r>
    </w:p>
    <w:p>
      <w:pPr>
        <w:spacing w:after="0" w:line="184" w:lineRule="exact"/>
        <w:rPr>
          <w:rFonts w:ascii="Courier New" w:cs="Courier New" w:eastAsia="Courier New" w:hAnsi="Courier New"/>
          <w:sz w:val="15"/>
          <w:szCs w:val="15"/>
          <w:color w:val="auto"/>
        </w:rPr>
      </w:pPr>
    </w:p>
    <w:p>
      <w:pPr>
        <w:ind w:left="840" w:right="74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Management Deferred Compensation Plan, 1994 Restatement dated October 1, 1994 (filed herewith).</w:t>
      </w:r>
    </w:p>
    <w:p>
      <w:pPr>
        <w:spacing w:after="0" w:line="174" w:lineRule="exact"/>
        <w:rPr>
          <w:rFonts w:ascii="Courier New" w:cs="Courier New" w:eastAsia="Courier New" w:hAnsi="Courier New"/>
          <w:sz w:val="15"/>
          <w:szCs w:val="15"/>
          <w:color w:val="auto"/>
        </w:rPr>
      </w:pPr>
    </w:p>
    <w:p>
      <w:pPr>
        <w:ind w:left="840" w:right="102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Management Deferred Compensation Plan, Amendment No. 1 dated April 1, 1995 (filed herewith).</w:t>
      </w:r>
    </w:p>
    <w:p>
      <w:pPr>
        <w:spacing w:after="0" w:line="174" w:lineRule="exact"/>
        <w:rPr>
          <w:rFonts w:ascii="Courier New" w:cs="Courier New" w:eastAsia="Courier New" w:hAnsi="Courier New"/>
          <w:sz w:val="15"/>
          <w:szCs w:val="15"/>
          <w:color w:val="auto"/>
        </w:rPr>
      </w:pPr>
    </w:p>
    <w:p>
      <w:pPr>
        <w:ind w:left="840" w:right="660" w:hanging="187"/>
        <w:spacing w:after="0" w:line="251" w:lineRule="auto"/>
        <w:tabs>
          <w:tab w:leader="none" w:pos="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Senior Officers Life Insurance Benefit Plan, Amendment No. 2 dated December 3, 1989 [Form 10-K for the fiscal year ended December 31, 1989, Exhibit (10)].</w:t>
      </w:r>
    </w:p>
    <w:p>
      <w:pPr>
        <w:spacing w:after="0" w:line="176" w:lineRule="exact"/>
        <w:rPr>
          <w:rFonts w:ascii="Courier New" w:cs="Courier New" w:eastAsia="Courier New" w:hAnsi="Courier New"/>
          <w:sz w:val="15"/>
          <w:szCs w:val="15"/>
          <w:color w:val="auto"/>
        </w:rPr>
      </w:pPr>
    </w:p>
    <w:p>
      <w:pPr>
        <w:ind w:left="840" w:right="280" w:hanging="187"/>
        <w:spacing w:after="0" w:line="252" w:lineRule="auto"/>
        <w:tabs>
          <w:tab w:leader="none" w:pos="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Annual Incentive Master Plan [Form 10-K for the fiscal year ended December 31, 1987, Exhibit (10)].</w:t>
      </w:r>
    </w:p>
    <w:p>
      <w:pPr>
        <w:spacing w:after="0" w:line="174" w:lineRule="exact"/>
        <w:rPr>
          <w:rFonts w:ascii="Courier New" w:cs="Courier New" w:eastAsia="Courier New" w:hAnsi="Courier New"/>
          <w:sz w:val="15"/>
          <w:szCs w:val="15"/>
          <w:color w:val="auto"/>
        </w:rPr>
      </w:pPr>
    </w:p>
    <w:p>
      <w:pPr>
        <w:ind w:left="840" w:right="200" w:hanging="187"/>
        <w:spacing w:after="0" w:line="250" w:lineRule="auto"/>
        <w:tabs>
          <w:tab w:leader="none" w:pos="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Annual Incentive Master Plan, Amendments No. 1 and No. 2 dated March 5, 1990 [Form</w:t>
      </w:r>
    </w:p>
    <w:p>
      <w:pPr>
        <w:ind w:left="840" w:right="28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10-K for the fiscal year ended December 31, 1989, Exhibit (10)].</w:t>
      </w:r>
    </w:p>
    <w:p>
      <w:pPr>
        <w:spacing w:after="0" w:line="174" w:lineRule="exact"/>
        <w:rPr>
          <w:rFonts w:ascii="Courier New" w:cs="Courier New" w:eastAsia="Courier New" w:hAnsi="Courier New"/>
          <w:sz w:val="15"/>
          <w:szCs w:val="15"/>
          <w:color w:val="auto"/>
        </w:rPr>
      </w:pPr>
    </w:p>
    <w:p>
      <w:pPr>
        <w:ind w:left="840" w:hanging="187"/>
        <w:spacing w:after="0" w:line="252" w:lineRule="auto"/>
        <w:tabs>
          <w:tab w:leader="none" w:pos="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Electric Company Annual Incentive Master Plan [Form 10-K for the fiscal year ended December 31, 1987, Exhibit (10)].</w:t>
      </w:r>
    </w:p>
    <w:p>
      <w:pPr>
        <w:spacing w:after="0" w:line="174" w:lineRule="exact"/>
        <w:rPr>
          <w:rFonts w:ascii="Courier New" w:cs="Courier New" w:eastAsia="Courier New" w:hAnsi="Courier New"/>
          <w:sz w:val="15"/>
          <w:szCs w:val="15"/>
          <w:color w:val="auto"/>
        </w:rPr>
      </w:pPr>
    </w:p>
    <w:p>
      <w:pPr>
        <w:ind w:left="840" w:right="280" w:hanging="187"/>
        <w:spacing w:after="0" w:line="251" w:lineRule="auto"/>
        <w:tabs>
          <w:tab w:leader="none" w:pos="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Electric Company Annual Incentive Master Plan, Amendments No. 1 and No. 2 dated March 5, 1990 [Form 10-K for the fiscal year ended December 31, 1989, Exhibit (10)].</w:t>
      </w:r>
    </w:p>
    <w:p>
      <w:pPr>
        <w:spacing w:after="0" w:line="176" w:lineRule="exact"/>
        <w:rPr>
          <w:rFonts w:ascii="Courier New" w:cs="Courier New" w:eastAsia="Courier New" w:hAnsi="Courier New"/>
          <w:sz w:val="15"/>
          <w:szCs w:val="15"/>
          <w:color w:val="auto"/>
        </w:rPr>
      </w:pPr>
    </w:p>
    <w:p>
      <w:pPr>
        <w:ind w:left="840" w:right="460" w:hanging="187"/>
        <w:spacing w:after="0" w:line="251" w:lineRule="auto"/>
        <w:tabs>
          <w:tab w:leader="none" w:pos="8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Supplemental Executive Retirement Plan, 1990 Restatement dated July 10, 1990 [Form 10-K for the fiscal year ended December 31, 1990, Exhibit (10)].</w:t>
      </w:r>
    </w:p>
    <w:p>
      <w:pPr>
        <w:spacing w:after="0" w:line="200" w:lineRule="exact"/>
        <w:rPr>
          <w:sz w:val="20"/>
          <w:szCs w:val="20"/>
          <w:color w:val="auto"/>
        </w:rPr>
      </w:pPr>
    </w:p>
    <w:p>
      <w:pPr>
        <w:spacing w:after="0" w:line="331" w:lineRule="exact"/>
        <w:rPr>
          <w:sz w:val="20"/>
          <w:szCs w:val="20"/>
          <w:color w:val="auto"/>
        </w:rPr>
      </w:pPr>
    </w:p>
    <w:p>
      <w:pPr>
        <w:jc w:val="center"/>
        <w:ind w:left="660"/>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PGC</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w w:val="96"/>
              </w:rPr>
              <w:t>PGE</w:t>
            </w:r>
          </w:p>
        </w:tc>
      </w:tr>
      <w:tr>
        <w:trPr>
          <w:trHeight w:val="887"/>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spacing w:after="0"/>
              <w:rPr>
                <w:sz w:val="24"/>
                <w:szCs w:val="24"/>
                <w:color w:val="auto"/>
              </w:rPr>
            </w:pPr>
          </w:p>
        </w:tc>
      </w:tr>
      <w:tr>
        <w:trPr>
          <w:trHeight w:val="1065"/>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spacing w:after="0"/>
              <w:rPr>
                <w:sz w:val="24"/>
                <w:szCs w:val="24"/>
                <w:color w:val="auto"/>
              </w:rPr>
            </w:pPr>
          </w:p>
        </w:tc>
      </w:tr>
      <w:tr>
        <w:trPr>
          <w:trHeight w:val="1065"/>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887"/>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887"/>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710"/>
        </w:trPr>
        <w:tc>
          <w:tcPr>
            <w:tcW w:w="460" w:type="dxa"/>
            <w:vAlign w:val="bottom"/>
          </w:tcPr>
          <w:p>
            <w:pPr>
              <w:spacing w:after="0"/>
              <w:rPr>
                <w:sz w:val="24"/>
                <w:szCs w:val="24"/>
                <w:color w:val="auto"/>
              </w:rPr>
            </w:pP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887"/>
        </w:trPr>
        <w:tc>
          <w:tcPr>
            <w:tcW w:w="460" w:type="dxa"/>
            <w:vAlign w:val="bottom"/>
          </w:tcPr>
          <w:p>
            <w:pPr>
              <w:spacing w:after="0"/>
              <w:rPr>
                <w:sz w:val="24"/>
                <w:szCs w:val="24"/>
                <w:color w:val="auto"/>
              </w:rPr>
            </w:pP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r>
        <w:trPr>
          <w:trHeight w:val="887"/>
        </w:trPr>
        <w:tc>
          <w:tcPr>
            <w:tcW w:w="46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X</w:t>
            </w:r>
          </w:p>
        </w:tc>
        <w:tc>
          <w:tcPr>
            <w:tcW w:w="460" w:type="dxa"/>
            <w:vAlign w:val="bottom"/>
          </w:tcPr>
          <w:p>
            <w:pPr>
              <w:jc w:val="center"/>
              <w:ind w:left="123"/>
              <w:spacing w:after="0"/>
              <w:rPr>
                <w:sz w:val="20"/>
                <w:szCs w:val="20"/>
                <w:color w:val="auto"/>
              </w:rPr>
            </w:pPr>
            <w:r>
              <w:rPr>
                <w:rFonts w:ascii="Courier New" w:cs="Courier New" w:eastAsia="Courier New" w:hAnsi="Courier New"/>
                <w:sz w:val="15"/>
                <w:szCs w:val="15"/>
                <w:color w:val="auto"/>
              </w:rPr>
              <w:t>X</w:t>
            </w:r>
          </w:p>
        </w:tc>
      </w:tr>
    </w:tbl>
    <w:p>
      <w:pPr>
        <w:sectPr>
          <w:pgSz w:w="11900" w:h="16838" w:orient="portrait"/>
          <w:cols w:equalWidth="0" w:num="2">
            <w:col w:w="6380" w:space="540"/>
            <w:col w:w="3219"/>
          </w:cols>
          <w:pgMar w:left="320" w:top="1005" w:right="1440" w:bottom="1440" w:gutter="0" w:footer="0" w:header="0"/>
        </w:sectPr>
      </w:pPr>
    </w:p>
    <w:bookmarkStart w:id="65" w:name="page66"/>
    <w:bookmarkEnd w:id="65"/>
    <w:p>
      <w:pPr>
        <w:jc w:val="center"/>
        <w:ind w:right="2579"/>
        <w:spacing w:after="0"/>
        <w:rPr>
          <w:sz w:val="20"/>
          <w:szCs w:val="20"/>
          <w:color w:val="auto"/>
        </w:rPr>
      </w:pPr>
      <w:r>
        <w:rPr>
          <w:rFonts w:ascii="Courier New" w:cs="Courier New" w:eastAsia="Courier New" w:hAnsi="Courier New"/>
          <w:sz w:val="15"/>
          <w:szCs w:val="15"/>
          <w:color w:val="auto"/>
        </w:rPr>
        <w:t>PORTLAND GENERAL CORPORATION AND SUBSIDIARIES</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828"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80"/>
        <w:spacing w:after="0" w:line="377" w:lineRule="auto"/>
        <w:rPr>
          <w:sz w:val="20"/>
          <w:szCs w:val="20"/>
          <w:color w:val="auto"/>
        </w:rPr>
      </w:pPr>
      <w:r>
        <w:rPr>
          <w:rFonts w:ascii="Courier New" w:cs="Courier New" w:eastAsia="Courier New" w:hAnsi="Courier New"/>
          <w:sz w:val="15"/>
          <w:szCs w:val="15"/>
          <w:color w:val="auto"/>
        </w:rPr>
        <w:t>NUMBER (10) Cont.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EXHIBIT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Portland General Corporation Supplemental Executive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Retirement Plan, Amendment No. 1 dated January 1, 1991,</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[Form 10-K for the fiscal year ended December 31, 1991,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PGC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4"/>
          <w:szCs w:val="14"/>
          <w:color w:val="auto"/>
        </w:rPr>
        <w:t>PGE</w:t>
      </w:r>
    </w:p>
    <w:p>
      <w:pPr>
        <w:spacing w:after="0" w:line="200" w:lineRule="exact"/>
        <w:rPr>
          <w:sz w:val="20"/>
          <w:szCs w:val="20"/>
          <w:color w:val="auto"/>
        </w:rPr>
      </w:pPr>
    </w:p>
    <w:p>
      <w:pPr>
        <w:spacing w:after="0" w:line="35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5"/>
          <w:szCs w:val="15"/>
          <w:color w:val="auto"/>
        </w:rPr>
        <w:t>X</w:t>
      </w:r>
    </w:p>
    <w:p>
      <w:pPr>
        <w:spacing w:after="0" w:line="8" w:lineRule="exact"/>
        <w:rPr>
          <w:sz w:val="20"/>
          <w:szCs w:val="20"/>
          <w:color w:val="auto"/>
        </w:rPr>
      </w:pPr>
    </w:p>
    <w:p>
      <w:pPr>
        <w:sectPr>
          <w:pgSz w:w="11900" w:h="16838" w:orient="portrait"/>
          <w:cols w:equalWidth="0" w:num="4">
            <w:col w:w="640" w:space="100"/>
            <w:col w:w="5540" w:space="720"/>
            <w:col w:w="280" w:space="380"/>
            <w:col w:w="2559"/>
          </w:cols>
          <w:pgMar w:left="240" w:top="828" w:right="1440" w:bottom="1440" w:gutter="0" w:footer="0" w:header="0"/>
          <w:type w:val="continuous"/>
        </w:sectPr>
      </w:pPr>
    </w:p>
    <w:p>
      <w:pPr>
        <w:ind w:left="920"/>
        <w:spacing w:after="0"/>
        <w:rPr>
          <w:sz w:val="20"/>
          <w:szCs w:val="20"/>
          <w:color w:val="auto"/>
        </w:rPr>
      </w:pPr>
      <w:r>
        <w:rPr>
          <w:rFonts w:ascii="Courier New" w:cs="Courier New" w:eastAsia="Courier New" w:hAnsi="Courier New"/>
          <w:sz w:val="15"/>
          <w:szCs w:val="15"/>
          <w:color w:val="auto"/>
        </w:rPr>
        <w:t>Exhibit (10)].</w:t>
      </w:r>
    </w:p>
    <w:p>
      <w:pPr>
        <w:sectPr>
          <w:pgSz w:w="11900" w:h="16838" w:orient="portrait"/>
          <w:cols w:equalWidth="0" w:num="1">
            <w:col w:w="10219"/>
          </w:cols>
          <w:pgMar w:left="240" w:top="828" w:right="1440" w:bottom="1440" w:gutter="0" w:footer="0" w:header="0"/>
          <w:type w:val="continuous"/>
        </w:sectPr>
      </w:pPr>
    </w:p>
    <w:p>
      <w:pPr>
        <w:spacing w:after="0" w:line="185" w:lineRule="exact"/>
        <w:rPr>
          <w:sz w:val="20"/>
          <w:szCs w:val="20"/>
          <w:color w:val="auto"/>
        </w:rPr>
      </w:pPr>
    </w:p>
    <w:p>
      <w:pPr>
        <w:ind w:left="920" w:right="3859" w:hanging="187"/>
        <w:spacing w:after="0" w:line="250" w:lineRule="auto"/>
        <w:tabs>
          <w:tab w:leader="none" w:pos="9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Severance Agreement, effective October 1, 1994 [Form 10-K for the fiscal year ended December 31,</w:t>
      </w:r>
    </w:p>
    <w:p>
      <w:pPr>
        <w:sectPr>
          <w:pgSz w:w="11900" w:h="16838" w:orient="portrait"/>
          <w:cols w:equalWidth="0" w:num="1">
            <w:col w:w="10219"/>
          </w:cols>
          <w:pgMar w:left="240" w:top="828" w:right="1440" w:bottom="1440" w:gutter="0" w:footer="0" w:header="0"/>
          <w:type w:val="continuous"/>
        </w:sectPr>
      </w:pP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1994, Exhibit 10(a)].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w:t>
      </w:r>
    </w:p>
    <w:p>
      <w:pPr>
        <w:spacing w:after="0" w:line="185" w:lineRule="exact"/>
        <w:rPr>
          <w:sz w:val="20"/>
          <w:szCs w:val="20"/>
          <w:color w:val="auto"/>
        </w:rPr>
      </w:pPr>
    </w:p>
    <w:p>
      <w:pPr>
        <w:sectPr>
          <w:pgSz w:w="11900" w:h="16838" w:orient="portrait"/>
          <w:cols w:equalWidth="0" w:num="3">
            <w:col w:w="6380" w:space="720"/>
            <w:col w:w="100" w:space="540"/>
            <w:col w:w="2479"/>
          </w:cols>
          <w:pgMar w:left="240" w:top="828" w:right="1440" w:bottom="1440" w:gutter="0" w:footer="0" w:header="0"/>
          <w:type w:val="continuous"/>
        </w:sectPr>
      </w:pPr>
    </w:p>
    <w:p>
      <w:pPr>
        <w:ind w:left="920" w:right="380" w:hanging="179"/>
        <w:spacing w:after="0" w:line="251" w:lineRule="auto"/>
        <w:tabs>
          <w:tab w:leader="none" w:pos="900" w:val="left"/>
        </w:tabs>
        <w:rPr>
          <w:sz w:val="20"/>
          <w:szCs w:val="20"/>
          <w:color w:val="auto"/>
        </w:rPr>
      </w:pPr>
      <w:r>
        <w:rPr>
          <w:rFonts w:ascii="Courier New" w:cs="Courier New" w:eastAsia="Courier New" w:hAnsi="Courier New"/>
          <w:sz w:val="15"/>
          <w:szCs w:val="15"/>
          <w:color w:val="auto"/>
        </w:rPr>
        <w:t>*</w:t>
        <w:tab/>
        <w:t>Portland General Corporation Amended and Restated 1990 Long-Term Incentive Master Plan, amended July 1993 [Form 10-K for the fiscal year ended December 31, 1993, Exhibit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184" w:lineRule="exact"/>
        <w:rPr>
          <w:sz w:val="20"/>
          <w:szCs w:val="20"/>
          <w:color w:val="auto"/>
        </w:rPr>
      </w:pPr>
    </w:p>
    <w:p>
      <w:pPr>
        <w:sectPr>
          <w:pgSz w:w="11900" w:h="16838" w:orient="portrait"/>
          <w:cols w:equalWidth="0" w:num="2">
            <w:col w:w="6380" w:space="720"/>
            <w:col w:w="3119"/>
          </w:cols>
          <w:pgMar w:left="240" w:top="828" w:right="1440" w:bottom="1440" w:gutter="0" w:footer="0" w:header="0"/>
          <w:type w:val="continuous"/>
        </w:sectPr>
      </w:pPr>
    </w:p>
    <w:p>
      <w:pPr>
        <w:ind w:left="920" w:right="4219" w:hanging="187"/>
        <w:spacing w:after="0" w:line="250" w:lineRule="auto"/>
        <w:tabs>
          <w:tab w:leader="none" w:pos="9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Portland General Corporation 1990 Long-Term Incentive Master Plan, Amendment No. 1 dated February 8, 1994 [Form 10-K for the fiscal year ended December 31, 1993,</w:t>
      </w:r>
    </w:p>
    <w:p>
      <w:pPr>
        <w:spacing w:after="0" w:line="1" w:lineRule="exact"/>
        <w:rPr>
          <w:sz w:val="20"/>
          <w:szCs w:val="20"/>
          <w:color w:val="auto"/>
        </w:rPr>
      </w:pPr>
    </w:p>
    <w:p>
      <w:pPr>
        <w:jc w:val="right"/>
        <w:ind w:right="3019"/>
        <w:spacing w:after="0"/>
        <w:tabs>
          <w:tab w:leader="none" w:pos="80" w:val="left"/>
        </w:tabs>
        <w:rPr>
          <w:sz w:val="20"/>
          <w:szCs w:val="20"/>
          <w:color w:val="auto"/>
        </w:rPr>
      </w:pPr>
      <w:r>
        <w:rPr>
          <w:rFonts w:ascii="Courier New" w:cs="Courier New" w:eastAsia="Courier New" w:hAnsi="Courier New"/>
          <w:sz w:val="15"/>
          <w:szCs w:val="15"/>
          <w:color w:val="auto"/>
        </w:rPr>
        <w:t>Exhibit (10)].</w:t>
      </w:r>
      <w:r>
        <w:rPr>
          <w:sz w:val="20"/>
          <w:szCs w:val="20"/>
          <w:color w:val="auto"/>
        </w:rPr>
        <w:tab/>
      </w:r>
      <w:r>
        <w:rPr>
          <w:rFonts w:ascii="Courier New" w:cs="Courier New" w:eastAsia="Courier New" w:hAnsi="Courier New"/>
          <w:sz w:val="15"/>
          <w:szCs w:val="15"/>
          <w:color w:val="auto"/>
        </w:rPr>
        <w:t>X</w:t>
      </w:r>
    </w:p>
    <w:p>
      <w:pPr>
        <w:spacing w:after="0" w:line="185" w:lineRule="exact"/>
        <w:rPr>
          <w:sz w:val="20"/>
          <w:szCs w:val="20"/>
          <w:color w:val="auto"/>
        </w:rPr>
      </w:pPr>
    </w:p>
    <w:p>
      <w:pPr>
        <w:ind w:left="920" w:hanging="833"/>
        <w:spacing w:after="0"/>
        <w:tabs>
          <w:tab w:leader="none" w:pos="9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sectPr>
          <w:pgSz w:w="11900" w:h="16838" w:orient="portrait"/>
          <w:cols w:equalWidth="0" w:num="1">
            <w:col w:w="10219"/>
          </w:cols>
          <w:pgMar w:left="240" w:top="828" w:right="1440" w:bottom="1440" w:gutter="0" w:footer="0" w:header="0"/>
          <w:type w:val="continuous"/>
        </w:sectPr>
      </w:pPr>
    </w:p>
    <w:p>
      <w:pPr>
        <w:spacing w:after="0" w:line="185" w:lineRule="exact"/>
        <w:rPr>
          <w:sz w:val="20"/>
          <w:szCs w:val="20"/>
          <w:color w:val="auto"/>
        </w:rPr>
      </w:pPr>
    </w:p>
    <w:p>
      <w:pPr>
        <w:ind w:left="920" w:right="760"/>
        <w:spacing w:after="0" w:line="253" w:lineRule="auto"/>
        <w:rPr>
          <w:sz w:val="20"/>
          <w:szCs w:val="20"/>
          <w:color w:val="auto"/>
        </w:rPr>
      </w:pPr>
      <w:r>
        <w:rPr>
          <w:rFonts w:ascii="Courier New" w:cs="Courier New" w:eastAsia="Courier New" w:hAnsi="Courier New"/>
          <w:sz w:val="15"/>
          <w:szCs w:val="15"/>
          <w:color w:val="auto"/>
        </w:rPr>
        <w:t>Portland General Corporation Consent of Independent Public Accountants (filed herewith).</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184" w:lineRule="exact"/>
        <w:rPr>
          <w:sz w:val="20"/>
          <w:szCs w:val="20"/>
          <w:color w:val="auto"/>
        </w:rPr>
      </w:pPr>
    </w:p>
    <w:p>
      <w:pPr>
        <w:sectPr>
          <w:pgSz w:w="11900" w:h="16838" w:orient="portrait"/>
          <w:cols w:equalWidth="0" w:num="2">
            <w:col w:w="6380" w:space="720"/>
            <w:col w:w="3119"/>
          </w:cols>
          <w:pgMar w:left="240" w:top="828" w:right="1440" w:bottom="1440" w:gutter="0" w:footer="0" w:header="0"/>
          <w:type w:val="continuous"/>
        </w:sectPr>
      </w:pPr>
    </w:p>
    <w:p>
      <w:pPr>
        <w:ind w:left="920" w:right="940"/>
        <w:spacing w:after="0" w:line="253" w:lineRule="auto"/>
        <w:rPr>
          <w:sz w:val="20"/>
          <w:szCs w:val="20"/>
          <w:color w:val="auto"/>
        </w:rPr>
      </w:pPr>
      <w:r>
        <w:rPr>
          <w:rFonts w:ascii="Courier New" w:cs="Courier New" w:eastAsia="Courier New" w:hAnsi="Courier New"/>
          <w:sz w:val="15"/>
          <w:szCs w:val="15"/>
          <w:color w:val="auto"/>
        </w:rPr>
        <w:t>Portland General Electric Company Consent of Independent Public Accountants (filed herewith).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184" w:lineRule="exact"/>
        <w:rPr>
          <w:sz w:val="20"/>
          <w:szCs w:val="20"/>
          <w:color w:val="auto"/>
        </w:rPr>
      </w:pPr>
    </w:p>
    <w:p>
      <w:pPr>
        <w:sectPr>
          <w:pgSz w:w="11900" w:h="16838" w:orient="portrait"/>
          <w:cols w:equalWidth="0" w:num="2">
            <w:col w:w="7020" w:space="720"/>
            <w:col w:w="2479"/>
          </w:cols>
          <w:pgMar w:left="240" w:top="828" w:right="1440" w:bottom="1440" w:gutter="0" w:footer="0" w:header="0"/>
          <w:type w:val="continuous"/>
        </w:sectPr>
      </w:pPr>
    </w:p>
    <w:p>
      <w:pPr>
        <w:ind w:left="920" w:hanging="833"/>
        <w:spacing w:after="0"/>
        <w:tabs>
          <w:tab w:leader="none" w:pos="9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600" w:type="dxa"/>
            <w:vAlign w:val="bottom"/>
          </w:tcPr>
          <w:p>
            <w:pPr>
              <w:spacing w:after="0"/>
              <w:rPr>
                <w:sz w:val="14"/>
                <w:szCs w:val="14"/>
                <w:color w:val="auto"/>
              </w:rPr>
            </w:pPr>
          </w:p>
        </w:tc>
        <w:tc>
          <w:tcPr>
            <w:tcW w:w="5780" w:type="dxa"/>
            <w:vAlign w:val="bottom"/>
          </w:tcPr>
          <w:p>
            <w:pPr>
              <w:ind w:left="240"/>
              <w:spacing w:after="0"/>
              <w:rPr>
                <w:sz w:val="20"/>
                <w:szCs w:val="20"/>
                <w:color w:val="auto"/>
              </w:rPr>
            </w:pPr>
            <w:r>
              <w:rPr>
                <w:rFonts w:ascii="Courier New" w:cs="Courier New" w:eastAsia="Courier New" w:hAnsi="Courier New"/>
                <w:sz w:val="15"/>
                <w:szCs w:val="15"/>
                <w:color w:val="auto"/>
              </w:rPr>
              <w:t>Portland General Corporation Power of Attorney</w:t>
            </w:r>
          </w:p>
        </w:tc>
        <w:tc>
          <w:tcPr>
            <w:tcW w:w="1380" w:type="dxa"/>
            <w:vAlign w:val="bottom"/>
          </w:tcPr>
          <w:p>
            <w:pPr>
              <w:spacing w:after="0"/>
              <w:rPr>
                <w:sz w:val="14"/>
                <w:szCs w:val="14"/>
                <w:color w:val="auto"/>
              </w:rPr>
            </w:pPr>
          </w:p>
        </w:tc>
      </w:tr>
      <w:tr>
        <w:trPr>
          <w:trHeight w:val="177"/>
        </w:trPr>
        <w:tc>
          <w:tcPr>
            <w:tcW w:w="600" w:type="dxa"/>
            <w:vAlign w:val="bottom"/>
          </w:tcPr>
          <w:p>
            <w:pPr>
              <w:spacing w:after="0"/>
              <w:rPr>
                <w:sz w:val="15"/>
                <w:szCs w:val="15"/>
                <w:color w:val="auto"/>
              </w:rPr>
            </w:pPr>
          </w:p>
        </w:tc>
        <w:tc>
          <w:tcPr>
            <w:tcW w:w="5780" w:type="dxa"/>
            <w:vAlign w:val="bottom"/>
          </w:tcPr>
          <w:p>
            <w:pPr>
              <w:ind w:left="240"/>
              <w:spacing w:after="0"/>
              <w:rPr>
                <w:sz w:val="20"/>
                <w:szCs w:val="20"/>
                <w:color w:val="auto"/>
              </w:rPr>
            </w:pPr>
            <w:r>
              <w:rPr>
                <w:rFonts w:ascii="Courier New" w:cs="Courier New" w:eastAsia="Courier New" w:hAnsi="Courier New"/>
                <w:sz w:val="15"/>
                <w:szCs w:val="15"/>
                <w:color w:val="auto"/>
              </w:rPr>
              <w:t>(filed herewith).</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X</w:t>
            </w:r>
          </w:p>
        </w:tc>
      </w:tr>
      <w:tr>
        <w:trPr>
          <w:trHeight w:val="355"/>
        </w:trPr>
        <w:tc>
          <w:tcPr>
            <w:tcW w:w="600" w:type="dxa"/>
            <w:vAlign w:val="bottom"/>
          </w:tcPr>
          <w:p>
            <w:pPr>
              <w:spacing w:after="0"/>
              <w:rPr>
                <w:sz w:val="24"/>
                <w:szCs w:val="24"/>
                <w:color w:val="auto"/>
              </w:rPr>
            </w:pPr>
          </w:p>
        </w:tc>
        <w:tc>
          <w:tcPr>
            <w:tcW w:w="5780" w:type="dxa"/>
            <w:vAlign w:val="bottom"/>
          </w:tcPr>
          <w:p>
            <w:pPr>
              <w:ind w:left="240"/>
              <w:spacing w:after="0"/>
              <w:rPr>
                <w:sz w:val="20"/>
                <w:szCs w:val="20"/>
                <w:color w:val="auto"/>
              </w:rPr>
            </w:pPr>
            <w:r>
              <w:rPr>
                <w:rFonts w:ascii="Courier New" w:cs="Courier New" w:eastAsia="Courier New" w:hAnsi="Courier New"/>
                <w:sz w:val="15"/>
                <w:szCs w:val="15"/>
                <w:color w:val="auto"/>
              </w:rPr>
              <w:t>Portland General Electric Company Power of Attorney</w:t>
            </w:r>
          </w:p>
        </w:tc>
        <w:tc>
          <w:tcPr>
            <w:tcW w:w="1380" w:type="dxa"/>
            <w:vAlign w:val="bottom"/>
          </w:tcPr>
          <w:p>
            <w:pPr>
              <w:spacing w:after="0"/>
              <w:rPr>
                <w:sz w:val="24"/>
                <w:szCs w:val="24"/>
                <w:color w:val="auto"/>
              </w:rPr>
            </w:pPr>
          </w:p>
        </w:tc>
      </w:tr>
      <w:tr>
        <w:trPr>
          <w:trHeight w:val="177"/>
        </w:trPr>
        <w:tc>
          <w:tcPr>
            <w:tcW w:w="600" w:type="dxa"/>
            <w:vAlign w:val="bottom"/>
          </w:tcPr>
          <w:p>
            <w:pPr>
              <w:spacing w:after="0"/>
              <w:rPr>
                <w:sz w:val="15"/>
                <w:szCs w:val="15"/>
                <w:color w:val="auto"/>
              </w:rPr>
            </w:pPr>
          </w:p>
        </w:tc>
        <w:tc>
          <w:tcPr>
            <w:tcW w:w="5780" w:type="dxa"/>
            <w:vAlign w:val="bottom"/>
          </w:tcPr>
          <w:p>
            <w:pPr>
              <w:ind w:left="240"/>
              <w:spacing w:after="0"/>
              <w:rPr>
                <w:sz w:val="20"/>
                <w:szCs w:val="20"/>
                <w:color w:val="auto"/>
              </w:rPr>
            </w:pPr>
            <w:r>
              <w:rPr>
                <w:rFonts w:ascii="Courier New" w:cs="Courier New" w:eastAsia="Courier New" w:hAnsi="Courier New"/>
                <w:sz w:val="15"/>
                <w:szCs w:val="15"/>
                <w:color w:val="auto"/>
              </w:rPr>
              <w:t>(filed herewith).</w:t>
            </w:r>
          </w:p>
        </w:tc>
        <w:tc>
          <w:tcPr>
            <w:tcW w:w="1380" w:type="dxa"/>
            <w:vAlign w:val="bottom"/>
          </w:tcPr>
          <w:p>
            <w:pPr>
              <w:ind w:left="1280"/>
              <w:spacing w:after="0"/>
              <w:rPr>
                <w:sz w:val="20"/>
                <w:szCs w:val="20"/>
                <w:color w:val="auto"/>
              </w:rPr>
            </w:pPr>
            <w:r>
              <w:rPr>
                <w:rFonts w:ascii="Courier New" w:cs="Courier New" w:eastAsia="Courier New" w:hAnsi="Courier New"/>
                <w:sz w:val="15"/>
                <w:szCs w:val="15"/>
                <w:color w:val="auto"/>
                <w:w w:val="88"/>
              </w:rPr>
              <w:t>X</w:t>
            </w:r>
          </w:p>
        </w:tc>
      </w:tr>
      <w:tr>
        <w:trPr>
          <w:trHeight w:val="355"/>
        </w:trPr>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(99)</w:t>
            </w:r>
          </w:p>
        </w:tc>
        <w:tc>
          <w:tcPr>
            <w:tcW w:w="5780" w:type="dxa"/>
            <w:vAlign w:val="bottom"/>
          </w:tcPr>
          <w:p>
            <w:pPr>
              <w:ind w:left="240"/>
              <w:spacing w:after="0"/>
              <w:rPr>
                <w:sz w:val="20"/>
                <w:szCs w:val="20"/>
                <w:color w:val="auto"/>
              </w:rPr>
            </w:pPr>
            <w:r>
              <w:rPr>
                <w:rFonts w:ascii="Courier New" w:cs="Courier New" w:eastAsia="Courier New" w:hAnsi="Courier New"/>
                <w:sz w:val="15"/>
                <w:szCs w:val="15"/>
                <w:color w:val="auto"/>
              </w:rPr>
              <w:t>Additional exhibits</w:t>
            </w:r>
          </w:p>
        </w:tc>
        <w:tc>
          <w:tcPr>
            <w:tcW w:w="1380" w:type="dxa"/>
            <w:vAlign w:val="bottom"/>
          </w:tcPr>
          <w:p>
            <w:pPr>
              <w:spacing w:after="0"/>
              <w:rPr>
                <w:sz w:val="24"/>
                <w:szCs w:val="24"/>
                <w:color w:val="auto"/>
              </w:rPr>
            </w:pPr>
          </w:p>
        </w:tc>
      </w:tr>
      <w:tr>
        <w:trPr>
          <w:trHeight w:val="355"/>
        </w:trPr>
        <w:tc>
          <w:tcPr>
            <w:tcW w:w="600" w:type="dxa"/>
            <w:vAlign w:val="bottom"/>
          </w:tcPr>
          <w:p>
            <w:pPr>
              <w:spacing w:after="0"/>
              <w:rPr>
                <w:sz w:val="24"/>
                <w:szCs w:val="24"/>
                <w:color w:val="auto"/>
              </w:rPr>
            </w:pPr>
          </w:p>
        </w:tc>
        <w:tc>
          <w:tcPr>
            <w:tcW w:w="5780" w:type="dxa"/>
            <w:vAlign w:val="bottom"/>
          </w:tcPr>
          <w:p>
            <w:pPr>
              <w:ind w:left="240"/>
              <w:spacing w:after="0"/>
              <w:rPr>
                <w:sz w:val="20"/>
                <w:szCs w:val="20"/>
                <w:color w:val="auto"/>
              </w:rPr>
            </w:pPr>
            <w:r>
              <w:rPr>
                <w:rFonts w:ascii="Courier New" w:cs="Courier New" w:eastAsia="Courier New" w:hAnsi="Courier New"/>
                <w:sz w:val="15"/>
                <w:szCs w:val="15"/>
                <w:color w:val="auto"/>
              </w:rPr>
              <w:t>Form 11-K relating to Employee Stock Purchase Plan of</w:t>
            </w:r>
          </w:p>
        </w:tc>
        <w:tc>
          <w:tcPr>
            <w:tcW w:w="1380" w:type="dxa"/>
            <w:vAlign w:val="bottom"/>
          </w:tcPr>
          <w:p>
            <w:pPr>
              <w:spacing w:after="0"/>
              <w:rPr>
                <w:sz w:val="24"/>
                <w:szCs w:val="24"/>
                <w:color w:val="auto"/>
              </w:rPr>
            </w:pPr>
          </w:p>
        </w:tc>
      </w:tr>
      <w:tr>
        <w:trPr>
          <w:trHeight w:val="177"/>
        </w:trPr>
        <w:tc>
          <w:tcPr>
            <w:tcW w:w="600" w:type="dxa"/>
            <w:vAlign w:val="bottom"/>
          </w:tcPr>
          <w:p>
            <w:pPr>
              <w:spacing w:after="0"/>
              <w:rPr>
                <w:sz w:val="15"/>
                <w:szCs w:val="15"/>
                <w:color w:val="auto"/>
              </w:rPr>
            </w:pPr>
          </w:p>
        </w:tc>
        <w:tc>
          <w:tcPr>
            <w:tcW w:w="5780" w:type="dxa"/>
            <w:vAlign w:val="bottom"/>
          </w:tcPr>
          <w:p>
            <w:pPr>
              <w:ind w:left="240"/>
              <w:spacing w:after="0"/>
              <w:rPr>
                <w:sz w:val="20"/>
                <w:szCs w:val="20"/>
                <w:color w:val="auto"/>
              </w:rPr>
            </w:pPr>
            <w:r>
              <w:rPr>
                <w:rFonts w:ascii="Courier New" w:cs="Courier New" w:eastAsia="Courier New" w:hAnsi="Courier New"/>
                <w:sz w:val="15"/>
                <w:szCs w:val="15"/>
                <w:color w:val="auto"/>
              </w:rPr>
              <w:t>Portland General Corporation (filed herewith).</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X</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Incorporated by reference as indicated.</w:t>
      </w:r>
    </w:p>
    <w:p>
      <w:pPr>
        <w:spacing w:after="0" w:line="200" w:lineRule="exact"/>
        <w:rPr>
          <w:sz w:val="20"/>
          <w:szCs w:val="20"/>
          <w:color w:val="auto"/>
        </w:rPr>
      </w:pPr>
    </w:p>
    <w:p>
      <w:pPr>
        <w:spacing w:after="0" w:line="340" w:lineRule="exact"/>
        <w:rPr>
          <w:sz w:val="20"/>
          <w:szCs w:val="20"/>
          <w:color w:val="auto"/>
        </w:rPr>
      </w:pPr>
    </w:p>
    <w:p>
      <w:pPr>
        <w:ind w:left="640" w:right="3299" w:hanging="639"/>
        <w:spacing w:after="0" w:line="251" w:lineRule="auto"/>
        <w:tabs>
          <w:tab w:leader="none" w:pos="620" w:val="left"/>
        </w:tabs>
        <w:rPr>
          <w:sz w:val="20"/>
          <w:szCs w:val="20"/>
          <w:color w:val="auto"/>
        </w:rPr>
      </w:pPr>
      <w:r>
        <w:rPr>
          <w:rFonts w:ascii="Courier New" w:cs="Courier New" w:eastAsia="Courier New" w:hAnsi="Courier New"/>
          <w:sz w:val="15"/>
          <w:szCs w:val="15"/>
          <w:color w:val="auto"/>
        </w:rPr>
        <w:t>Note:</w:t>
        <w:tab/>
        <w:t>Although the Exhibits furnished to the Securities and Exchange Commission with the Form 10-K have been omitted herein, they will be supplied upon written request and payment of a reasonable fee for reproduction costs. Requests should be sent to:</w:t>
      </w:r>
    </w:p>
    <w:p>
      <w:pPr>
        <w:spacing w:after="0" w:line="17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Joseph M. Hirko</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Senior Vice President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Chief Financial Officer</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Portland General Corporation</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121 SW Salmon Street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Portland, OR 97204</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828" w:right="1440" w:bottom="1440" w:gutter="0" w:footer="0" w:header="0"/>
          <w:type w:val="continuous"/>
        </w:sectPr>
      </w:pPr>
    </w:p>
    <w:bookmarkStart w:id="66" w:name="page67"/>
    <w:bookmarkEnd w:id="66"/>
    <w:p>
      <w:pPr>
        <w:ind w:left="3320"/>
        <w:spacing w:after="0"/>
        <w:rPr>
          <w:sz w:val="20"/>
          <w:szCs w:val="20"/>
          <w:color w:val="auto"/>
        </w:rPr>
      </w:pPr>
      <w:r>
        <w:rPr>
          <w:rFonts w:ascii="Courier New" w:cs="Courier New" w:eastAsia="Courier New" w:hAnsi="Courier New"/>
          <w:sz w:val="15"/>
          <w:szCs w:val="15"/>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TABLE OF CONTENTS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ectPr>
          <w:pgSz w:w="11900" w:h="16838" w:orient="portrait"/>
          <w:cols w:equalWidth="0" w:num="1">
            <w:col w:w="10219"/>
          </w:cols>
          <w:pgMar w:left="240" w:top="828" w:right="1440" w:bottom="1440" w:gutter="0" w:footer="0" w:header="0"/>
        </w:sectPr>
      </w:pPr>
    </w:p>
    <w:p>
      <w:pPr>
        <w:spacing w:after="0" w:line="36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Item 8.</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and Notes ............................. 66</w:t>
      </w:r>
    </w:p>
    <w:p>
      <w:pPr>
        <w:spacing w:after="0" w:line="200" w:lineRule="exact"/>
        <w:rPr>
          <w:sz w:val="20"/>
          <w:szCs w:val="20"/>
          <w:color w:val="auto"/>
        </w:rPr>
      </w:pPr>
    </w:p>
    <w:p>
      <w:pPr>
        <w:sectPr>
          <w:pgSz w:w="11900" w:h="16838" w:orient="portrait"/>
          <w:cols w:equalWidth="0" w:num="2">
            <w:col w:w="740" w:space="640"/>
            <w:col w:w="8839"/>
          </w:cols>
          <w:pgMar w:left="240" w:top="828" w:right="1440" w:bottom="1440" w:gutter="0" w:footer="0" w:header="0"/>
          <w:type w:val="continuous"/>
        </w:sectPr>
      </w:pP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828" w:right="1440" w:bottom="1440" w:gutter="0" w:footer="0" w:header="0"/>
          <w:type w:val="continuous"/>
        </w:sectPr>
      </w:pPr>
    </w:p>
    <w:bookmarkStart w:id="67" w:name="page68"/>
    <w:bookmarkEnd w:id="67"/>
    <w:p>
      <w:pPr>
        <w:jc w:val="center"/>
        <w:ind w:right="2739"/>
        <w:spacing w:after="0"/>
        <w:rPr>
          <w:sz w:val="20"/>
          <w:szCs w:val="20"/>
          <w:color w:val="auto"/>
        </w:rPr>
      </w:pPr>
      <w:r>
        <w:rPr>
          <w:rFonts w:ascii="Courier New" w:cs="Courier New" w:eastAsia="Courier New" w:hAnsi="Courier New"/>
          <w:sz w:val="15"/>
          <w:szCs w:val="15"/>
          <w:color w:val="auto"/>
        </w:rPr>
        <w:t>MANAGEMENT'S STATEMENT OF RESPONSIBILITY</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PGE's management is responsible for the preparation and presentation  of  the consolidated  financial  statements  in  this  report.   Management  is  also responsible  for  the  integrity and objectivity of the statements.  Generally accepted accounting principles  have  been used to prepare the statements, and in certain cases informed estimates have  been used that are based on the best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judgment of management.</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Management has established, and maintains,  a  system  of  internal accounting controls.   The  controls  provide  reasonable  assurance  that  assets   are safeguarded,  transactions  receive  appropriate authorization, and financial records are reliable.  Accounting controls  are  supported by written policies and procedures, an operations planning and budget  process designed to achieve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objectives, and internal audits of operating activities.</w:t>
      </w:r>
    </w:p>
    <w:p>
      <w:pPr>
        <w:spacing w:after="0" w:line="185" w:lineRule="exact"/>
        <w:rPr>
          <w:sz w:val="20"/>
          <w:szCs w:val="20"/>
          <w:color w:val="auto"/>
        </w:rPr>
      </w:pPr>
    </w:p>
    <w:p>
      <w:pPr>
        <w:ind w:left="100" w:right="2939"/>
        <w:spacing w:after="0" w:line="250" w:lineRule="auto"/>
        <w:rPr>
          <w:sz w:val="20"/>
          <w:szCs w:val="20"/>
          <w:color w:val="auto"/>
        </w:rPr>
      </w:pPr>
      <w:r>
        <w:rPr>
          <w:rFonts w:ascii="Courier New" w:cs="Courier New" w:eastAsia="Courier New" w:hAnsi="Courier New"/>
          <w:sz w:val="15"/>
          <w:szCs w:val="15"/>
          <w:color w:val="auto"/>
        </w:rPr>
        <w:t>PGE's Board of Directors includes an Audit Committee composed entirely of outside directors. It reviews with management, internal auditors and</w:t>
      </w:r>
    </w:p>
    <w:p>
      <w:pPr>
        <w:spacing w:after="0" w:line="1"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independent auditors the adequacy of internal controls, financial reporting, and other audit matters.</w:t>
      </w:r>
    </w:p>
    <w:p>
      <w:pPr>
        <w:spacing w:after="0" w:line="174"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Arthur Andersen  LLP is PGE's independent public accountant.  As a part of its annual audit, selected  internal  accounting controls are reviewed in order to determine the nature, timing and extent  of  audit tests to be performed.  All of the corporation's financial records and related  data are made available to Arthur  Andersen  LLP.  Management has also endeavored  to  ensure  that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to Arthur Andersen LLP were valid and appropriate.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Hirko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36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Portland General Electric Company:</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We have audited the  accompanying  consolidated  balance  sheets  of  Portland General  Electric  Company and subsidiaries as of December 31, 1995 and 1994, and the related consolidated  statements of income, retained earnings and cash flows for each of the three years  in  the  period  ended  December  31, 1995. These financial statements are the responsibility of the Company's management. Our  responsibility  is  to  express an opinion on these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our audits.</w:t>
      </w:r>
    </w:p>
    <w:p>
      <w:pPr>
        <w:spacing w:after="0" w:line="185" w:lineRule="exact"/>
        <w:rPr>
          <w:sz w:val="20"/>
          <w:szCs w:val="20"/>
          <w:color w:val="auto"/>
        </w:rPr>
      </w:pPr>
    </w:p>
    <w:p>
      <w:pPr>
        <w:jc w:val="both"/>
        <w:ind w:right="2939" w:firstLine="92"/>
        <w:spacing w:after="0" w:line="25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w:t>
      </w:r>
    </w:p>
    <w:p>
      <w:pPr>
        <w:spacing w:after="0" w:line="2"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also  includes  assessing  the  accounting  principles  used and  significant estimates  made  by  management, as well as evaluating the overall  financial statement presentation.  We believe that our audits provide a reasonable basis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our opinion.</w:t>
      </w:r>
    </w:p>
    <w:p>
      <w:pPr>
        <w:spacing w:after="0" w:line="185" w:lineRule="exact"/>
        <w:rPr>
          <w:sz w:val="20"/>
          <w:szCs w:val="20"/>
          <w:color w:val="auto"/>
        </w:rPr>
      </w:pPr>
    </w:p>
    <w:p>
      <w:pPr>
        <w:jc w:val="center"/>
        <w:ind w:right="2939"/>
        <w:spacing w:after="0" w:line="250"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Portland  General Electric Company and subsidiaries as of December 31, 1995 and 1994, and  the results of their  operations  and  their cash flows for each of the three years  in  the period  ended  December  31,  1995  in  conformity  with  generally  accepted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principles.</w:t>
      </w:r>
    </w:p>
    <w:p>
      <w:pPr>
        <w:spacing w:after="0" w:line="18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Arthur Andersen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24, 1996</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139"/>
          </w:cols>
          <w:pgMar w:left="320" w:top="650" w:right="1440" w:bottom="1440" w:gutter="0" w:footer="0" w:header="0"/>
        </w:sectPr>
      </w:pPr>
    </w:p>
    <w:bookmarkStart w:id="68" w:name="page69"/>
    <w:bookmarkEnd w:id="68"/>
    <w:p>
      <w:pPr>
        <w:ind w:left="1300"/>
        <w:spacing w:after="0"/>
        <w:rPr>
          <w:sz w:val="20"/>
          <w:szCs w:val="20"/>
          <w:color w:val="auto"/>
        </w:rPr>
      </w:pPr>
      <w:r>
        <w:rPr>
          <w:rFonts w:ascii="Courier New" w:cs="Courier New" w:eastAsia="Courier New" w:hAnsi="Courier New"/>
          <w:sz w:val="15"/>
          <w:szCs w:val="15"/>
          <w:color w:val="auto"/>
        </w:rPr>
        <w:t>PORTLAND GENERAL ELECTRIC COMPANY AND SUBSIDIARIES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20" w:type="dxa"/>
            <w:vAlign w:val="bottom"/>
          </w:tcPr>
          <w:p>
            <w:pPr>
              <w:ind w:left="2040"/>
              <w:spacing w:after="0"/>
              <w:rPr>
                <w:sz w:val="20"/>
                <w:szCs w:val="20"/>
                <w:color w:val="auto"/>
              </w:rPr>
            </w:pPr>
            <w:r>
              <w:rPr>
                <w:rFonts w:ascii="Courier New" w:cs="Courier New" w:eastAsia="Courier New" w:hAnsi="Courier New"/>
                <w:sz w:val="15"/>
                <w:szCs w:val="15"/>
                <w:color w:val="auto"/>
              </w:rPr>
              <w:t>CONSOLIDATED STATEMENTS OF INCOME</w:t>
            </w: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710"/>
        </w:trPr>
        <w:tc>
          <w:tcPr>
            <w:tcW w:w="532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1380" w:type="dxa"/>
            <w:vAlign w:val="bottom"/>
          </w:tcPr>
          <w:p>
            <w:pPr>
              <w:spacing w:after="0"/>
              <w:rPr>
                <w:sz w:val="24"/>
                <w:szCs w:val="24"/>
                <w:color w:val="auto"/>
              </w:rPr>
            </w:pPr>
          </w:p>
        </w:tc>
        <w:tc>
          <w:tcPr>
            <w:tcW w:w="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spacing w:after="0"/>
              <w:rPr>
                <w:sz w:val="24"/>
                <w:szCs w:val="24"/>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r>
      <w:tr>
        <w:trPr>
          <w:trHeight w:val="355"/>
        </w:trPr>
        <w:tc>
          <w:tcPr>
            <w:tcW w:w="5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(THOUSANDS OF DOLLARS)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5320" w:type="dxa"/>
            <w:vAlign w:val="bottom"/>
          </w:tcPr>
          <w:p>
            <w:pPr>
              <w:ind w:left="100"/>
              <w:spacing w:after="0"/>
              <w:rPr>
                <w:sz w:val="20"/>
                <w:szCs w:val="20"/>
                <w:color w:val="auto"/>
              </w:rPr>
            </w:pPr>
            <w:r>
              <w:rPr>
                <w:rFonts w:ascii="Courier New" w:cs="Courier New" w:eastAsia="Courier New" w:hAnsi="Courier New"/>
                <w:sz w:val="15"/>
                <w:szCs w:val="15"/>
                <w:color w:val="auto"/>
              </w:rPr>
              <w:t>OPERATING REVENUES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981,628</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958,955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944,531</w:t>
            </w:r>
          </w:p>
        </w:tc>
      </w:tr>
      <w:tr>
        <w:trPr>
          <w:trHeight w:val="177"/>
        </w:trPr>
        <w:tc>
          <w:tcPr>
            <w:tcW w:w="5320" w:type="dxa"/>
            <w:vAlign w:val="bottom"/>
          </w:tcPr>
          <w:p>
            <w:pPr>
              <w:ind w:left="100"/>
              <w:spacing w:after="0"/>
              <w:rPr>
                <w:sz w:val="20"/>
                <w:szCs w:val="20"/>
                <w:color w:val="auto"/>
              </w:rPr>
            </w:pPr>
            <w:r>
              <w:rPr>
                <w:rFonts w:ascii="Courier New" w:cs="Courier New" w:eastAsia="Courier New" w:hAnsi="Courier New"/>
                <w:sz w:val="15"/>
                <w:szCs w:val="15"/>
                <w:color w:val="auto"/>
              </w:rPr>
              <w:t>OPERATING EXPENSES</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Purchased power and fuel</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293,589</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347,125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311,713</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Production and distribution</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63,841</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61,891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73,576</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Maintenance and repairs</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47,532</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47,389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55,320</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Administrative and other</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106,128</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97,987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98,408</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Depreciation and amortization</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134,340</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124,003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121,898</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Taxes other than income taxes</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51,489</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52,038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55,676</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Income taxes</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89,523</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75,314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73,740</w:t>
            </w:r>
          </w:p>
        </w:tc>
      </w:tr>
      <w:tr>
        <w:trPr>
          <w:trHeight w:val="177"/>
        </w:trPr>
        <w:tc>
          <w:tcPr>
            <w:tcW w:w="5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786,442</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805,747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790,331</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195,186</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153,208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154,200</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INCOME (DEDUCTIONS)</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Regulatory disallowances - net of income taxes of $25,542</w:t>
            </w:r>
          </w:p>
        </w:tc>
        <w:tc>
          <w:tcPr>
            <w:tcW w:w="1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(49,567)</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Allowance for equity funds used during construction</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3,257</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8,415</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15,500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11,771</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Income taxes</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4,272</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(1,752)</w:t>
            </w:r>
          </w:p>
        </w:tc>
      </w:tr>
      <w:tr>
        <w:trPr>
          <w:trHeight w:val="177"/>
        </w:trPr>
        <w:tc>
          <w:tcPr>
            <w:tcW w:w="5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(33,623)</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16,148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10,019</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CHARGES</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Interest on long-term debt and other</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69,667</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61,493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61,817</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Interest on short-term borrowings</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6,917</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5,788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3,443</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Allowance for borrowed funds used during construction</w:t>
            </w:r>
          </w:p>
        </w:tc>
        <w:tc>
          <w:tcPr>
            <w:tcW w:w="1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(7,808)</w:t>
            </w:r>
          </w:p>
        </w:tc>
        <w:tc>
          <w:tcPr>
            <w:tcW w:w="46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(4,043)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(785)</w:t>
            </w:r>
          </w:p>
        </w:tc>
      </w:tr>
      <w:tr>
        <w:trPr>
          <w:trHeight w:val="177"/>
        </w:trPr>
        <w:tc>
          <w:tcPr>
            <w:tcW w:w="5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68,776</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63,238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64,475</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92,787</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106,118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99,744</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PREFERRED DIVIDEND REQUIREMENT</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9,644</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10,800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12,046</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AVAILABLE FOR COMMON STOCK</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83,143</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95,318</w:t>
            </w:r>
          </w:p>
        </w:tc>
        <w:tc>
          <w:tcPr>
            <w:tcW w:w="2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87,698</w:t>
            </w:r>
          </w:p>
        </w:tc>
      </w:tr>
      <w:tr>
        <w:trPr>
          <w:trHeight w:val="532"/>
        </w:trPr>
        <w:tc>
          <w:tcPr>
            <w:tcW w:w="10160" w:type="dxa"/>
            <w:vAlign w:val="bottom"/>
            <w:gridSpan w:val="8"/>
          </w:tcPr>
          <w:p>
            <w:pPr>
              <w:jc w:val="right"/>
              <w:ind w:right="563"/>
              <w:spacing w:after="0"/>
              <w:rPr>
                <w:sz w:val="20"/>
                <w:szCs w:val="20"/>
                <w:color w:val="auto"/>
              </w:rPr>
            </w:pPr>
            <w:r>
              <w:rPr>
                <w:rFonts w:ascii="Courier New" w:cs="Courier New" w:eastAsia="Courier New" w:hAnsi="Courier New"/>
                <w:sz w:val="15"/>
                <w:szCs w:val="15"/>
                <w:color w:val="auto"/>
              </w:rPr>
              <w:t>PORTLAND GENERAL ELECTRIC COMPANY AND SUBSIDIARIES</w:t>
            </w:r>
          </w:p>
        </w:tc>
      </w:tr>
      <w:tr>
        <w:trPr>
          <w:trHeight w:val="177"/>
        </w:trPr>
        <w:tc>
          <w:tcPr>
            <w:tcW w:w="5320" w:type="dxa"/>
            <w:vAlign w:val="bottom"/>
          </w:tcPr>
          <w:p>
            <w:pPr>
              <w:spacing w:after="0"/>
              <w:rPr>
                <w:sz w:val="15"/>
                <w:szCs w:val="15"/>
                <w:color w:val="auto"/>
              </w:rPr>
            </w:pPr>
          </w:p>
        </w:tc>
        <w:tc>
          <w:tcPr>
            <w:tcW w:w="4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CONSOLIDATED STATEMENTS OF RETAINED EARNINGS</w:t>
            </w:r>
          </w:p>
        </w:tc>
        <w:tc>
          <w:tcPr>
            <w:tcW w:w="740" w:type="dxa"/>
            <w:vAlign w:val="bottom"/>
          </w:tcPr>
          <w:p>
            <w:pPr>
              <w:spacing w:after="0"/>
              <w:rPr>
                <w:sz w:val="15"/>
                <w:szCs w:val="15"/>
                <w:color w:val="auto"/>
              </w:rPr>
            </w:pPr>
          </w:p>
        </w:tc>
      </w:tr>
      <w:tr>
        <w:trPr>
          <w:trHeight w:val="355"/>
        </w:trPr>
        <w:tc>
          <w:tcPr>
            <w:tcW w:w="532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1380" w:type="dxa"/>
            <w:vAlign w:val="bottom"/>
          </w:tcPr>
          <w:p>
            <w:pPr>
              <w:spacing w:after="0"/>
              <w:rPr>
                <w:sz w:val="24"/>
                <w:szCs w:val="24"/>
                <w:color w:val="auto"/>
              </w:rPr>
            </w:pP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spacing w:after="0"/>
              <w:rPr>
                <w:sz w:val="24"/>
                <w:szCs w:val="24"/>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1993</w:t>
            </w:r>
          </w:p>
        </w:tc>
      </w:tr>
      <w:tr>
        <w:trPr>
          <w:trHeight w:val="177"/>
        </w:trPr>
        <w:tc>
          <w:tcPr>
            <w:tcW w:w="5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80" w:type="dxa"/>
            <w:vAlign w:val="bottom"/>
            <w:gridSpan w:val="5"/>
          </w:tcPr>
          <w:p>
            <w:pPr>
              <w:jc w:val="right"/>
              <w:ind w:right="563"/>
              <w:spacing w:after="0"/>
              <w:rPr>
                <w:sz w:val="20"/>
                <w:szCs w:val="20"/>
                <w:color w:val="auto"/>
              </w:rPr>
            </w:pPr>
            <w:r>
              <w:rPr>
                <w:rFonts w:ascii="Courier New" w:cs="Courier New" w:eastAsia="Courier New" w:hAnsi="Courier New"/>
                <w:sz w:val="15"/>
                <w:szCs w:val="15"/>
                <w:color w:val="auto"/>
              </w:rPr>
              <w:t>(THOUSANDS OF DOLLARS)</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2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$ 216,468</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179,297</w:t>
            </w:r>
          </w:p>
        </w:tc>
        <w:tc>
          <w:tcPr>
            <w:tcW w:w="2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165,949</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92,787</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106,118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99,744</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ESOP TAX BENEFIT AND OTHER</w:t>
            </w:r>
          </w:p>
        </w:tc>
        <w:tc>
          <w:tcPr>
            <w:tcW w:w="1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(3,570)</w:t>
            </w:r>
          </w:p>
        </w:tc>
        <w:tc>
          <w:tcPr>
            <w:tcW w:w="46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(1,705)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(1,524)</w:t>
            </w:r>
          </w:p>
        </w:tc>
      </w:tr>
      <w:tr>
        <w:trPr>
          <w:trHeight w:val="177"/>
        </w:trPr>
        <w:tc>
          <w:tcPr>
            <w:tcW w:w="5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305,685</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283,710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264,169</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Common stock</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50,456</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56,442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72,826</w:t>
            </w:r>
          </w:p>
        </w:tc>
      </w:tr>
      <w:tr>
        <w:trPr>
          <w:trHeight w:val="177"/>
        </w:trPr>
        <w:tc>
          <w:tcPr>
            <w:tcW w:w="5320" w:type="dxa"/>
            <w:vAlign w:val="bottom"/>
          </w:tcPr>
          <w:p>
            <w:pPr>
              <w:ind w:left="200"/>
              <w:spacing w:after="0"/>
              <w:rPr>
                <w:sz w:val="20"/>
                <w:szCs w:val="20"/>
                <w:color w:val="auto"/>
              </w:rPr>
            </w:pPr>
            <w:r>
              <w:rPr>
                <w:rFonts w:ascii="Courier New" w:cs="Courier New" w:eastAsia="Courier New" w:hAnsi="Courier New"/>
                <w:sz w:val="15"/>
                <w:szCs w:val="15"/>
                <w:color w:val="auto"/>
              </w:rPr>
              <w:t>Preferred stock</w:t>
            </w: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8,947</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10,800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12,046</w:t>
            </w:r>
          </w:p>
        </w:tc>
      </w:tr>
      <w:tr>
        <w:trPr>
          <w:trHeight w:val="177"/>
        </w:trPr>
        <w:tc>
          <w:tcPr>
            <w:tcW w:w="5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59,403</w:t>
            </w:r>
          </w:p>
        </w:tc>
        <w:tc>
          <w:tcPr>
            <w:tcW w:w="46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67,242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84,872</w:t>
            </w:r>
          </w:p>
        </w:tc>
      </w:tr>
      <w:tr>
        <w:trPr>
          <w:trHeight w:val="177"/>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2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$ 246,282</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216,468</w:t>
            </w:r>
          </w:p>
        </w:tc>
        <w:tc>
          <w:tcPr>
            <w:tcW w:w="2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179,297</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200" w:lineRule="exact"/>
        <w:rPr>
          <w:sz w:val="20"/>
          <w:szCs w:val="20"/>
          <w:color w:val="auto"/>
        </w:r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160"/>
          </w:cols>
          <w:pgMar w:left="320" w:top="828" w:right="1419" w:bottom="1440" w:gutter="0" w:footer="0" w:header="0"/>
        </w:sectPr>
      </w:pPr>
    </w:p>
    <w:bookmarkStart w:id="69" w:name="page70"/>
    <w:bookmarkEnd w:id="69"/>
    <w:p>
      <w:pPr>
        <w:ind w:left="1380"/>
        <w:spacing w:after="0"/>
        <w:rPr>
          <w:sz w:val="20"/>
          <w:szCs w:val="20"/>
          <w:color w:val="auto"/>
        </w:rPr>
      </w:pPr>
      <w:r>
        <w:rPr>
          <w:rFonts w:ascii="Courier New" w:cs="Courier New" w:eastAsia="Courier New" w:hAnsi="Courier New"/>
          <w:sz w:val="15"/>
          <w:szCs w:val="15"/>
          <w:color w:val="auto"/>
        </w:rPr>
        <w:t>PORTLAND GENERAL ELECTRIC COMPANY AND SUBSIDIARIES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ind w:left="2400"/>
              <w:spacing w:after="0"/>
              <w:rPr>
                <w:sz w:val="20"/>
                <w:szCs w:val="20"/>
                <w:color w:val="auto"/>
              </w:rPr>
            </w:pPr>
            <w:r>
              <w:rPr>
                <w:rFonts w:ascii="Courier New" w:cs="Courier New" w:eastAsia="Courier New" w:hAnsi="Courier New"/>
                <w:sz w:val="15"/>
                <w:szCs w:val="15"/>
                <w:color w:val="auto"/>
              </w:rPr>
              <w:t>CONSOLIDATED BALANCE SHEETS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87"/>
        </w:trPr>
        <w:tc>
          <w:tcPr>
            <w:tcW w:w="506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40" w:type="dxa"/>
            <w:vAlign w:val="bottom"/>
          </w:tcPr>
          <w:p>
            <w:pPr>
              <w:spacing w:after="0"/>
              <w:rPr>
                <w:sz w:val="24"/>
                <w:szCs w:val="24"/>
                <w:color w:val="auto"/>
              </w:rPr>
            </w:pPr>
          </w:p>
        </w:tc>
        <w:tc>
          <w:tcPr>
            <w:tcW w:w="148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1995</w:t>
            </w:r>
          </w:p>
        </w:tc>
        <w:tc>
          <w:tcPr>
            <w:tcW w:w="600" w:type="dxa"/>
            <w:vAlign w:val="bottom"/>
          </w:tcPr>
          <w:p>
            <w:pPr>
              <w:spacing w:after="0"/>
              <w:rPr>
                <w:sz w:val="24"/>
                <w:szCs w:val="24"/>
                <w:color w:val="auto"/>
              </w:rPr>
            </w:pPr>
          </w:p>
        </w:tc>
        <w:tc>
          <w:tcPr>
            <w:tcW w:w="1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3"/>
          </w:tcPr>
          <w:p>
            <w:pPr>
              <w:jc w:val="right"/>
              <w:ind w:right="583"/>
              <w:spacing w:after="0"/>
              <w:rPr>
                <w:sz w:val="20"/>
                <w:szCs w:val="20"/>
                <w:color w:val="auto"/>
              </w:rPr>
            </w:pPr>
            <w:r>
              <w:rPr>
                <w:rFonts w:ascii="Courier New" w:cs="Courier New" w:eastAsia="Courier New" w:hAnsi="Courier New"/>
                <w:sz w:val="15"/>
                <w:szCs w:val="15"/>
                <w:color w:val="auto"/>
              </w:rPr>
              <w:t>(THOUSANDS OF DOLLARS)</w:t>
            </w:r>
          </w:p>
        </w:tc>
      </w:tr>
      <w:tr>
        <w:trPr>
          <w:trHeight w:val="355"/>
        </w:trPr>
        <w:tc>
          <w:tcPr>
            <w:tcW w:w="506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ELECTRIC UTILITY PLANT - ORIGINAL COST</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Utility plant (includes Construction Work in</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280"/>
              <w:spacing w:after="0"/>
              <w:rPr>
                <w:sz w:val="20"/>
                <w:szCs w:val="20"/>
                <w:color w:val="auto"/>
              </w:rPr>
            </w:pPr>
            <w:r>
              <w:rPr>
                <w:rFonts w:ascii="Courier New" w:cs="Courier New" w:eastAsia="Courier New" w:hAnsi="Courier New"/>
                <w:sz w:val="15"/>
                <w:szCs w:val="15"/>
                <w:color w:val="auto"/>
              </w:rPr>
              <w:t>Progress of $33,382 and $148,267)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2,754,280</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2,563,476</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Accumulated depreciation</w:t>
            </w:r>
          </w:p>
        </w:tc>
        <w:tc>
          <w:tcPr>
            <w:tcW w:w="240" w:type="dxa"/>
            <w:vAlign w:val="bottom"/>
          </w:tcPr>
          <w:p>
            <w:pPr>
              <w:spacing w:after="0"/>
              <w:rPr>
                <w:sz w:val="15"/>
                <w:szCs w:val="15"/>
                <w:color w:val="auto"/>
              </w:rPr>
            </w:pP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(1,040,014)</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(958,465)</w:t>
            </w:r>
          </w:p>
        </w:tc>
      </w:tr>
      <w:tr>
        <w:trPr>
          <w:trHeight w:val="177"/>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1,714,266</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1,605,011</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Capital leases - less amortization of</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9,353</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11,523</w:t>
            </w:r>
          </w:p>
        </w:tc>
      </w:tr>
      <w:tr>
        <w:trPr>
          <w:trHeight w:val="177"/>
        </w:trPr>
        <w:tc>
          <w:tcPr>
            <w:tcW w:w="5060" w:type="dxa"/>
            <w:vAlign w:val="bottom"/>
          </w:tcPr>
          <w:p>
            <w:pPr>
              <w:ind w:left="280"/>
              <w:spacing w:after="0"/>
              <w:rPr>
                <w:sz w:val="20"/>
                <w:szCs w:val="20"/>
                <w:color w:val="auto"/>
              </w:rPr>
            </w:pPr>
            <w:r>
              <w:rPr>
                <w:rFonts w:ascii="Courier New" w:cs="Courier New" w:eastAsia="Courier New" w:hAnsi="Courier New"/>
                <w:sz w:val="15"/>
                <w:szCs w:val="15"/>
                <w:color w:val="auto"/>
              </w:rPr>
              <w:t>$27,966 and $25,796</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1,723,619</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1,616,534</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OTHER PROPERTY AND INVESTMENTS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Trojan decommissioning trust, at market</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68,774</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58,485</w:t>
            </w:r>
          </w:p>
        </w:tc>
      </w:tr>
      <w:tr>
        <w:trPr>
          <w:trHeight w:val="177"/>
        </w:trPr>
        <w:tc>
          <w:tcPr>
            <w:tcW w:w="5060" w:type="dxa"/>
            <w:vAlign w:val="bottom"/>
          </w:tcPr>
          <w:p>
            <w:pPr>
              <w:ind w:left="280"/>
              <w:spacing w:after="0"/>
              <w:rPr>
                <w:sz w:val="20"/>
                <w:szCs w:val="20"/>
                <w:color w:val="auto"/>
              </w:rPr>
            </w:pPr>
            <w:r>
              <w:rPr>
                <w:rFonts w:ascii="Courier New" w:cs="Courier New" w:eastAsia="Courier New" w:hAnsi="Courier New"/>
                <w:sz w:val="15"/>
                <w:szCs w:val="15"/>
                <w:color w:val="auto"/>
              </w:rPr>
              <w:t>value</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Corporate owned life insurance, less loans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44,635</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40,034</w:t>
            </w:r>
          </w:p>
        </w:tc>
      </w:tr>
      <w:tr>
        <w:trPr>
          <w:trHeight w:val="177"/>
        </w:trPr>
        <w:tc>
          <w:tcPr>
            <w:tcW w:w="5060" w:type="dxa"/>
            <w:vAlign w:val="bottom"/>
          </w:tcPr>
          <w:p>
            <w:pPr>
              <w:ind w:left="280"/>
              <w:spacing w:after="0"/>
              <w:rPr>
                <w:sz w:val="20"/>
                <w:szCs w:val="20"/>
                <w:color w:val="auto"/>
              </w:rPr>
            </w:pPr>
            <w:r>
              <w:rPr>
                <w:rFonts w:ascii="Courier New" w:cs="Courier New" w:eastAsia="Courier New" w:hAnsi="Courier New"/>
                <w:sz w:val="15"/>
                <w:szCs w:val="15"/>
                <w:color w:val="auto"/>
              </w:rPr>
              <w:t>of $ 26,432 and $21,731</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Other investments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24,943</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26,074</w:t>
            </w:r>
          </w:p>
        </w:tc>
      </w:tr>
      <w:tr>
        <w:trPr>
          <w:trHeight w:val="177"/>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138,352</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124,593</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2,241</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9,590</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Accounts and notes receivable</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102,592</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91,672</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Unbilled and accrued revenues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64,516</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162,151</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Inventories, at average cost</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38,338</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31,149</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Prepayments and other</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15,619</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33,148</w:t>
            </w:r>
          </w:p>
        </w:tc>
      </w:tr>
      <w:tr>
        <w:trPr>
          <w:trHeight w:val="177"/>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223,306</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327,710</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DEFERRED CHARGES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Unamortized regulatory assets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Trojan investment</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301,023</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402,713</w:t>
            </w: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Trojan  decommissioning</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311,403</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338,718</w:t>
            </w: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Income taxes recoverable</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217,366</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217,967</w:t>
            </w: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Debt reacquisition costs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29,576</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32,245</w:t>
            </w: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Energy efficiency programs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77,945</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58,894</w:t>
            </w: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27,611</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47,787</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WNP-3 settlement exchange agreement</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168,399</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173,308</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Miscellaneous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26,997</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13,682</w:t>
            </w:r>
          </w:p>
        </w:tc>
      </w:tr>
      <w:tr>
        <w:trPr>
          <w:trHeight w:val="177"/>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1,160,320</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1,285,314</w:t>
            </w:r>
          </w:p>
        </w:tc>
      </w:tr>
      <w:tr>
        <w:trPr>
          <w:trHeight w:val="177"/>
        </w:trPr>
        <w:tc>
          <w:tcPr>
            <w:tcW w:w="50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3,245,597</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3,354,151</w:t>
            </w:r>
          </w:p>
        </w:tc>
      </w:tr>
      <w:tr>
        <w:trPr>
          <w:trHeight w:val="355"/>
        </w:trPr>
        <w:tc>
          <w:tcPr>
            <w:tcW w:w="5060" w:type="dxa"/>
            <w:vAlign w:val="bottom"/>
          </w:tcPr>
          <w:p>
            <w:pPr>
              <w:ind w:left="2200"/>
              <w:spacing w:after="0"/>
              <w:rPr>
                <w:sz w:val="20"/>
                <w:szCs w:val="20"/>
                <w:color w:val="auto"/>
              </w:rPr>
            </w:pPr>
            <w:r>
              <w:rPr>
                <w:rFonts w:ascii="Courier New" w:cs="Courier New" w:eastAsia="Courier New" w:hAnsi="Courier New"/>
                <w:sz w:val="15"/>
                <w:szCs w:val="15"/>
                <w:color w:val="auto"/>
              </w:rPr>
              <w:t>CAPITALIZATION AND LIABILITIES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Common stock equity</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Common stock, $3.75 par value per share,</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460"/>
              <w:spacing w:after="0"/>
              <w:rPr>
                <w:sz w:val="20"/>
                <w:szCs w:val="20"/>
                <w:color w:val="auto"/>
              </w:rPr>
            </w:pPr>
            <w:r>
              <w:rPr>
                <w:rFonts w:ascii="Courier New" w:cs="Courier New" w:eastAsia="Courier New" w:hAnsi="Courier New"/>
                <w:sz w:val="15"/>
                <w:szCs w:val="15"/>
                <w:color w:val="auto"/>
              </w:rPr>
              <w:t>100,000,000 shares authorized,</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460"/>
              <w:spacing w:after="0"/>
              <w:rPr>
                <w:sz w:val="20"/>
                <w:szCs w:val="20"/>
                <w:color w:val="auto"/>
              </w:rPr>
            </w:pPr>
            <w:r>
              <w:rPr>
                <w:rFonts w:ascii="Courier New" w:cs="Courier New" w:eastAsia="Courier New" w:hAnsi="Courier New"/>
                <w:sz w:val="15"/>
                <w:szCs w:val="15"/>
                <w:color w:val="auto"/>
              </w:rPr>
              <w:t>42,758,877 shares outstanding</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160,346</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160,346</w:t>
            </w: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Other paid-in capital - net</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466,325</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457,412</w:t>
            </w: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246,282</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216,468</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Cumulative preferred stock</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Subject to mandatory redemption</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40,000</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5060" w:type="dxa"/>
            <w:vAlign w:val="bottom"/>
          </w:tcPr>
          <w:p>
            <w:pPr>
              <w:ind w:left="360"/>
              <w:spacing w:after="0"/>
              <w:rPr>
                <w:sz w:val="20"/>
                <w:szCs w:val="20"/>
                <w:color w:val="auto"/>
              </w:rPr>
            </w:pPr>
            <w:r>
              <w:rPr>
                <w:rFonts w:ascii="Courier New" w:cs="Courier New" w:eastAsia="Courier New" w:hAnsi="Courier New"/>
                <w:sz w:val="15"/>
                <w:szCs w:val="15"/>
                <w:color w:val="auto"/>
              </w:rPr>
              <w:t>Not subject to mandatory redemption</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69,704</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890,556</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805,814</w:t>
            </w:r>
          </w:p>
        </w:tc>
      </w:tr>
      <w:tr>
        <w:trPr>
          <w:trHeight w:val="177"/>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1,803,509</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1,759,744</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Long-term debt and preferred stock due</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75,114</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81,506</w:t>
            </w:r>
          </w:p>
        </w:tc>
      </w:tr>
      <w:tr>
        <w:trPr>
          <w:trHeight w:val="177"/>
        </w:trPr>
        <w:tc>
          <w:tcPr>
            <w:tcW w:w="5060" w:type="dxa"/>
            <w:vAlign w:val="bottom"/>
          </w:tcPr>
          <w:p>
            <w:pPr>
              <w:ind w:left="280"/>
              <w:spacing w:after="0"/>
              <w:rPr>
                <w:sz w:val="20"/>
                <w:szCs w:val="20"/>
                <w:color w:val="auto"/>
              </w:rPr>
            </w:pPr>
            <w:r>
              <w:rPr>
                <w:rFonts w:ascii="Courier New" w:cs="Courier New" w:eastAsia="Courier New" w:hAnsi="Courier New"/>
                <w:sz w:val="15"/>
                <w:szCs w:val="15"/>
                <w:color w:val="auto"/>
              </w:rPr>
              <w:t>within one year</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Short-term borrowings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170,248</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148,598</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other accruals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132,064</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104,612</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Accrued interest</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15,442</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19,084</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Dividends payable</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14,956</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15,702</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Accrued taxes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12,870</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32,820</w:t>
            </w:r>
          </w:p>
        </w:tc>
      </w:tr>
      <w:tr>
        <w:trPr>
          <w:trHeight w:val="177"/>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420,694</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402,322</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525,391</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549,160</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Deferred investment tax credits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51,211</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56,760</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Deferred gain on sale of assets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118,939</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Trojan decommissioning and transition costs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379,179</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396,873</w:t>
            </w:r>
          </w:p>
        </w:tc>
      </w:tr>
      <w:tr>
        <w:trPr>
          <w:trHeight w:val="177"/>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Miscellaneous</w:t>
            </w: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65,613</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70,353</w:t>
            </w:r>
          </w:p>
        </w:tc>
      </w:tr>
      <w:tr>
        <w:trPr>
          <w:trHeight w:val="177"/>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1,021,394</w:t>
            </w:r>
          </w:p>
        </w:tc>
        <w:tc>
          <w:tcPr>
            <w:tcW w:w="6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1,192,085</w:t>
            </w:r>
          </w:p>
        </w:tc>
      </w:tr>
      <w:tr>
        <w:trPr>
          <w:trHeight w:val="177"/>
        </w:trPr>
        <w:tc>
          <w:tcPr>
            <w:tcW w:w="50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3,245,597</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3,354,151</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 sheets.</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50" w:right="1440" w:bottom="1440" w:gutter="0" w:footer="0" w:header="0"/>
        </w:sectPr>
      </w:pPr>
    </w:p>
    <w:bookmarkStart w:id="70" w:name="page71"/>
    <w:bookmarkEnd w:id="70"/>
    <w:p>
      <w:pPr>
        <w:jc w:val="center"/>
        <w:ind w:right="3300"/>
        <w:spacing w:after="0"/>
        <w:rPr>
          <w:sz w:val="20"/>
          <w:szCs w:val="20"/>
          <w:color w:val="auto"/>
        </w:rPr>
      </w:pPr>
      <w:r>
        <w:rPr>
          <w:rFonts w:ascii="Courier New" w:cs="Courier New" w:eastAsia="Courier New" w:hAnsi="Courier New"/>
          <w:sz w:val="15"/>
          <w:szCs w:val="15"/>
          <w:color w:val="auto"/>
        </w:rPr>
        <w:t>PORTLAND GENERAL ELECTRIC COMPANY AND SUBSIDIARIES</w:t>
      </w:r>
    </w:p>
    <w:p>
      <w:pPr>
        <w:spacing w:after="0" w:line="8"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740" w:type="dxa"/>
            <w:vAlign w:val="bottom"/>
          </w:tcPr>
          <w:p>
            <w:pPr>
              <w:spacing w:after="0"/>
              <w:rPr>
                <w:sz w:val="14"/>
                <w:szCs w:val="14"/>
                <w:color w:val="auto"/>
              </w:rPr>
            </w:pPr>
          </w:p>
        </w:tc>
        <w:tc>
          <w:tcPr>
            <w:tcW w:w="8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14"/>
                <w:szCs w:val="14"/>
                <w:color w:val="auto"/>
              </w:rPr>
            </w:pPr>
          </w:p>
        </w:tc>
        <w:tc>
          <w:tcPr>
            <w:tcW w:w="138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138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1993</w:t>
            </w:r>
          </w:p>
        </w:tc>
      </w:tr>
      <w:tr>
        <w:trPr>
          <w:trHeight w:val="177"/>
        </w:trPr>
        <w:tc>
          <w:tcPr>
            <w:tcW w:w="5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OF DOLLARS)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PROVIDED (USED IN)</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200"/>
              <w:spacing w:after="0"/>
              <w:rPr>
                <w:sz w:val="20"/>
                <w:szCs w:val="20"/>
                <w:color w:val="auto"/>
              </w:rPr>
            </w:pPr>
            <w:r>
              <w:rPr>
                <w:rFonts w:ascii="Courier New" w:cs="Courier New" w:eastAsia="Courier New" w:hAnsi="Courier New"/>
                <w:sz w:val="15"/>
                <w:szCs w:val="15"/>
                <w:color w:val="auto"/>
              </w:rPr>
              <w:t>OPERATIONS:</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560"/>
              <w:spacing w:after="0"/>
              <w:rPr>
                <w:sz w:val="20"/>
                <w:szCs w:val="20"/>
                <w:color w:val="auto"/>
              </w:rPr>
            </w:pPr>
            <w:r>
              <w:rPr>
                <w:rFonts w:ascii="Courier New" w:cs="Courier New" w:eastAsia="Courier New" w:hAnsi="Courier New"/>
                <w:sz w:val="15"/>
                <w:szCs w:val="15"/>
                <w:color w:val="auto"/>
              </w:rPr>
              <w:t>Net Income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92,787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106,118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99,744</w:t>
            </w:r>
          </w:p>
        </w:tc>
      </w:tr>
      <w:tr>
        <w:trPr>
          <w:trHeight w:val="177"/>
        </w:trPr>
        <w:tc>
          <w:tcPr>
            <w:tcW w:w="5360" w:type="dxa"/>
            <w:vAlign w:val="bottom"/>
          </w:tcPr>
          <w:p>
            <w:pPr>
              <w:ind w:left="560"/>
              <w:spacing w:after="0"/>
              <w:rPr>
                <w:sz w:val="20"/>
                <w:szCs w:val="20"/>
                <w:color w:val="auto"/>
              </w:rPr>
            </w:pPr>
            <w:r>
              <w:rPr>
                <w:rFonts w:ascii="Courier New" w:cs="Courier New" w:eastAsia="Courier New" w:hAnsi="Courier New"/>
                <w:sz w:val="15"/>
                <w:szCs w:val="15"/>
                <w:color w:val="auto"/>
              </w:rPr>
              <w:t>Non-cash items included in net income:</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Depreciation and amortization</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102,183</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94,140</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89,718</w:t>
            </w: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Amortization of WNP-3 exchange agreement</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4,910</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4,695</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4,489</w:t>
            </w: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Amortization of Trojan investment</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24,884</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26,738</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26,329</w:t>
            </w: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Amortization of Trojan decommissioning</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13,336</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11,220</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11,220</w:t>
            </w: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Amortization of deferred charges - other</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(1,777)</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2,712</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6,713</w:t>
            </w: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Deferred income taxes - net</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1,714</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25,720</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60,721</w:t>
            </w: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Other noncash revenues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(3,257)</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(271)</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Regulatory disallowances</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49,567</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Changes in working capital:</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840"/>
              <w:spacing w:after="0"/>
              <w:rPr>
                <w:sz w:val="20"/>
                <w:szCs w:val="20"/>
                <w:color w:val="auto"/>
              </w:rPr>
            </w:pPr>
            <w:r>
              <w:rPr>
                <w:rFonts w:ascii="Courier New" w:cs="Courier New" w:eastAsia="Courier New" w:hAnsi="Courier New"/>
                <w:sz w:val="15"/>
                <w:szCs w:val="15"/>
                <w:color w:val="auto"/>
              </w:rPr>
              <w:t>(Increase) Decrease in receivables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(11,539)</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(29,678)</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(68,717)</w:t>
            </w:r>
          </w:p>
        </w:tc>
      </w:tr>
      <w:tr>
        <w:trPr>
          <w:trHeight w:val="177"/>
        </w:trPr>
        <w:tc>
          <w:tcPr>
            <w:tcW w:w="5360" w:type="dxa"/>
            <w:vAlign w:val="bottom"/>
          </w:tcPr>
          <w:p>
            <w:pPr>
              <w:ind w:left="840"/>
              <w:spacing w:after="0"/>
              <w:rPr>
                <w:sz w:val="20"/>
                <w:szCs w:val="20"/>
                <w:color w:val="auto"/>
              </w:rPr>
            </w:pPr>
            <w:r>
              <w:rPr>
                <w:rFonts w:ascii="Courier New" w:cs="Courier New" w:eastAsia="Courier New" w:hAnsi="Courier New"/>
                <w:sz w:val="15"/>
                <w:szCs w:val="15"/>
                <w:color w:val="auto"/>
              </w:rPr>
              <w:t>(Increase) Decrease in inventories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(7,189)</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3,264</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15,017</w:t>
            </w:r>
          </w:p>
        </w:tc>
      </w:tr>
      <w:tr>
        <w:trPr>
          <w:trHeight w:val="177"/>
        </w:trPr>
        <w:tc>
          <w:tcPr>
            <w:tcW w:w="5360" w:type="dxa"/>
            <w:vAlign w:val="bottom"/>
          </w:tcPr>
          <w:p>
            <w:pPr>
              <w:ind w:left="920"/>
              <w:spacing w:after="0"/>
              <w:rPr>
                <w:sz w:val="20"/>
                <w:szCs w:val="20"/>
                <w:color w:val="auto"/>
              </w:rPr>
            </w:pPr>
            <w:r>
              <w:rPr>
                <w:rFonts w:ascii="Courier New" w:cs="Courier New" w:eastAsia="Courier New" w:hAnsi="Courier New"/>
                <w:sz w:val="15"/>
                <w:szCs w:val="15"/>
                <w:color w:val="auto"/>
              </w:rPr>
              <w:t>Increase (Decrease) in payables</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13,196</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(3,470)</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(26,588)</w:t>
            </w:r>
          </w:p>
        </w:tc>
      </w:tr>
      <w:tr>
        <w:trPr>
          <w:trHeight w:val="177"/>
        </w:trPr>
        <w:tc>
          <w:tcPr>
            <w:tcW w:w="5360" w:type="dxa"/>
            <w:vAlign w:val="bottom"/>
          </w:tcPr>
          <w:p>
            <w:pPr>
              <w:ind w:left="840"/>
              <w:spacing w:after="0"/>
              <w:rPr>
                <w:sz w:val="20"/>
                <w:szCs w:val="20"/>
                <w:color w:val="auto"/>
              </w:rPr>
            </w:pPr>
            <w:r>
              <w:rPr>
                <w:rFonts w:ascii="Courier New" w:cs="Courier New" w:eastAsia="Courier New" w:hAnsi="Courier New"/>
                <w:sz w:val="15"/>
                <w:szCs w:val="15"/>
                <w:color w:val="auto"/>
              </w:rPr>
              <w:t>Other working capital items - net</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1,946</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(20,754)</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11,886</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Trojan decommissioning expenditures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(10,927)</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(3,360)</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(1,625)</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Deferred charges - other</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(9,472)</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13,987</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(3,331)</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Miscellaneous - net</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12,128</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7,374</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15,869</w:t>
            </w:r>
          </w:p>
        </w:tc>
      </w:tr>
      <w:tr>
        <w:trPr>
          <w:trHeight w:val="177"/>
        </w:trPr>
        <w:tc>
          <w:tcPr>
            <w:tcW w:w="5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272,490</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238,435</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241,445</w:t>
            </w:r>
          </w:p>
        </w:tc>
      </w:tr>
      <w:tr>
        <w:trPr>
          <w:trHeight w:val="177"/>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Utility construction - new resources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(49,096)</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(87,537)</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(28,666)</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Utility construction - other</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(158,198)</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(131,675)</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(101,692)</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Energy efficiency programs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(25,013)</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(23,745)</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(18,149)</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Nuclear decommissioning trust deposits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(16,598)</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(11,220)</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(11,220)</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Nuclear decommissioning trust withdrawals</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13,521</w:t>
            </w:r>
          </w:p>
        </w:tc>
        <w:tc>
          <w:tcPr>
            <w:tcW w:w="7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Other investments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(8,624)</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(9,954)</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(7,133)</w:t>
            </w:r>
          </w:p>
        </w:tc>
      </w:tr>
      <w:tr>
        <w:trPr>
          <w:trHeight w:val="177"/>
        </w:trPr>
        <w:tc>
          <w:tcPr>
            <w:tcW w:w="5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(244,008)</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(264,131)</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(166,860)</w:t>
            </w:r>
          </w:p>
        </w:tc>
      </w:tr>
      <w:tr>
        <w:trPr>
          <w:trHeight w:val="177"/>
        </w:trPr>
        <w:tc>
          <w:tcPr>
            <w:tcW w:w="53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Short-term debt - net</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21,650</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18,678</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29,855</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Borrowings from Corporate Owned Life Insurance</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4,679</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21,731</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Long-term debt issued</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147,138</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74,631</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249,782</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Long-term debt retired</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(69,445)</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(29,882)</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(266,986)</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Preferred stock retired</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(79,704)</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(20,000)</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(3,600)</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Common stock issued</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41,055</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177"/>
        </w:trPr>
        <w:tc>
          <w:tcPr>
            <w:tcW w:w="5360" w:type="dxa"/>
            <w:vAlign w:val="bottom"/>
          </w:tcPr>
          <w:p>
            <w:pPr>
              <w:ind w:left="460"/>
              <w:spacing w:after="0"/>
              <w:rPr>
                <w:sz w:val="20"/>
                <w:szCs w:val="20"/>
                <w:color w:val="auto"/>
              </w:rPr>
            </w:pPr>
            <w:r>
              <w:rPr>
                <w:rFonts w:ascii="Courier New" w:cs="Courier New" w:eastAsia="Courier New" w:hAnsi="Courier New"/>
                <w:sz w:val="15"/>
                <w:szCs w:val="15"/>
                <w:color w:val="auto"/>
              </w:rPr>
              <w:t>Dividends paid</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(60,149)</w:t>
            </w:r>
          </w:p>
        </w:tc>
        <w:tc>
          <w:tcPr>
            <w:tcW w:w="700" w:type="dxa"/>
            <w:vAlign w:val="bottom"/>
          </w:tcPr>
          <w:p>
            <w:pPr>
              <w:spacing w:after="0"/>
              <w:rPr>
                <w:sz w:val="15"/>
                <w:szCs w:val="15"/>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(73,026)</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(84,951)</w:t>
            </w:r>
          </w:p>
        </w:tc>
      </w:tr>
      <w:tr>
        <w:trPr>
          <w:trHeight w:val="177"/>
        </w:trPr>
        <w:tc>
          <w:tcPr>
            <w:tcW w:w="5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(35,831)</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33,187</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(75,900)</w:t>
            </w:r>
          </w:p>
        </w:tc>
      </w:tr>
      <w:tr>
        <w:trPr>
          <w:trHeight w:val="177"/>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200"/>
              <w:spacing w:after="0"/>
              <w:rPr>
                <w:sz w:val="20"/>
                <w:szCs w:val="20"/>
                <w:color w:val="auto"/>
              </w:rPr>
            </w:pPr>
            <w:r>
              <w:rPr>
                <w:rFonts w:ascii="Courier New" w:cs="Courier New" w:eastAsia="Courier New" w:hAnsi="Courier New"/>
                <w:sz w:val="15"/>
                <w:szCs w:val="15"/>
                <w:color w:val="auto"/>
              </w:rPr>
              <w:t>CASH EQUIVALENTS</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(7,349)</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7,491</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(1,315)</w:t>
            </w:r>
          </w:p>
        </w:tc>
      </w:tr>
      <w:tr>
        <w:trPr>
          <w:trHeight w:val="177"/>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THE BEGINNING</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200"/>
              <w:spacing w:after="0"/>
              <w:rPr>
                <w:sz w:val="20"/>
                <w:szCs w:val="20"/>
                <w:color w:val="auto"/>
              </w:rPr>
            </w:pPr>
            <w:r>
              <w:rPr>
                <w:rFonts w:ascii="Courier New" w:cs="Courier New" w:eastAsia="Courier New" w:hAnsi="Courier New"/>
                <w:sz w:val="15"/>
                <w:szCs w:val="15"/>
                <w:color w:val="auto"/>
              </w:rPr>
              <w:t>OF YEAR</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9,590</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2,099</w:t>
            </w:r>
          </w:p>
        </w:tc>
        <w:tc>
          <w:tcPr>
            <w:tcW w:w="140" w:type="dxa"/>
            <w:vAlign w:val="bottom"/>
          </w:tcPr>
          <w:p>
            <w:pPr>
              <w:spacing w:after="0"/>
              <w:rPr>
                <w:sz w:val="15"/>
                <w:szCs w:val="15"/>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3,414</w:t>
            </w:r>
          </w:p>
        </w:tc>
      </w:tr>
      <w:tr>
        <w:trPr>
          <w:trHeight w:val="177"/>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THE END</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200"/>
              <w:spacing w:after="0"/>
              <w:rPr>
                <w:sz w:val="20"/>
                <w:szCs w:val="20"/>
                <w:color w:val="auto"/>
              </w:rPr>
            </w:pPr>
            <w:r>
              <w:rPr>
                <w:rFonts w:ascii="Courier New" w:cs="Courier New" w:eastAsia="Courier New" w:hAnsi="Courier New"/>
                <w:sz w:val="15"/>
                <w:szCs w:val="15"/>
                <w:color w:val="auto"/>
              </w:rPr>
              <w:t>OF YEAR</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2,241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9,590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2,099</w:t>
            </w:r>
          </w:p>
        </w:tc>
      </w:tr>
      <w:tr>
        <w:trPr>
          <w:trHeight w:val="177"/>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year:</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5360" w:type="dxa"/>
            <w:vAlign w:val="bottom"/>
          </w:tcPr>
          <w:p>
            <w:pPr>
              <w:ind w:left="560"/>
              <w:spacing w:after="0"/>
              <w:rPr>
                <w:sz w:val="20"/>
                <w:szCs w:val="20"/>
                <w:color w:val="auto"/>
              </w:rPr>
            </w:pPr>
            <w:r>
              <w:rPr>
                <w:rFonts w:ascii="Courier New" w:cs="Courier New" w:eastAsia="Courier New" w:hAnsi="Courier New"/>
                <w:sz w:val="15"/>
                <w:szCs w:val="15"/>
                <w:color w:val="auto"/>
              </w:rPr>
              <w:t>Interest, net of amounts capitalized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64,136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55,995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67,447</w:t>
            </w:r>
          </w:p>
        </w:tc>
      </w:tr>
      <w:tr>
        <w:trPr>
          <w:trHeight w:val="177"/>
        </w:trPr>
        <w:tc>
          <w:tcPr>
            <w:tcW w:w="5360" w:type="dxa"/>
            <w:vAlign w:val="bottom"/>
          </w:tcPr>
          <w:p>
            <w:pPr>
              <w:ind w:left="560"/>
              <w:spacing w:after="0"/>
              <w:rPr>
                <w:sz w:val="20"/>
                <w:szCs w:val="20"/>
                <w:color w:val="auto"/>
              </w:rPr>
            </w:pPr>
            <w:r>
              <w:rPr>
                <w:rFonts w:ascii="Courier New" w:cs="Courier New" w:eastAsia="Courier New" w:hAnsi="Courier New"/>
                <w:sz w:val="15"/>
                <w:szCs w:val="15"/>
                <w:color w:val="auto"/>
              </w:rPr>
              <w:t>Income taxes</w:t>
            </w:r>
          </w:p>
        </w:tc>
        <w:tc>
          <w:tcPr>
            <w:tcW w:w="74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94,327</w:t>
            </w:r>
          </w:p>
        </w:tc>
        <w:tc>
          <w:tcPr>
            <w:tcW w:w="700" w:type="dxa"/>
            <w:vAlign w:val="bottom"/>
          </w:tcPr>
          <w:p>
            <w:pPr>
              <w:spacing w:after="0"/>
              <w:rPr>
                <w:sz w:val="15"/>
                <w:szCs w:val="15"/>
                <w:color w:val="auto"/>
              </w:rPr>
            </w:pPr>
          </w:p>
        </w:tc>
        <w:tc>
          <w:tcPr>
            <w:tcW w:w="13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44,918</w:t>
            </w:r>
          </w:p>
        </w:tc>
        <w:tc>
          <w:tcPr>
            <w:tcW w:w="14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17,242</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520"/>
          </w:cols>
          <w:pgMar w:left="320" w:top="650" w:right="1059" w:bottom="1440" w:gutter="0" w:footer="0" w:header="0"/>
        </w:sectPr>
      </w:pPr>
    </w:p>
    <w:bookmarkStart w:id="71" w:name="page72"/>
    <w:bookmarkEnd w:id="71"/>
    <w:p>
      <w:pPr>
        <w:jc w:val="center"/>
        <w:ind w:right="2739"/>
        <w:spacing w:after="0"/>
        <w:rPr>
          <w:sz w:val="20"/>
          <w:szCs w:val="20"/>
          <w:color w:val="auto"/>
        </w:rPr>
      </w:pPr>
      <w:r>
        <w:rPr>
          <w:rFonts w:ascii="Courier New" w:cs="Courier New" w:eastAsia="Courier New" w:hAnsi="Courier New"/>
          <w:sz w:val="15"/>
          <w:szCs w:val="15"/>
          <w:color w:val="auto"/>
        </w:rPr>
        <w:t>Portland General Electric Company and Subsidiaries</w:t>
      </w:r>
    </w:p>
    <w:p>
      <w:pPr>
        <w:spacing w:after="0" w:line="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Notes to Financial Statements</w:t>
      </w:r>
    </w:p>
    <w:p>
      <w:pPr>
        <w:spacing w:after="0" w:line="362" w:lineRule="exact"/>
        <w:rPr>
          <w:sz w:val="20"/>
          <w:szCs w:val="20"/>
          <w:color w:val="auto"/>
        </w:rPr>
      </w:pPr>
    </w:p>
    <w:p>
      <w:pPr>
        <w:jc w:val="both"/>
        <w:ind w:right="2939" w:firstLine="92"/>
        <w:spacing w:after="0" w:line="251" w:lineRule="auto"/>
        <w:rPr>
          <w:sz w:val="20"/>
          <w:szCs w:val="20"/>
          <w:color w:val="auto"/>
        </w:rPr>
      </w:pPr>
      <w:r>
        <w:rPr>
          <w:rFonts w:ascii="Courier New" w:cs="Courier New" w:eastAsia="Courier New" w:hAnsi="Courier New"/>
          <w:sz w:val="15"/>
          <w:szCs w:val="15"/>
          <w:color w:val="auto"/>
        </w:rPr>
        <w:t>Certain information, necessary for a sufficient understanding of PGE's financial condition and results of operations, is substantially the same as that disclosed by Portland General in this report. Therefore, the following PGE information is incorporated by reference to Part II of Portland General's Form 10-K on the following page numbers.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w w:val="99"/>
              </w:rPr>
              <w:t>PAGE</w:t>
            </w:r>
          </w:p>
        </w:tc>
      </w:tr>
      <w:tr>
        <w:trPr>
          <w:trHeight w:val="355"/>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820" w:type="dxa"/>
            <w:vAlign w:val="bottom"/>
          </w:tcPr>
          <w:p>
            <w:pPr>
              <w:spacing w:after="0"/>
              <w:rPr>
                <w:sz w:val="24"/>
                <w:szCs w:val="24"/>
                <w:color w:val="auto"/>
              </w:rPr>
            </w:pP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1A.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Summary of Significant Accounting Policies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38</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2A.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Employee Benefits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40</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4B.</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44</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5A.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Short Term Borrowings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46</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6A.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Long-Term Debt</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47</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7A.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Other Financial Instruments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48</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8A.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Fair Value of Financial Instruments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48</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9A.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Commitments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49</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10A.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Jointly Owned Plant</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51</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11A.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Trojan Nuclear Plant</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51</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12A.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WNP-3 Settlement Exchange Agreement</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53</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13A.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Regulatory Matters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53</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Note 14A.</w:t>
            </w:r>
          </w:p>
        </w:tc>
        <w:tc>
          <w:tcPr>
            <w:tcW w:w="4440" w:type="dxa"/>
            <w:vAlign w:val="bottom"/>
          </w:tcPr>
          <w:p>
            <w:pPr>
              <w:ind w:left="100"/>
              <w:spacing w:after="0"/>
              <w:rPr>
                <w:sz w:val="20"/>
                <w:szCs w:val="20"/>
                <w:color w:val="auto"/>
              </w:rPr>
            </w:pPr>
            <w:r>
              <w:rPr>
                <w:rFonts w:ascii="Courier New" w:cs="Courier New" w:eastAsia="Courier New" w:hAnsi="Courier New"/>
                <w:sz w:val="15"/>
                <w:szCs w:val="15"/>
                <w:color w:val="auto"/>
              </w:rPr>
              <w:t>Legal Matters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54</w:t>
            </w:r>
          </w:p>
        </w:tc>
      </w:tr>
      <w:tr>
        <w:trPr>
          <w:trHeight w:val="355"/>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820" w:type="dxa"/>
            <w:vAlign w:val="bottom"/>
          </w:tcPr>
          <w:p>
            <w:pPr>
              <w:spacing w:after="0"/>
              <w:rPr>
                <w:sz w:val="24"/>
                <w:szCs w:val="24"/>
                <w:color w:val="auto"/>
              </w:rPr>
            </w:pPr>
          </w:p>
        </w:tc>
      </w:tr>
      <w:tr>
        <w:trPr>
          <w:trHeight w:val="177"/>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Condition and Results of Operations</w:t>
            </w:r>
          </w:p>
        </w:tc>
        <w:tc>
          <w:tcPr>
            <w:tcW w:w="820" w:type="dxa"/>
            <w:vAlign w:val="bottom"/>
          </w:tcPr>
          <w:p>
            <w:pPr>
              <w:jc w:val="center"/>
              <w:ind w:left="383"/>
              <w:spacing w:after="0"/>
              <w:rPr>
                <w:sz w:val="20"/>
                <w:szCs w:val="20"/>
                <w:color w:val="auto"/>
              </w:rPr>
            </w:pPr>
            <w:r>
              <w:rPr>
                <w:rFonts w:ascii="Courier New" w:cs="Courier New" w:eastAsia="Courier New" w:hAnsi="Courier New"/>
                <w:sz w:val="15"/>
                <w:szCs w:val="15"/>
                <w:color w:val="auto"/>
              </w:rPr>
              <w:t>26</w:t>
            </w:r>
          </w:p>
        </w:tc>
      </w:tr>
      <w:tr>
        <w:trPr>
          <w:trHeight w:val="532"/>
        </w:trPr>
        <w:tc>
          <w:tcPr>
            <w:tcW w:w="1200" w:type="dxa"/>
            <w:vAlign w:val="bottom"/>
          </w:tcPr>
          <w:p>
            <w:pPr>
              <w:spacing w:after="0"/>
              <w:rPr>
                <w:sz w:val="24"/>
                <w:szCs w:val="24"/>
                <w:color w:val="auto"/>
              </w:rPr>
            </w:pPr>
          </w:p>
        </w:tc>
        <w:tc>
          <w:tcPr>
            <w:tcW w:w="4440" w:type="dxa"/>
            <w:vAlign w:val="bottom"/>
          </w:tcPr>
          <w:p>
            <w:pPr>
              <w:ind w:left="2220"/>
              <w:spacing w:after="0"/>
              <w:rPr>
                <w:sz w:val="20"/>
                <w:szCs w:val="20"/>
                <w:color w:val="auto"/>
              </w:rPr>
            </w:pPr>
            <w:r>
              <w:rPr>
                <w:rFonts w:ascii="Courier New" w:cs="Courier New" w:eastAsia="Courier New" w:hAnsi="Courier New"/>
                <w:sz w:val="15"/>
                <w:szCs w:val="15"/>
                <w:color w:val="auto"/>
              </w:rPr>
              <w:t>69</w:t>
            </w:r>
          </w:p>
        </w:tc>
        <w:tc>
          <w:tcPr>
            <w:tcW w:w="820" w:type="dxa"/>
            <w:vAlign w:val="bottom"/>
          </w:tcPr>
          <w:p>
            <w:pPr>
              <w:spacing w:after="0"/>
              <w:rPr>
                <w:sz w:val="24"/>
                <w:szCs w:val="24"/>
                <w:color w:val="auto"/>
              </w:rPr>
            </w:pPr>
          </w:p>
        </w:tc>
      </w:tr>
    </w:tbl>
    <w:p>
      <w:pPr>
        <w:sectPr>
          <w:pgSz w:w="11900" w:h="16838" w:orient="portrait"/>
          <w:cols w:equalWidth="0" w:num="1">
            <w:col w:w="10139"/>
          </w:cols>
          <w:pgMar w:left="320" w:top="828"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NOTE 3A -INCOME TAXES</w:t>
      </w:r>
    </w:p>
    <w:p>
      <w:pPr>
        <w:spacing w:after="0" w:line="362"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The following table shows the detail of taxes on income and the items used in computing the differences between the statutory federal income tax rate and PGE's effective tax rate (thousands of dollars):</w:t>
      </w:r>
    </w:p>
    <w:p>
      <w:pPr>
        <w:spacing w:after="0" w:line="200" w:lineRule="exact"/>
        <w:rPr>
          <w:sz w:val="20"/>
          <w:szCs w:val="20"/>
          <w:color w:val="auto"/>
        </w:rPr>
      </w:pP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15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1995</w:t>
            </w:r>
          </w:p>
        </w:tc>
        <w:tc>
          <w:tcPr>
            <w:tcW w:w="14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spacing w:after="0"/>
              <w:rPr>
                <w:sz w:val="14"/>
                <w:szCs w:val="14"/>
                <w:color w:val="auto"/>
              </w:rPr>
            </w:pP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Currently payable</w:t>
            </w: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Federal</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$ 74,089</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$ 40,680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12,495</w:t>
            </w:r>
          </w:p>
        </w:tc>
      </w:tr>
      <w:tr>
        <w:trPr>
          <w:trHeight w:val="177"/>
        </w:trPr>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State &amp; local</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9,448</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8,536</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1,591</w:t>
            </w:r>
          </w:p>
        </w:tc>
      </w:tr>
      <w:tr>
        <w:trPr>
          <w:trHeight w:val="177"/>
        </w:trPr>
        <w:tc>
          <w:tcPr>
            <w:tcW w:w="3280" w:type="dxa"/>
            <w:vAlign w:val="bottom"/>
          </w:tcPr>
          <w:p>
            <w:pPr>
              <w:spacing w:after="0"/>
              <w:rPr>
                <w:sz w:val="15"/>
                <w:szCs w:val="15"/>
                <w:color w:val="auto"/>
              </w:rPr>
            </w:pP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83,537</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49,216</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14,086</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Federal</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(11,631)</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24,856</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53,718</w:t>
            </w:r>
          </w:p>
        </w:tc>
      </w:tr>
      <w:tr>
        <w:trPr>
          <w:trHeight w:val="177"/>
        </w:trPr>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State &amp; local</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(6,648)</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4,811</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11,763</w:t>
            </w:r>
          </w:p>
        </w:tc>
      </w:tr>
      <w:tr>
        <w:trPr>
          <w:trHeight w:val="177"/>
        </w:trPr>
        <w:tc>
          <w:tcPr>
            <w:tcW w:w="328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(18,279)</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29,667</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65,481</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Investment tax credit adjustments</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(5,549)</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(3,946)</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(4,075)</w:t>
            </w:r>
          </w:p>
        </w:tc>
      </w:tr>
      <w:tr>
        <w:trPr>
          <w:trHeight w:val="177"/>
        </w:trPr>
        <w:tc>
          <w:tcPr>
            <w:tcW w:w="3280" w:type="dxa"/>
            <w:vAlign w:val="bottom"/>
          </w:tcPr>
          <w:p>
            <w:pPr>
              <w:spacing w:after="0"/>
              <w:rPr>
                <w:sz w:val="15"/>
                <w:szCs w:val="15"/>
                <w:color w:val="auto"/>
              </w:rPr>
            </w:pP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$ 59,709</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$ 74,937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75,492</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Provision Allocated to:</w:t>
            </w: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$ 89,523</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$ 75,314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73,740</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Other income and deductions</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(29,814)</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(377)</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1,752</w:t>
            </w:r>
          </w:p>
        </w:tc>
      </w:tr>
      <w:tr>
        <w:trPr>
          <w:trHeight w:val="177"/>
        </w:trPr>
        <w:tc>
          <w:tcPr>
            <w:tcW w:w="3280" w:type="dxa"/>
            <w:vAlign w:val="bottom"/>
          </w:tcPr>
          <w:p>
            <w:pPr>
              <w:spacing w:after="0"/>
              <w:rPr>
                <w:sz w:val="15"/>
                <w:szCs w:val="15"/>
                <w:color w:val="auto"/>
              </w:rPr>
            </w:pP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$ 59,709</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$ 74,937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75,492</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Effective Tax Rate Computation:</w:t>
            </w: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Computed tax based on statutory</w:t>
            </w: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federal income tax rates applied</w:t>
            </w: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to income before income taxes</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$ 53,374</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$ 63,369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61,333</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Flow through depreciation</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7,389</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8,080</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9,207</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Regulatory disallowance</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3,456</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State and local taxes - net</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5,552</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9,839</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9,783</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State of Oregon refund</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(4,346)</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Investment tax credits</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(5,549)</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(3,946)</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(4,075)</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USDOE nuclear fuel assessment</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5,050</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Excess deferred tax</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(700)</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(767)</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(3,419)</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(533)</w:t>
            </w: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(1,638)</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r>
      <w:tr>
        <w:trPr>
          <w:trHeight w:val="177"/>
        </w:trPr>
        <w:tc>
          <w:tcPr>
            <w:tcW w:w="3280" w:type="dxa"/>
            <w:vAlign w:val="bottom"/>
          </w:tcPr>
          <w:p>
            <w:pPr>
              <w:spacing w:after="0"/>
              <w:rPr>
                <w:sz w:val="15"/>
                <w:szCs w:val="15"/>
                <w:color w:val="auto"/>
              </w:rPr>
            </w:pP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$ 59,709</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$ 74,937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75,492</w:t>
            </w:r>
          </w:p>
        </w:tc>
      </w:tr>
      <w:tr>
        <w:trPr>
          <w:trHeight w:val="177"/>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Effective tax rate</w:t>
            </w:r>
          </w:p>
        </w:tc>
        <w:tc>
          <w:tcPr>
            <w:tcW w:w="15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39.2%</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41.4%</w:t>
            </w:r>
          </w:p>
        </w:tc>
        <w:tc>
          <w:tcPr>
            <w:tcW w:w="46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43.1%</w:t>
            </w:r>
          </w:p>
        </w:tc>
      </w:tr>
      <w:tr>
        <w:trPr>
          <w:trHeight w:val="710"/>
        </w:trPr>
        <w:tc>
          <w:tcPr>
            <w:tcW w:w="3280" w:type="dxa"/>
            <w:vAlign w:val="bottom"/>
          </w:tcPr>
          <w:p>
            <w:pPr>
              <w:spacing w:after="0"/>
              <w:rPr>
                <w:sz w:val="24"/>
                <w:szCs w:val="24"/>
                <w:color w:val="auto"/>
              </w:rPr>
            </w:pPr>
          </w:p>
        </w:tc>
        <w:tc>
          <w:tcPr>
            <w:tcW w:w="1560" w:type="dxa"/>
            <w:vAlign w:val="bottom"/>
          </w:tcPr>
          <w:p>
            <w:pPr>
              <w:jc w:val="right"/>
              <w:ind w:right="1263"/>
              <w:spacing w:after="0"/>
              <w:rPr>
                <w:sz w:val="20"/>
                <w:szCs w:val="20"/>
                <w:color w:val="auto"/>
              </w:rPr>
            </w:pPr>
            <w:r>
              <w:rPr>
                <w:rFonts w:ascii="Courier New" w:cs="Courier New" w:eastAsia="Courier New" w:hAnsi="Courier New"/>
                <w:sz w:val="15"/>
                <w:szCs w:val="15"/>
                <w:color w:val="auto"/>
              </w:rPr>
              <w:t>70</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73" w:name="page74"/>
    <w:bookmarkEnd w:id="73"/>
    <w:p>
      <w:pPr>
        <w:ind w:left="80" w:right="2939"/>
        <w:spacing w:after="0" w:line="253" w:lineRule="auto"/>
        <w:rPr>
          <w:sz w:val="20"/>
          <w:szCs w:val="20"/>
          <w:color w:val="auto"/>
        </w:rPr>
      </w:pPr>
      <w:r>
        <w:rPr>
          <w:rFonts w:ascii="Courier New" w:cs="Courier New" w:eastAsia="Courier New" w:hAnsi="Courier New"/>
          <w:sz w:val="15"/>
          <w:szCs w:val="15"/>
          <w:color w:val="auto"/>
        </w:rPr>
        <w:t>As of December 31, 1995 and 1994, the significant components of PGE's deferred income tax assets and liabilities were as follows (thousands of dollars):</w:t>
      </w: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803"/>
              <w:spacing w:after="0"/>
              <w:rPr>
                <w:sz w:val="20"/>
                <w:szCs w:val="20"/>
                <w:color w:val="auto"/>
              </w:rPr>
            </w:pPr>
            <w:r>
              <w:rPr>
                <w:rFonts w:ascii="Courier New" w:cs="Courier New" w:eastAsia="Courier New" w:hAnsi="Courier New"/>
                <w:sz w:val="15"/>
                <w:szCs w:val="15"/>
                <w:color w:val="auto"/>
                <w:w w:val="94"/>
              </w:rPr>
              <w:t>1995</w:t>
            </w:r>
          </w:p>
        </w:tc>
        <w:tc>
          <w:tcPr>
            <w:tcW w:w="46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Plant-in-service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86,721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72,012</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Deferred gain on sale of assets</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47,134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23,339</w:t>
            </w:r>
          </w:p>
        </w:tc>
        <w:tc>
          <w:tcPr>
            <w:tcW w:w="4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22,246</w:t>
            </w:r>
          </w:p>
        </w:tc>
      </w:tr>
      <w:tr>
        <w:trPr>
          <w:trHeight w:val="177"/>
        </w:trPr>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110,060</w:t>
            </w:r>
          </w:p>
        </w:tc>
        <w:tc>
          <w:tcPr>
            <w:tcW w:w="4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141,392</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Plant-in-service</w:t>
            </w:r>
          </w:p>
        </w:tc>
        <w:tc>
          <w:tcPr>
            <w:tcW w:w="3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(448,049)</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(444,546)</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Energy efficiency programs</w:t>
            </w:r>
          </w:p>
        </w:tc>
        <w:tc>
          <w:tcPr>
            <w:tcW w:w="3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(30,314)</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(23,024)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Trojan abandonment</w:t>
            </w:r>
          </w:p>
        </w:tc>
        <w:tc>
          <w:tcPr>
            <w:tcW w:w="3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(54,335)</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(80,944)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Replacement power costs</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(38,136)</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WNP-3 exchange contract</w:t>
            </w:r>
          </w:p>
        </w:tc>
        <w:tc>
          <w:tcPr>
            <w:tcW w:w="3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(60,489)</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(68,698)</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(42,470)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(39,826)</w:t>
            </w:r>
          </w:p>
        </w:tc>
      </w:tr>
      <w:tr>
        <w:trPr>
          <w:trHeight w:val="177"/>
        </w:trPr>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(635,657)</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(695,174)</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Less current deferred taxes</w:t>
            </w:r>
          </w:p>
        </w:tc>
        <w:tc>
          <w:tcPr>
            <w:tcW w:w="320" w:type="dxa"/>
            <w:vAlign w:val="bottom"/>
          </w:tcPr>
          <w:p>
            <w:pPr>
              <w:spacing w:after="0"/>
              <w:rPr>
                <w:sz w:val="15"/>
                <w:szCs w:val="15"/>
                <w:color w:val="auto"/>
              </w:rPr>
            </w:pP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206</w:t>
            </w:r>
          </w:p>
        </w:tc>
        <w:tc>
          <w:tcPr>
            <w:tcW w:w="4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4,622</w:t>
            </w:r>
          </w:p>
        </w:tc>
      </w:tr>
      <w:tr>
        <w:trPr>
          <w:trHeight w:val="177"/>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(525,391)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(549,160)</w:t>
            </w:r>
          </w:p>
        </w:tc>
      </w:tr>
    </w:tbl>
    <w:p>
      <w:pPr>
        <w:spacing w:after="0" w:line="200" w:lineRule="exact"/>
        <w:rPr>
          <w:sz w:val="20"/>
          <w:szCs w:val="20"/>
          <w:color w:val="auto"/>
        </w:rPr>
      </w:pPr>
    </w:p>
    <w:p>
      <w:pPr>
        <w:spacing w:after="0" w:line="338" w:lineRule="exact"/>
        <w:rPr>
          <w:sz w:val="20"/>
          <w:szCs w:val="20"/>
          <w:color w:val="auto"/>
        </w:rPr>
      </w:pPr>
    </w:p>
    <w:p>
      <w:pPr>
        <w:ind w:right="3479"/>
        <w:spacing w:after="0" w:line="252" w:lineRule="auto"/>
        <w:rPr>
          <w:sz w:val="20"/>
          <w:szCs w:val="20"/>
          <w:color w:val="auto"/>
        </w:rPr>
      </w:pPr>
      <w:r>
        <w:rPr>
          <w:rFonts w:ascii="Courier New" w:cs="Courier New" w:eastAsia="Courier New" w:hAnsi="Courier New"/>
          <w:sz w:val="15"/>
          <w:szCs w:val="15"/>
          <w:color w:val="auto"/>
        </w:rPr>
        <w:t>PGE has recorded deferred tax assets and liabilities for all temporary differences between the financial statement bases and tax bases of assets and liabilities.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Portland General has reached a settlement with the IRS on all issues regarding</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1985-1990 tax returns including</w:t>
            </w:r>
          </w:p>
        </w:tc>
        <w:tc>
          <w:tcPr>
            <w:tcW w:w="402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PGE's WNP-3 abandonment loss deduction.</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73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During 1996, Portland General will be filing amended  state returns to reflect</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73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appropriate audit adjustments.  The settlement did not have a material adverse</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impact on</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the  results  of current</w:t>
            </w: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9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operations or cash flows of Portland General Electric.</w:t>
            </w: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2"/>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NOTE 4A - COMMON STOCK</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10"/>
        </w:trPr>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COMMON</w:t>
            </w:r>
          </w:p>
        </w:tc>
        <w:tc>
          <w:tcPr>
            <w:tcW w:w="13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1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Number</w:t>
            </w:r>
          </w:p>
        </w:tc>
        <w:tc>
          <w:tcPr>
            <w:tcW w:w="13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$3.75 Par</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Paid-In</w:t>
            </w: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Unearned</w:t>
            </w:r>
          </w:p>
        </w:tc>
      </w:tr>
      <w:tr>
        <w:trPr>
          <w:trHeight w:val="177"/>
        </w:trPr>
        <w:tc>
          <w:tcPr>
            <w:tcW w:w="1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of  Shares</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Value</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Capital</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w:t>
            </w:r>
          </w:p>
        </w:tc>
      </w:tr>
      <w:tr>
        <w:trPr>
          <w:trHeight w:val="177"/>
        </w:trPr>
        <w:tc>
          <w:tcPr>
            <w:tcW w:w="1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8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(thousands of dollars)</w:t>
            </w:r>
          </w:p>
        </w:tc>
        <w:tc>
          <w:tcPr>
            <w:tcW w:w="840" w:type="dxa"/>
            <w:vAlign w:val="bottom"/>
          </w:tcPr>
          <w:p>
            <w:pPr>
              <w:spacing w:after="0"/>
              <w:rPr>
                <w:sz w:val="15"/>
                <w:szCs w:val="15"/>
                <w:color w:val="auto"/>
              </w:rPr>
            </w:pPr>
          </w:p>
        </w:tc>
      </w:tr>
      <w:tr>
        <w:trPr>
          <w:trHeight w:val="532"/>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1992</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40,458,877</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$151,721</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$431,673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(23,267)</w:t>
            </w: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Redemption of preferred stock</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2,130</w:t>
            </w:r>
          </w:p>
        </w:tc>
        <w:tc>
          <w:tcPr>
            <w:tcW w:w="3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Repayment of ESOP loan and other</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175</w:t>
            </w:r>
          </w:p>
        </w:tc>
        <w:tc>
          <w:tcPr>
            <w:tcW w:w="3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5,468</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2260" w:type="dxa"/>
            <w:vAlign w:val="bottom"/>
          </w:tcPr>
          <w:p>
            <w:pPr>
              <w:jc w:val="right"/>
              <w:ind w:right="1723"/>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40,458,877</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151,721</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433,978</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(17,799)</w:t>
            </w: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Sales of stock</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2,300,000</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8,625</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32,430</w:t>
            </w:r>
          </w:p>
        </w:tc>
        <w:tc>
          <w:tcPr>
            <w:tcW w:w="3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Redemption of preferred stock</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2,119</w:t>
            </w:r>
          </w:p>
        </w:tc>
        <w:tc>
          <w:tcPr>
            <w:tcW w:w="3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Repayment of ESOP loan and other</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1,481</w:t>
            </w:r>
          </w:p>
        </w:tc>
        <w:tc>
          <w:tcPr>
            <w:tcW w:w="3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5,203</w:t>
            </w:r>
          </w:p>
        </w:tc>
      </w:tr>
      <w:tr>
        <w:trPr>
          <w:trHeight w:val="177"/>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2260" w:type="dxa"/>
            <w:vAlign w:val="bottom"/>
          </w:tcPr>
          <w:p>
            <w:pPr>
              <w:jc w:val="right"/>
              <w:ind w:right="1723"/>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42,758,877</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160,346</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470,008</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(12,596)</w:t>
            </w: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Redemption of preferred stock</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3,093</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Repayment of ESOP loan and other</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338</w:t>
            </w:r>
          </w:p>
        </w:tc>
        <w:tc>
          <w:tcPr>
            <w:tcW w:w="36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5,482</w:t>
            </w:r>
          </w:p>
        </w:tc>
      </w:tr>
      <w:tr>
        <w:trPr>
          <w:trHeight w:val="177"/>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1995</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42,758,877</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$160,346</w:t>
            </w:r>
          </w:p>
        </w:tc>
        <w:tc>
          <w:tcPr>
            <w:tcW w:w="14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$473,439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(7,114)</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jc w:val="right"/>
        <w:ind w:left="80" w:right="2939"/>
        <w:spacing w:after="0" w:line="250" w:lineRule="auto"/>
        <w:rPr>
          <w:sz w:val="20"/>
          <w:szCs w:val="20"/>
          <w:color w:val="auto"/>
        </w:rPr>
      </w:pPr>
      <w:r>
        <w:rPr>
          <w:rFonts w:ascii="Courier New" w:cs="Courier New" w:eastAsia="Courier New" w:hAnsi="Courier New"/>
          <w:sz w:val="15"/>
          <w:szCs w:val="15"/>
          <w:color w:val="auto"/>
        </w:rPr>
        <w:t>Portland  General  is  the  sole  shareholder  of  PGE  common stock.  PGE is restricted, without prior OPUC approval, from paying dividends or making other distributions to Portland General to the extent such payment  or  distribution would   reduce  PGE's  common  stock  equity  capital  below  36%  of  total capitalization.   At  December 31, 1995, PGE's common stock equity capital was</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48% of its total capitalization.</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828" w:right="1440" w:bottom="1440"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right"/>
        <w:ind w:right="293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62" w:lineRule="exact"/>
        <w:rPr>
          <w:sz w:val="20"/>
          <w:szCs w:val="20"/>
          <w:color w:val="auto"/>
        </w:rPr>
      </w:pPr>
    </w:p>
    <w:p>
      <w:pPr>
        <w:ind w:left="80" w:right="2939" w:hanging="91"/>
        <w:spacing w:after="0" w:line="250" w:lineRule="auto"/>
        <w:rPr>
          <w:sz w:val="20"/>
          <w:szCs w:val="20"/>
          <w:color w:val="auto"/>
        </w:rPr>
      </w:pPr>
      <w:r>
        <w:rPr>
          <w:rFonts w:ascii="Courier New" w:cs="Courier New" w:eastAsia="Courier New" w:hAnsi="Courier New"/>
          <w:sz w:val="15"/>
          <w:szCs w:val="15"/>
          <w:color w:val="auto"/>
        </w:rPr>
        <w:t>As</w:t>
      </w:r>
      <w:r>
        <w:rPr>
          <w:sz w:val="20"/>
          <w:szCs w:val="20"/>
          <w:color w:val="auto"/>
        </w:rPr>
        <w:t xml:space="preserve"> </w:t>
      </w:r>
      <w:r>
        <w:rPr>
          <w:rFonts w:ascii="Courier New" w:cs="Courier New" w:eastAsia="Courier New" w:hAnsi="Courier New"/>
          <w:sz w:val="15"/>
          <w:szCs w:val="15"/>
          <w:color w:val="auto"/>
        </w:rPr>
        <w:t>independent public accountants, we hereby consent to the incorporation of our reports included in this Form 10-K, into Portland General Corporation's previously filed Registration Statement No. 33-27462 on Form</w:t>
      </w:r>
    </w:p>
    <w:p>
      <w:pPr>
        <w:spacing w:after="0" w:line="1" w:lineRule="exact"/>
        <w:rPr>
          <w:sz w:val="20"/>
          <w:szCs w:val="20"/>
          <w:color w:val="auto"/>
        </w:rPr>
      </w:pPr>
    </w:p>
    <w:p>
      <w:pPr>
        <w:ind w:left="180" w:right="3479"/>
        <w:spacing w:after="0" w:line="250" w:lineRule="auto"/>
        <w:rPr>
          <w:sz w:val="20"/>
          <w:szCs w:val="20"/>
          <w:color w:val="auto"/>
        </w:rPr>
      </w:pPr>
      <w:r>
        <w:rPr>
          <w:rFonts w:ascii="Courier New" w:cs="Courier New" w:eastAsia="Courier New" w:hAnsi="Courier New"/>
          <w:sz w:val="15"/>
          <w:szCs w:val="15"/>
          <w:color w:val="auto"/>
        </w:rPr>
        <w:t>S-8, Registration Statement No. 33-40943 on Form S-8, Registration Statement No. 33-49811 on Form S-8,</w:t>
      </w:r>
    </w:p>
    <w:p>
      <w:pPr>
        <w:spacing w:after="0" w:line="1" w:lineRule="exact"/>
        <w:rPr>
          <w:sz w:val="20"/>
          <w:szCs w:val="20"/>
          <w:color w:val="auto"/>
        </w:rPr>
      </w:pPr>
    </w:p>
    <w:p>
      <w:pPr>
        <w:ind w:left="80" w:right="3299"/>
        <w:spacing w:after="0" w:line="253" w:lineRule="auto"/>
        <w:rPr>
          <w:sz w:val="20"/>
          <w:szCs w:val="20"/>
          <w:color w:val="auto"/>
        </w:rPr>
      </w:pPr>
      <w:r>
        <w:rPr>
          <w:rFonts w:ascii="Courier New" w:cs="Courier New" w:eastAsia="Courier New" w:hAnsi="Courier New"/>
          <w:sz w:val="15"/>
          <w:szCs w:val="15"/>
          <w:color w:val="auto"/>
        </w:rPr>
        <w:t>Registration Statement No. 33-55321 on Form S-3 and Registration Statement No. 33-61313 on Form S-3.</w:t>
      </w:r>
    </w:p>
    <w:p>
      <w:pPr>
        <w:spacing w:after="0" w:line="352"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5"/>
          <w:szCs w:val="15"/>
          <w:color w:val="auto"/>
        </w:rPr>
        <w:t>Arthur Andersen LLP</w:t>
      </w:r>
    </w:p>
    <w:p>
      <w:pPr>
        <w:spacing w:after="0" w:line="36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January 24,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62" w:lineRule="exact"/>
        <w:rPr>
          <w:sz w:val="20"/>
          <w:szCs w:val="20"/>
          <w:color w:val="auto"/>
        </w:rPr>
      </w:pPr>
    </w:p>
    <w:p>
      <w:pPr>
        <w:ind w:right="3019" w:firstLine="92"/>
        <w:spacing w:after="0" w:line="253"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reports included in this Form 10-K, into Portland General Electric Company's previously filed Registration Statement No. 33-62549 on Form S-3.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5"/>
          <w:szCs w:val="15"/>
          <w:color w:val="auto"/>
        </w:rPr>
        <w:t>Arthur Andersen LLP</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January 24, 1996</w:t>
      </w:r>
    </w:p>
    <w:p>
      <w:pPr>
        <w:sectPr>
          <w:pgSz w:w="11900" w:h="16838" w:orient="portrait"/>
          <w:cols w:equalWidth="0" w:num="1">
            <w:col w:w="10219"/>
          </w:cols>
          <w:pgMar w:left="240" w:top="142" w:right="1440" w:bottom="1440" w:gutter="0" w:footer="0" w:header="0"/>
        </w:sectPr>
      </w:pPr>
    </w:p>
    <w:bookmarkStart w:id="76" w:name="page77"/>
    <w:bookmarkEnd w:id="76"/>
    <w:p>
      <w:pPr>
        <w:ind w:left="2300"/>
        <w:spacing w:after="0"/>
        <w:rPr>
          <w:sz w:val="20"/>
          <w:szCs w:val="20"/>
          <w:color w:val="auto"/>
        </w:rPr>
      </w:pPr>
      <w:r>
        <w:rPr>
          <w:rFonts w:ascii="Courier New" w:cs="Courier New" w:eastAsia="Courier New" w:hAnsi="Courier New"/>
          <w:sz w:val="15"/>
          <w:szCs w:val="15"/>
          <w:color w:val="auto"/>
        </w:rPr>
        <w:t>POWER OF ATTORNEY</w:t>
      </w:r>
    </w:p>
    <w:p>
      <w:pPr>
        <w:spacing w:after="0" w:line="362" w:lineRule="exact"/>
        <w:rPr>
          <w:sz w:val="20"/>
          <w:szCs w:val="20"/>
          <w:color w:val="auto"/>
        </w:rPr>
      </w:pPr>
    </w:p>
    <w:p>
      <w:pPr>
        <w:ind w:left="80" w:right="3299" w:firstLine="369"/>
        <w:spacing w:after="0" w:line="251" w:lineRule="auto"/>
        <w:rPr>
          <w:sz w:val="20"/>
          <w:szCs w:val="20"/>
          <w:color w:val="auto"/>
        </w:rPr>
      </w:pPr>
      <w:r>
        <w:rPr>
          <w:rFonts w:ascii="Courier New" w:cs="Courier New" w:eastAsia="Courier New" w:hAnsi="Courier New"/>
          <w:sz w:val="15"/>
          <w:szCs w:val="15"/>
          <w:color w:val="auto"/>
        </w:rPr>
        <w:t>The undersigned director(s) of Portland General Corporation hereby appoint(s) Alvin Alexanderson, Joseph M. Hirko and Joseph E. Feltz, and each of them generally, as the attorney-in-fact, in any and all capacities stated herein, to execute on behalf of the undersigned and to file with the Securities and Exchange Commission under the Securities Exchange Act of 1934, as amended, the Portland General Corporation Annual Report on Form 10-K for the fiscal year ended December 31, 1995.</w:t>
      </w:r>
    </w:p>
    <w:p>
      <w:pPr>
        <w:sectPr>
          <w:pgSz w:w="11900" w:h="16838" w:orient="portrait"/>
          <w:cols w:equalWidth="0" w:num="1">
            <w:col w:w="10219"/>
          </w:cols>
          <w:pgMar w:left="240" w:top="674" w:right="1440" w:bottom="1440" w:gutter="0" w:footer="0" w:header="0"/>
        </w:sectPr>
      </w:pPr>
    </w:p>
    <w:p>
      <w:pPr>
        <w:spacing w:after="0" w:line="35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200" w:lineRule="exact"/>
        <w:rPr>
          <w:sz w:val="20"/>
          <w:szCs w:val="20"/>
          <w:color w:val="auto"/>
        </w:rPr>
      </w:pPr>
    </w:p>
    <w:p>
      <w:pPr>
        <w:sectPr>
          <w:pgSz w:w="11900" w:h="16838" w:orient="portrait"/>
          <w:cols w:equalWidth="0" w:num="2">
            <w:col w:w="640" w:space="180"/>
            <w:col w:w="9399"/>
          </w:cols>
          <w:pgMar w:left="240" w:top="674" w:right="1440" w:bottom="1440" w:gutter="0" w:footer="0" w:header="0"/>
          <w:type w:val="continuous"/>
        </w:sectPr>
      </w:pPr>
    </w:p>
    <w:p>
      <w:pPr>
        <w:spacing w:after="0" w:line="162" w:lineRule="exact"/>
        <w:rPr>
          <w:sz w:val="20"/>
          <w:szCs w:val="20"/>
          <w:color w:val="auto"/>
        </w:rPr>
      </w:pPr>
    </w:p>
    <w:p>
      <w:pPr>
        <w:ind w:right="660" w:firstLine="369"/>
        <w:spacing w:after="0" w:line="253" w:lineRule="auto"/>
        <w:rPr>
          <w:sz w:val="20"/>
          <w:szCs w:val="20"/>
          <w:color w:val="auto"/>
        </w:rPr>
      </w:pPr>
      <w:r>
        <w:rPr>
          <w:rFonts w:ascii="Courier New" w:cs="Courier New" w:eastAsia="Courier New" w:hAnsi="Courier New"/>
          <w:sz w:val="15"/>
          <w:szCs w:val="15"/>
          <w:color w:val="auto"/>
        </w:rPr>
        <w:t>/S/ GWYNETH GAMBLE BOOTH Gwyneth Gamble Booth</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E. Hudson</w:t>
      </w:r>
    </w:p>
    <w:p>
      <w:pPr>
        <w:spacing w:after="0" w:line="21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1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PETER J. BRIX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Brix</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Warren E. McCain</w:t>
      </w:r>
    </w:p>
    <w:p>
      <w:pPr>
        <w:spacing w:after="0" w:line="20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162" w:lineRule="exact"/>
        <w:rPr>
          <w:sz w:val="20"/>
          <w:szCs w:val="20"/>
          <w:color w:val="auto"/>
        </w:rPr>
      </w:pPr>
    </w:p>
    <w:p>
      <w:pPr>
        <w:ind w:right="760" w:firstLine="369"/>
        <w:spacing w:after="0" w:line="253" w:lineRule="auto"/>
        <w:rPr>
          <w:sz w:val="20"/>
          <w:szCs w:val="20"/>
          <w:color w:val="auto"/>
        </w:rPr>
      </w:pPr>
      <w:r>
        <w:rPr>
          <w:rFonts w:ascii="Courier New" w:cs="Courier New" w:eastAsia="Courier New" w:hAnsi="Courier New"/>
          <w:sz w:val="15"/>
          <w:szCs w:val="15"/>
          <w:color w:val="auto"/>
        </w:rPr>
        <w:t>/S/ CAROLYN S. CHAMBERS Carolyn S. Chambers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JEROME J. MEYER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Jerome J. Meyer</w:t>
      </w:r>
    </w:p>
    <w:p>
      <w:pPr>
        <w:spacing w:after="0" w:line="21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1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JOHN W. CREIGHTON,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 Creighton, Jr.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RANDOLPH L. MILLER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Randolph L. Miller</w:t>
      </w:r>
    </w:p>
    <w:p>
      <w:pPr>
        <w:spacing w:after="0" w:line="20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162" w:lineRule="exact"/>
        <w:rPr>
          <w:sz w:val="20"/>
          <w:szCs w:val="20"/>
          <w:color w:val="auto"/>
        </w:rPr>
      </w:pPr>
    </w:p>
    <w:p>
      <w:pPr>
        <w:ind w:right="1120" w:firstLine="369"/>
        <w:spacing w:after="0" w:line="253" w:lineRule="auto"/>
        <w:rPr>
          <w:sz w:val="20"/>
          <w:szCs w:val="20"/>
          <w:color w:val="auto"/>
        </w:rPr>
      </w:pPr>
      <w:r>
        <w:rPr>
          <w:rFonts w:ascii="Courier New" w:cs="Courier New" w:eastAsia="Courier New" w:hAnsi="Courier New"/>
          <w:sz w:val="15"/>
          <w:szCs w:val="15"/>
          <w:color w:val="auto"/>
        </w:rPr>
        <w:t>/S/ KEN L. HARRISON Ken L. Harrison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BRUCE G. WILLISON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G. Willison</w:t>
      </w:r>
    </w:p>
    <w:p>
      <w:pPr>
        <w:spacing w:after="0" w:line="21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POWER OF ATTORNEY</w:t>
      </w:r>
    </w:p>
    <w:p>
      <w:pPr>
        <w:spacing w:after="0" w:line="362" w:lineRule="exact"/>
        <w:rPr>
          <w:sz w:val="20"/>
          <w:szCs w:val="20"/>
          <w:color w:val="auto"/>
        </w:rPr>
      </w:pPr>
    </w:p>
    <w:p>
      <w:pPr>
        <w:ind w:left="80" w:right="3299" w:firstLine="369"/>
        <w:spacing w:after="0" w:line="251" w:lineRule="auto"/>
        <w:rPr>
          <w:sz w:val="20"/>
          <w:szCs w:val="20"/>
          <w:color w:val="auto"/>
        </w:rPr>
      </w:pPr>
      <w:r>
        <w:rPr>
          <w:rFonts w:ascii="Courier New" w:cs="Courier New" w:eastAsia="Courier New" w:hAnsi="Courier New"/>
          <w:sz w:val="15"/>
          <w:szCs w:val="15"/>
          <w:color w:val="auto"/>
        </w:rPr>
        <w:t>The undersigned director(s) of Portland General Electric Company hereby appoint(s) Alvin Alexanderson, Joseph M. Hirko and Joseph E. Feltz, and each of them generally, as the attorney-in-fact, in any and all capacities stated herein, to execute on behalf of the undersigned and to file with the Securities and Exchange Commission under the Securities Exchange Act of 1934, as amended, the Portland General Electric Company Annual Report on Form 10-K for the fiscal year ended December 31, 1995.</w:t>
      </w:r>
    </w:p>
    <w:p>
      <w:pPr>
        <w:sectPr>
          <w:pgSz w:w="11900" w:h="16838" w:orient="portrait"/>
          <w:cols w:equalWidth="0" w:num="1">
            <w:col w:w="10219"/>
          </w:cols>
          <w:pgMar w:left="240" w:top="674" w:right="1440" w:bottom="144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200" w:lineRule="exact"/>
        <w:rPr>
          <w:sz w:val="20"/>
          <w:szCs w:val="20"/>
          <w:color w:val="auto"/>
        </w:rPr>
      </w:pPr>
    </w:p>
    <w:p>
      <w:pPr>
        <w:sectPr>
          <w:pgSz w:w="11900" w:h="16838" w:orient="portrait"/>
          <w:cols w:equalWidth="0" w:num="2">
            <w:col w:w="640" w:space="180"/>
            <w:col w:w="9399"/>
          </w:cols>
          <w:pgMar w:left="240" w:top="674" w:right="1440" w:bottom="1440" w:gutter="0" w:footer="0" w:header="0"/>
          <w:type w:val="continuous"/>
        </w:sectPr>
      </w:pPr>
    </w:p>
    <w:p>
      <w:pPr>
        <w:spacing w:after="0" w:line="162" w:lineRule="exact"/>
        <w:rPr>
          <w:sz w:val="20"/>
          <w:szCs w:val="20"/>
          <w:color w:val="auto"/>
        </w:rPr>
      </w:pPr>
    </w:p>
    <w:p>
      <w:pPr>
        <w:ind w:right="660" w:firstLine="369"/>
        <w:spacing w:after="0" w:line="253" w:lineRule="auto"/>
        <w:rPr>
          <w:sz w:val="20"/>
          <w:szCs w:val="20"/>
          <w:color w:val="auto"/>
        </w:rPr>
      </w:pPr>
      <w:r>
        <w:rPr>
          <w:rFonts w:ascii="Courier New" w:cs="Courier New" w:eastAsia="Courier New" w:hAnsi="Courier New"/>
          <w:sz w:val="15"/>
          <w:szCs w:val="15"/>
          <w:color w:val="auto"/>
        </w:rPr>
        <w:t>/S/ GWYNETH GAMBLE BOOTH Gwyneth Gamble Booth</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E. Hudson</w:t>
      </w:r>
    </w:p>
    <w:p>
      <w:pPr>
        <w:spacing w:after="0" w:line="21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1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PETER J. BRIX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J. Brix</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Warren E. McCain</w:t>
      </w:r>
    </w:p>
    <w:p>
      <w:pPr>
        <w:spacing w:after="0" w:line="20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162" w:lineRule="exact"/>
        <w:rPr>
          <w:sz w:val="20"/>
          <w:szCs w:val="20"/>
          <w:color w:val="auto"/>
        </w:rPr>
      </w:pPr>
    </w:p>
    <w:p>
      <w:pPr>
        <w:ind w:right="760" w:firstLine="369"/>
        <w:spacing w:after="0" w:line="253" w:lineRule="auto"/>
        <w:rPr>
          <w:sz w:val="20"/>
          <w:szCs w:val="20"/>
          <w:color w:val="auto"/>
        </w:rPr>
      </w:pPr>
      <w:r>
        <w:rPr>
          <w:rFonts w:ascii="Courier New" w:cs="Courier New" w:eastAsia="Courier New" w:hAnsi="Courier New"/>
          <w:sz w:val="15"/>
          <w:szCs w:val="15"/>
          <w:color w:val="auto"/>
        </w:rPr>
        <w:t>/S/ CAROLYN S. CHAMBERS Carolyn S. Chambers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JEROME J. MEYER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Jerome J. Meyer</w:t>
      </w:r>
    </w:p>
    <w:p>
      <w:pPr>
        <w:spacing w:after="0" w:line="21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1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JOHN W. CREIGHTON,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 Creighton, Jr.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RANDOLPH L. MILLER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Randolph L. Miller</w:t>
      </w:r>
    </w:p>
    <w:p>
      <w:pPr>
        <w:spacing w:after="0" w:line="200" w:lineRule="exact"/>
        <w:rPr>
          <w:sz w:val="20"/>
          <w:szCs w:val="20"/>
          <w:color w:val="auto"/>
        </w:rPr>
      </w:pPr>
    </w:p>
    <w:p>
      <w:pPr>
        <w:sectPr>
          <w:pgSz w:w="11900" w:h="16838" w:orient="portrait"/>
          <w:cols w:equalWidth="0" w:num="2">
            <w:col w:w="3240" w:space="720"/>
            <w:col w:w="6259"/>
          </w:cols>
          <w:pgMar w:left="240" w:top="674" w:right="1440" w:bottom="1440" w:gutter="0" w:footer="0" w:header="0"/>
          <w:type w:val="continuous"/>
        </w:sectPr>
      </w:pPr>
    </w:p>
    <w:p>
      <w:pPr>
        <w:spacing w:after="0" w:line="162" w:lineRule="exact"/>
        <w:rPr>
          <w:sz w:val="20"/>
          <w:szCs w:val="20"/>
          <w:color w:val="auto"/>
        </w:rPr>
      </w:pPr>
    </w:p>
    <w:p>
      <w:pPr>
        <w:ind w:right="1120" w:firstLine="369"/>
        <w:spacing w:after="0" w:line="253" w:lineRule="auto"/>
        <w:rPr>
          <w:sz w:val="20"/>
          <w:szCs w:val="20"/>
          <w:color w:val="auto"/>
        </w:rPr>
      </w:pPr>
      <w:r>
        <w:rPr>
          <w:rFonts w:ascii="Courier New" w:cs="Courier New" w:eastAsia="Courier New" w:hAnsi="Courier New"/>
          <w:sz w:val="15"/>
          <w:szCs w:val="15"/>
          <w:color w:val="auto"/>
        </w:rPr>
        <w:t>/S/ KEN L. HARRISON Ken L. Harrison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BRUCE G. WILLISON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G. Willison</w:t>
      </w:r>
    </w:p>
    <w:p>
      <w:pPr>
        <w:sectPr>
          <w:pgSz w:w="11900" w:h="16838" w:orient="portrait"/>
          <w:cols w:equalWidth="0" w:num="2">
            <w:col w:w="3240" w:space="720"/>
            <w:col w:w="6259"/>
          </w:cols>
          <w:pgMar w:left="240" w:top="674" w:right="1440" w:bottom="1440" w:gutter="0" w:footer="0" w:header="0"/>
          <w:type w:val="continuous"/>
        </w:sectPr>
      </w:pPr>
    </w:p>
    <w:bookmarkStart w:id="77" w:name="page78"/>
    <w:bookmarkEnd w:id="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center"/>
        <w:ind w:right="-400"/>
        <w:spacing w:after="0"/>
        <w:rPr>
          <w:sz w:val="20"/>
          <w:szCs w:val="20"/>
          <w:color w:val="auto"/>
        </w:rPr>
      </w:pPr>
      <w:r>
        <w:rPr>
          <w:rFonts w:ascii="Courier New" w:cs="Courier New" w:eastAsia="Courier New" w:hAnsi="Courier New"/>
          <w:sz w:val="15"/>
          <w:szCs w:val="15"/>
          <w:color w:val="auto"/>
        </w:rPr>
        <w:t>Exhibit (99)</w:t>
      </w:r>
    </w:p>
    <w:p>
      <w:pPr>
        <w:spacing w:after="0" w:line="200" w:lineRule="exact"/>
        <w:rPr>
          <w:sz w:val="20"/>
          <w:szCs w:val="20"/>
          <w:color w:val="auto"/>
        </w:rPr>
      </w:pPr>
    </w:p>
    <w:p>
      <w:pPr>
        <w:spacing w:after="0" w:line="34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0"/>
          <w:szCs w:val="20"/>
          <w:color w:val="auto"/>
        </w:rPr>
      </w:pPr>
    </w:p>
    <w:p>
      <w:pPr>
        <w:ind w:left="1940"/>
        <w:spacing w:after="0"/>
        <w:tabs>
          <w:tab w:leader="none" w:pos="3580" w:val="left"/>
        </w:tabs>
        <w:rPr>
          <w:sz w:val="20"/>
          <w:szCs w:val="20"/>
          <w:color w:val="auto"/>
        </w:rPr>
      </w:pPr>
      <w:r>
        <w:rPr>
          <w:rFonts w:ascii="Courier New" w:cs="Courier New" w:eastAsia="Courier New" w:hAnsi="Courier New"/>
          <w:sz w:val="15"/>
          <w:szCs w:val="15"/>
          <w:color w:val="auto"/>
        </w:rPr>
        <w:t>Washington, D.C.</w:t>
        <w:tab/>
        <w:t>20549</w:t>
      </w:r>
    </w:p>
    <w:p>
      <w:pPr>
        <w:spacing w:after="0" w:line="36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FORM 11-K</w:t>
      </w:r>
    </w:p>
    <w:p>
      <w:pPr>
        <w:spacing w:after="0" w:line="362" w:lineRule="exact"/>
        <w:rPr>
          <w:sz w:val="20"/>
          <w:szCs w:val="20"/>
          <w:color w:val="auto"/>
        </w:rPr>
      </w:pPr>
    </w:p>
    <w:p>
      <w:pPr>
        <w:ind w:left="460" w:right="4039" w:firstLine="8"/>
        <w:spacing w:after="0" w:line="253" w:lineRule="auto"/>
        <w:tabs>
          <w:tab w:leader="none" w:pos="8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 (FEE REQUIRED)</w:t>
      </w:r>
    </w:p>
    <w:p>
      <w:pPr>
        <w:spacing w:after="0" w:line="174"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For the fiscal year ended December 31, 1995</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0"/>
          <w:szCs w:val="20"/>
          <w:color w:val="auto"/>
        </w:rPr>
      </w:pPr>
    </w:p>
    <w:p>
      <w:pPr>
        <w:ind w:left="460" w:right="3679" w:firstLine="8"/>
        <w:spacing w:after="0" w:line="253" w:lineRule="auto"/>
        <w:tabs>
          <w:tab w:leader="none" w:pos="64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 (NO FEE REQUIRED)</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 the transition period from _______________ to _______________</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Commission file number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EMPLOYEE STOCK PURCHASE PLAN</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 of the Plan)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PORTLAND GENERAL CORPORATION</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(Name of the Issuer of the Securities and Employer Sponsoring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121 SW Salmon Street</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Portland OR 97204</w:t>
      </w:r>
    </w:p>
    <w:p>
      <w:pPr>
        <w:spacing w:after="0" w:line="185"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(Address of its Principal Executive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EMPLOYEE STOCK PURCHASE PLAN OF</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PORTLAND GENERAL CORPORATION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32"/>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STATEMENTS OF FINANCIAL CONDITION</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5"/>
        </w:trPr>
        <w:tc>
          <w:tcPr>
            <w:tcW w:w="356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24"/>
                <w:szCs w:val="24"/>
                <w:color w:val="auto"/>
              </w:rPr>
            </w:pPr>
          </w:p>
        </w:tc>
        <w:tc>
          <w:tcPr>
            <w:tcW w:w="74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1994</w:t>
            </w:r>
          </w:p>
        </w:tc>
      </w:tr>
      <w:tr>
        <w:trPr>
          <w:trHeight w:val="355"/>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Receivable from Portland General</w:t>
            </w:r>
          </w:p>
        </w:tc>
        <w:tc>
          <w:tcPr>
            <w:tcW w:w="1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13,579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11,852</w:t>
            </w:r>
          </w:p>
        </w:tc>
      </w:tr>
      <w:tr>
        <w:trPr>
          <w:trHeight w:val="355"/>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Participants' Equity</w:t>
            </w:r>
          </w:p>
        </w:tc>
        <w:tc>
          <w:tcPr>
            <w:tcW w:w="1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13,579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11,852</w:t>
            </w:r>
          </w:p>
        </w:tc>
      </w:tr>
      <w:tr>
        <w:trPr>
          <w:trHeight w:val="887"/>
        </w:trPr>
        <w:tc>
          <w:tcPr>
            <w:tcW w:w="58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STATEMENTS OF INCOME AND CHANGES IN PARTICIPANTS' EQUITY</w:t>
            </w:r>
          </w:p>
        </w:tc>
        <w:tc>
          <w:tcPr>
            <w:tcW w:w="740" w:type="dxa"/>
            <w:vAlign w:val="bottom"/>
          </w:tcPr>
          <w:p>
            <w:pPr>
              <w:spacing w:after="0"/>
              <w:rPr>
                <w:sz w:val="24"/>
                <w:szCs w:val="24"/>
                <w:color w:val="auto"/>
              </w:rPr>
            </w:pPr>
          </w:p>
        </w:tc>
      </w:tr>
      <w:tr>
        <w:trPr>
          <w:trHeight w:val="355"/>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11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24"/>
                <w:szCs w:val="24"/>
                <w:color w:val="auto"/>
              </w:rPr>
            </w:pPr>
          </w:p>
        </w:tc>
        <w:tc>
          <w:tcPr>
            <w:tcW w:w="840" w:type="dxa"/>
            <w:vAlign w:val="bottom"/>
          </w:tcPr>
          <w:p>
            <w:pPr>
              <w:jc w:val="center"/>
              <w:ind w:right="203"/>
              <w:spacing w:after="0"/>
              <w:rPr>
                <w:sz w:val="20"/>
                <w:szCs w:val="20"/>
                <w:color w:val="auto"/>
              </w:rPr>
            </w:pPr>
            <w:r>
              <w:rPr>
                <w:rFonts w:ascii="Courier New" w:cs="Courier New" w:eastAsia="Courier New" w:hAnsi="Courier New"/>
                <w:sz w:val="15"/>
                <w:szCs w:val="15"/>
                <w:color w:val="auto"/>
                <w:w w:val="99"/>
              </w:rPr>
              <w:t>1994</w:t>
            </w:r>
          </w:p>
        </w:tc>
        <w:tc>
          <w:tcPr>
            <w:tcW w:w="180" w:type="dxa"/>
            <w:vAlign w:val="bottom"/>
          </w:tcPr>
          <w:p>
            <w:pPr>
              <w:spacing w:after="0"/>
              <w:rPr>
                <w:sz w:val="24"/>
                <w:szCs w:val="24"/>
                <w:color w:val="auto"/>
              </w:rPr>
            </w:pPr>
          </w:p>
        </w:tc>
        <w:tc>
          <w:tcPr>
            <w:tcW w:w="74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1993</w:t>
            </w:r>
          </w:p>
        </w:tc>
      </w:tr>
      <w:tr>
        <w:trPr>
          <w:trHeight w:val="355"/>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Dividend Income</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4,752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5,243</w:t>
            </w:r>
          </w:p>
        </w:tc>
      </w:tr>
      <w:tr>
        <w:trPr>
          <w:trHeight w:val="355"/>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Contributions from (Note 2):</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5"/>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Participants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242,261</w:t>
            </w:r>
          </w:p>
        </w:tc>
        <w:tc>
          <w:tcPr>
            <w:tcW w:w="140" w:type="dxa"/>
            <w:vAlign w:val="bottom"/>
          </w:tcPr>
          <w:p>
            <w:pPr>
              <w:spacing w:after="0"/>
              <w:rPr>
                <w:sz w:val="24"/>
                <w:szCs w:val="24"/>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231,575</w:t>
            </w:r>
          </w:p>
        </w:tc>
        <w:tc>
          <w:tcPr>
            <w:tcW w:w="18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229,940</w:t>
            </w:r>
          </w:p>
        </w:tc>
      </w:tr>
      <w:tr>
        <w:trPr>
          <w:trHeight w:val="177"/>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Portland General and Affiliates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33,503</w:t>
            </w:r>
          </w:p>
        </w:tc>
        <w:tc>
          <w:tcPr>
            <w:tcW w:w="1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26,154</w:t>
            </w: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25,659</w:t>
            </w:r>
          </w:p>
        </w:tc>
      </w:tr>
      <w:tr>
        <w:trPr>
          <w:trHeight w:val="177"/>
        </w:trPr>
        <w:tc>
          <w:tcPr>
            <w:tcW w:w="356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275,764</w:t>
            </w:r>
          </w:p>
        </w:tc>
        <w:tc>
          <w:tcPr>
            <w:tcW w:w="1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257,729</w:t>
            </w: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255,599</w:t>
            </w:r>
          </w:p>
        </w:tc>
      </w:tr>
      <w:tr>
        <w:trPr>
          <w:trHeight w:val="177"/>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Cost of 12,067, 14,582, and</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12,628 shares, respectively, of</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common stock of Portland General</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issued to participants under the</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terms of the Plan (including</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$699, $475 and $2,326,</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560" w:type="dxa"/>
            <w:vAlign w:val="bottom"/>
          </w:tcPr>
          <w:p>
            <w:pPr>
              <w:ind w:left="460"/>
              <w:spacing w:after="0"/>
              <w:rPr>
                <w:sz w:val="20"/>
                <w:szCs w:val="20"/>
                <w:color w:val="auto"/>
              </w:rPr>
            </w:pPr>
            <w:r>
              <w:rPr>
                <w:rFonts w:ascii="Courier New" w:cs="Courier New" w:eastAsia="Courier New" w:hAnsi="Courier New"/>
                <w:sz w:val="15"/>
                <w:szCs w:val="15"/>
                <w:color w:val="auto"/>
              </w:rPr>
              <w:t>respectively, in cash)</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(278,789)</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(262,304)</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(257,904)</w:t>
            </w:r>
          </w:p>
        </w:tc>
      </w:tr>
      <w:tr>
        <w:trPr>
          <w:trHeight w:val="355"/>
        </w:trPr>
        <w:tc>
          <w:tcPr>
            <w:tcW w:w="3560" w:type="dxa"/>
            <w:vAlign w:val="bottom"/>
          </w:tcPr>
          <w:p>
            <w:pPr>
              <w:spacing w:after="0"/>
              <w:rPr>
                <w:sz w:val="20"/>
                <w:szCs w:val="20"/>
                <w:color w:val="auto"/>
              </w:rPr>
            </w:pPr>
            <w:r>
              <w:rPr>
                <w:rFonts w:ascii="Courier New" w:cs="Courier New" w:eastAsia="Courier New" w:hAnsi="Courier New"/>
                <w:sz w:val="15"/>
                <w:szCs w:val="15"/>
                <w:color w:val="auto"/>
              </w:rPr>
              <w:t>Change in Participants' Equity for</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the Year</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1,727</w:t>
            </w:r>
          </w:p>
        </w:tc>
        <w:tc>
          <w:tcPr>
            <w:tcW w:w="14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1,406</w:t>
            </w:r>
          </w:p>
        </w:tc>
        <w:tc>
          <w:tcPr>
            <w:tcW w:w="1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2,938</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 Equity, at beginning</w:t>
      </w:r>
    </w:p>
    <w:p>
      <w:pPr>
        <w:sectPr>
          <w:pgSz w:w="11900" w:h="16838" w:orient="portrait"/>
          <w:cols w:equalWidth="0" w:num="1">
            <w:col w:w="10139"/>
          </w:cols>
          <w:pgMar w:left="320" w:top="496" w:right="1440" w:bottom="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of year</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11,852</w:t>
            </w:r>
          </w:p>
        </w:tc>
        <w:tc>
          <w:tcPr>
            <w:tcW w:w="10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10,446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7,508</w:t>
            </w:r>
          </w:p>
        </w:tc>
      </w:tr>
      <w:tr>
        <w:trPr>
          <w:trHeight w:val="355"/>
        </w:trPr>
        <w:tc>
          <w:tcPr>
            <w:tcW w:w="3520" w:type="dxa"/>
            <w:vAlign w:val="bottom"/>
          </w:tcPr>
          <w:p>
            <w:pPr>
              <w:spacing w:after="0"/>
              <w:rPr>
                <w:sz w:val="20"/>
                <w:szCs w:val="20"/>
                <w:color w:val="auto"/>
              </w:rPr>
            </w:pPr>
            <w:r>
              <w:rPr>
                <w:rFonts w:ascii="Courier New" w:cs="Courier New" w:eastAsia="Courier New" w:hAnsi="Courier New"/>
                <w:sz w:val="15"/>
                <w:szCs w:val="15"/>
                <w:color w:val="auto"/>
              </w:rPr>
              <w:t>Participants' Equity, at end of year</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$ 13,579</w:t>
            </w:r>
          </w:p>
        </w:tc>
        <w:tc>
          <w:tcPr>
            <w:tcW w:w="10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$ 11,852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$ 10,446</w:t>
            </w:r>
          </w:p>
        </w:tc>
      </w:tr>
    </w:tbl>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ectPr>
          <w:pgSz w:w="11900" w:h="16838" w:orient="portrait"/>
          <w:cols w:equalWidth="0" w:num="1">
            <w:col w:w="10139"/>
          </w:cols>
          <w:pgMar w:left="320" w:top="142" w:right="1440" w:bottom="1440" w:gutter="0" w:footer="0" w:header="0"/>
        </w:sectPr>
      </w:pPr>
    </w:p>
    <w:bookmarkStart w:id="80" w:name="page81"/>
    <w:bookmarkEnd w:id="80"/>
    <w:p>
      <w:pPr>
        <w:ind w:left="1860"/>
        <w:spacing w:after="0"/>
        <w:rPr>
          <w:sz w:val="20"/>
          <w:szCs w:val="20"/>
          <w:color w:val="auto"/>
        </w:rPr>
      </w:pPr>
      <w:r>
        <w:rPr>
          <w:rFonts w:ascii="Courier New" w:cs="Courier New" w:eastAsia="Courier New" w:hAnsi="Courier New"/>
          <w:sz w:val="15"/>
          <w:szCs w:val="15"/>
          <w:color w:val="auto"/>
        </w:rPr>
        <w:t>EMPLOYEE STOCK PURCHASE PLAN OF</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PORTLAND GENERAL CORPORATION</w:t>
      </w:r>
    </w:p>
    <w:p>
      <w:pPr>
        <w:spacing w:after="0" w:line="36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NOTES TO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line="185" w:lineRule="exact"/>
        <w:rPr>
          <w:sz w:val="20"/>
          <w:szCs w:val="20"/>
          <w:color w:val="auto"/>
        </w:rPr>
      </w:pPr>
    </w:p>
    <w:p>
      <w:pPr>
        <w:jc w:val="center"/>
        <w:ind w:right="3019"/>
        <w:spacing w:after="0" w:line="250" w:lineRule="auto"/>
        <w:rPr>
          <w:sz w:val="20"/>
          <w:szCs w:val="20"/>
          <w:color w:val="auto"/>
        </w:rPr>
      </w:pPr>
      <w:r>
        <w:rPr>
          <w:rFonts w:ascii="Courier New" w:cs="Courier New" w:eastAsia="Courier New" w:hAnsi="Courier New"/>
          <w:sz w:val="15"/>
          <w:szCs w:val="15"/>
          <w:color w:val="auto"/>
        </w:rPr>
        <w:t>Portland General Corporation (Portland General) Employee Stock Purchase Plan (Plan)  was  established  to  enable  employees  of  Portland General and its affiliates  to  acquire  an ownership interest in Portland  General  through purchase of its common stock.   Portland  General  acts as custodian for each participant and pays all Plan expenses.  Portland General  affiliates in turn reimburse Portland General for costs incurred on behalf of their  employees. The  Plan  is not subject to income taxes.  The Plan may be altered, amended, or discontinued  at  any  time by Portland General; however, each participant has the rights of an owner  of  record in shares held by Portland General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participant's account.</w:t>
      </w:r>
    </w:p>
    <w:p>
      <w:pPr>
        <w:spacing w:after="0" w:line="185" w:lineRule="exact"/>
        <w:rPr>
          <w:sz w:val="20"/>
          <w:szCs w:val="20"/>
          <w:color w:val="auto"/>
        </w:rPr>
      </w:pPr>
    </w:p>
    <w:p>
      <w:pPr>
        <w:jc w:val="both"/>
        <w:ind w:right="3019" w:firstLine="92"/>
        <w:spacing w:after="0" w:line="250" w:lineRule="auto"/>
        <w:rPr>
          <w:sz w:val="20"/>
          <w:szCs w:val="20"/>
          <w:color w:val="auto"/>
        </w:rPr>
      </w:pPr>
      <w:r>
        <w:rPr>
          <w:rFonts w:ascii="Courier New" w:cs="Courier New" w:eastAsia="Courier New" w:hAnsi="Courier New"/>
          <w:sz w:val="15"/>
          <w:szCs w:val="15"/>
          <w:color w:val="auto"/>
        </w:rPr>
        <w:t>Participants' contributions are made through payroll deductions within certain limitations. The price of the common stock to a participant is 90% of a five-day average market price which is determined by dividing the sum of the closing prices of Portland General stock on the New York Stock Exchange on the last five business days ending on or before the 15th day of the month</w:t>
      </w:r>
    </w:p>
    <w:p>
      <w:pPr>
        <w:spacing w:after="0" w:line="2" w:lineRule="exact"/>
        <w:rPr>
          <w:sz w:val="20"/>
          <w:szCs w:val="20"/>
          <w:color w:val="auto"/>
        </w:rPr>
      </w:pPr>
    </w:p>
    <w:p>
      <w:pPr>
        <w:jc w:val="both"/>
        <w:ind w:right="3019" w:firstLine="92"/>
        <w:spacing w:after="0" w:line="251" w:lineRule="auto"/>
        <w:rPr>
          <w:sz w:val="20"/>
          <w:szCs w:val="20"/>
          <w:color w:val="auto"/>
        </w:rPr>
      </w:pPr>
      <w:r>
        <w:rPr>
          <w:rFonts w:ascii="Courier New" w:cs="Courier New" w:eastAsia="Courier New" w:hAnsi="Courier New"/>
          <w:sz w:val="15"/>
          <w:szCs w:val="15"/>
          <w:color w:val="auto"/>
        </w:rPr>
        <w:t>of the allocation, by five. Shares of common stock are purchased directly from Portland General. The amount of Portland General contributions and dividends received by the Plan are reported to participants on a current basis for income tax purposes.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NOTE 2.</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55"/>
        </w:trPr>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PGE</w:t>
            </w:r>
          </w:p>
        </w:tc>
        <w:tc>
          <w:tcPr>
            <w:tcW w:w="460" w:type="dxa"/>
            <w:vAlign w:val="bottom"/>
          </w:tcPr>
          <w:p>
            <w:pPr>
              <w:spacing w:after="0"/>
              <w:rPr>
                <w:sz w:val="24"/>
                <w:szCs w:val="24"/>
                <w:color w:val="auto"/>
              </w:rPr>
            </w:pPr>
          </w:p>
        </w:tc>
        <w:tc>
          <w:tcPr>
            <w:tcW w:w="7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PGC</w:t>
            </w:r>
          </w:p>
        </w:tc>
        <w:tc>
          <w:tcPr>
            <w:tcW w:w="380" w:type="dxa"/>
            <w:vAlign w:val="bottom"/>
          </w:tcPr>
          <w:p>
            <w:pPr>
              <w:spacing w:after="0"/>
              <w:rPr>
                <w:sz w:val="24"/>
                <w:szCs w:val="24"/>
                <w:color w:val="auto"/>
              </w:rPr>
            </w:pPr>
          </w:p>
        </w:tc>
        <w:tc>
          <w:tcPr>
            <w:tcW w:w="7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CWL</w:t>
            </w: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TOTAL</w:t>
            </w:r>
          </w:p>
        </w:tc>
      </w:tr>
      <w:tr>
        <w:trPr>
          <w:trHeight w:val="355"/>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1995 CONTRIBUTIONS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Employer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33,503</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$ 33,503</w:t>
            </w:r>
          </w:p>
        </w:tc>
      </w:tr>
      <w:tr>
        <w:trPr>
          <w:trHeight w:val="177"/>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Participants</w:t>
            </w:r>
          </w:p>
        </w:tc>
        <w:tc>
          <w:tcPr>
            <w:tcW w:w="36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242,261</w:t>
            </w:r>
          </w:p>
        </w:tc>
        <w:tc>
          <w:tcPr>
            <w:tcW w:w="460" w:type="dxa"/>
            <w:vAlign w:val="bottom"/>
          </w:tcPr>
          <w:p>
            <w:pPr>
              <w:spacing w:after="0"/>
              <w:rPr>
                <w:sz w:val="15"/>
                <w:szCs w:val="15"/>
                <w:color w:val="auto"/>
              </w:rPr>
            </w:pP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242,261</w:t>
            </w:r>
          </w:p>
        </w:tc>
      </w:tr>
      <w:tr>
        <w:trPr>
          <w:trHeight w:val="355"/>
        </w:trPr>
        <w:tc>
          <w:tcPr>
            <w:tcW w:w="204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275,764</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$275,764</w:t>
            </w:r>
          </w:p>
        </w:tc>
      </w:tr>
      <w:tr>
        <w:trPr>
          <w:trHeight w:val="355"/>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1994 CONTRIBUTIONS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Employer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26,127</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$ 26,154</w:t>
            </w:r>
          </w:p>
        </w:tc>
      </w:tr>
      <w:tr>
        <w:trPr>
          <w:trHeight w:val="177"/>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Participants</w:t>
            </w:r>
          </w:p>
        </w:tc>
        <w:tc>
          <w:tcPr>
            <w:tcW w:w="36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231,345</w:t>
            </w:r>
          </w:p>
        </w:tc>
        <w:tc>
          <w:tcPr>
            <w:tcW w:w="460" w:type="dxa"/>
            <w:vAlign w:val="bottom"/>
          </w:tcPr>
          <w:p>
            <w:pPr>
              <w:spacing w:after="0"/>
              <w:rPr>
                <w:sz w:val="15"/>
                <w:szCs w:val="15"/>
                <w:color w:val="auto"/>
              </w:rPr>
            </w:pP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230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231,575</w:t>
            </w:r>
          </w:p>
        </w:tc>
      </w:tr>
      <w:tr>
        <w:trPr>
          <w:trHeight w:val="355"/>
        </w:trPr>
        <w:tc>
          <w:tcPr>
            <w:tcW w:w="204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257,472</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257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$257,729</w:t>
            </w:r>
          </w:p>
        </w:tc>
      </w:tr>
      <w:tr>
        <w:trPr>
          <w:trHeight w:val="532"/>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1993 CONTRIBUTIONS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Employer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25,587</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44</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$ 25,659</w:t>
            </w:r>
          </w:p>
        </w:tc>
      </w:tr>
      <w:tr>
        <w:trPr>
          <w:trHeight w:val="177"/>
        </w:trPr>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Participants</w:t>
            </w:r>
          </w:p>
        </w:tc>
        <w:tc>
          <w:tcPr>
            <w:tcW w:w="36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229,295</w:t>
            </w:r>
          </w:p>
        </w:tc>
        <w:tc>
          <w:tcPr>
            <w:tcW w:w="460" w:type="dxa"/>
            <w:vAlign w:val="bottom"/>
          </w:tcPr>
          <w:p>
            <w:pPr>
              <w:spacing w:after="0"/>
              <w:rPr>
                <w:sz w:val="15"/>
                <w:szCs w:val="15"/>
                <w:color w:val="auto"/>
              </w:rPr>
            </w:pP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405</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240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229,940</w:t>
            </w:r>
          </w:p>
        </w:tc>
      </w:tr>
      <w:tr>
        <w:trPr>
          <w:trHeight w:val="355"/>
        </w:trPr>
        <w:tc>
          <w:tcPr>
            <w:tcW w:w="204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254,882</w:t>
            </w:r>
          </w:p>
        </w:tc>
        <w:tc>
          <w:tcPr>
            <w:tcW w:w="4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449</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268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$255,599</w:t>
            </w:r>
          </w:p>
        </w:tc>
      </w:tr>
    </w:tbl>
    <w:p>
      <w:pPr>
        <w:sectPr>
          <w:pgSz w:w="11900" w:h="16838" w:orient="portrait"/>
          <w:cols w:equalWidth="0" w:num="1">
            <w:col w:w="10139"/>
          </w:cols>
          <w:pgMar w:left="320" w:top="650" w:right="1440" w:bottom="1440" w:gutter="0" w:footer="0" w:header="0"/>
        </w:sectPr>
      </w:pPr>
    </w:p>
    <w:bookmarkStart w:id="81" w:name="page82"/>
    <w:bookmarkEnd w:id="81"/>
    <w:p>
      <w:pPr>
        <w:ind w:left="14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6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 Portland General Corporation:</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We  have  audited  the accompanying statements of financial condition of the Employee Stock Purchase  Plan  (Plan)  of  Portland General Corporation as of December 31, 1995 and 1994, and the related  statements of income and changes in participants' equity for each of the three  years  in  the  period  ended December  31, 1995.  These financial statements are the responsibility of the Plan's management.   Our  responsibility  is  to  express an opinion on these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statements based on our audits.</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reasonable basis for our opinion.</w:t>
      </w:r>
    </w:p>
    <w:p>
      <w:pPr>
        <w:spacing w:after="0" w:line="185"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the Employee Stock Purchase Plan of Portland General Corporation  as  of  December 31, 1995 and 1994, and the income and changes in participants' equity for each of the three years in the  period ended December 31, 1995 in conformity  with  generally  accepted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accounting principles.</w:t>
      </w:r>
    </w:p>
    <w:p>
      <w:pPr>
        <w:spacing w:after="0" w:line="18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ARTHUR ANDERSEN LLP</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January 24, 1996</w:t>
      </w:r>
    </w:p>
    <w:p>
      <w:pPr>
        <w:spacing w:after="0" w:line="200" w:lineRule="exact"/>
        <w:rPr>
          <w:sz w:val="20"/>
          <w:szCs w:val="20"/>
          <w:color w:val="auto"/>
        </w:rPr>
      </w:pPr>
    </w:p>
    <w:p>
      <w:pPr>
        <w:spacing w:after="0" w:line="34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62" w:lineRule="exact"/>
        <w:rPr>
          <w:sz w:val="20"/>
          <w:szCs w:val="20"/>
          <w:color w:val="auto"/>
        </w:rPr>
      </w:pPr>
    </w:p>
    <w:p>
      <w:pPr>
        <w:jc w:val="center"/>
        <w:ind w:left="320"/>
        <w:spacing w:after="0" w:line="250"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reports included  in  this Form 11-K, into Portland General Corporation's previously  filed  Registration   Statement   No.   33-27462  on  Form  S-8,</w:t>
      </w:r>
    </w:p>
    <w:p>
      <w:pPr>
        <w:spacing w:after="0" w:line="1" w:lineRule="exact"/>
        <w:rPr>
          <w:sz w:val="20"/>
          <w:szCs w:val="20"/>
          <w:color w:val="auto"/>
        </w:rPr>
      </w:pPr>
    </w:p>
    <w:p>
      <w:pPr>
        <w:ind w:right="3299" w:firstLine="92"/>
        <w:spacing w:after="0" w:line="252" w:lineRule="auto"/>
        <w:rPr>
          <w:sz w:val="20"/>
          <w:szCs w:val="20"/>
          <w:color w:val="auto"/>
        </w:rPr>
      </w:pPr>
      <w:r>
        <w:rPr>
          <w:rFonts w:ascii="Courier New" w:cs="Courier New" w:eastAsia="Courier New" w:hAnsi="Courier New"/>
          <w:sz w:val="15"/>
          <w:szCs w:val="15"/>
          <w:color w:val="auto"/>
        </w:rPr>
        <w:t>Registration Statement No. 33-40943 on Form S-8, Registration Statement No. 33-49811 on Form S-8, Registration Statement No. 33-55321 on Form S-3 and Registration Statement No. 33-61313 on Form S-8.</w:t>
      </w:r>
    </w:p>
    <w:p>
      <w:pPr>
        <w:spacing w:after="0" w:line="35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ARTHUR ANDERSEN LLP</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January 24, 1996</w:t>
      </w:r>
    </w:p>
    <w:p>
      <w:pPr>
        <w:sectPr>
          <w:pgSz w:w="11900" w:h="16838" w:orient="portrait"/>
          <w:cols w:equalWidth="0" w:num="1">
            <w:col w:w="10219"/>
          </w:cols>
          <w:pgMar w:left="240" w:top="650" w:right="1440" w:bottom="1440" w:gutter="0" w:footer="0" w:header="0"/>
        </w:sectPr>
      </w:pPr>
    </w:p>
    <w:bookmarkStart w:id="82" w:name="page83"/>
    <w:bookmarkEnd w:id="82"/>
    <w:p>
      <w:pPr>
        <w:spacing w:after="0" w:line="299"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PORTLAND GENERAL CORPORATION</w:t>
      </w:r>
    </w:p>
    <w:p>
      <w:pPr>
        <w:spacing w:after="0" w:line="185"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MANAGEMENT DEFERRED COMPENSATION PLAN</w:t>
      </w:r>
    </w:p>
    <w:p>
      <w:pPr>
        <w:spacing w:after="0" w:line="185"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1994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20" w:type="dxa"/>
            <w:vAlign w:val="bottom"/>
          </w:tcPr>
          <w:p>
            <w:pPr>
              <w:spacing w:after="0"/>
              <w:rPr>
                <w:sz w:val="14"/>
                <w:szCs w:val="14"/>
                <w:color w:val="auto"/>
              </w:rPr>
            </w:pPr>
          </w:p>
        </w:tc>
        <w:tc>
          <w:tcPr>
            <w:tcW w:w="4000" w:type="dxa"/>
            <w:vAlign w:val="bottom"/>
            <w:gridSpan w:val="2"/>
          </w:tcPr>
          <w:p>
            <w:pPr>
              <w:jc w:val="center"/>
              <w:ind w:right="143"/>
              <w:spacing w:after="0"/>
              <w:rPr>
                <w:sz w:val="20"/>
                <w:szCs w:val="20"/>
                <w:color w:val="auto"/>
              </w:rPr>
            </w:pPr>
            <w:r>
              <w:rPr>
                <w:rFonts w:ascii="Courier New" w:cs="Courier New" w:eastAsia="Courier New" w:hAnsi="Courier New"/>
                <w:sz w:val="15"/>
                <w:szCs w:val="15"/>
                <w:color w:val="auto"/>
              </w:rPr>
              <w:t>Effective October 1, 1994</w:t>
            </w:r>
          </w:p>
        </w:tc>
        <w:tc>
          <w:tcPr>
            <w:tcW w:w="800" w:type="dxa"/>
            <w:vAlign w:val="bottom"/>
          </w:tcPr>
          <w:p>
            <w:pPr>
              <w:spacing w:after="0"/>
              <w:rPr>
                <w:sz w:val="14"/>
                <w:szCs w:val="14"/>
                <w:color w:val="auto"/>
              </w:rPr>
            </w:pPr>
          </w:p>
        </w:tc>
      </w:tr>
      <w:tr>
        <w:trPr>
          <w:trHeight w:val="686"/>
        </w:trPr>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jc w:val="center"/>
              <w:ind w:right="1043"/>
              <w:spacing w:after="0"/>
              <w:rPr>
                <w:sz w:val="20"/>
                <w:szCs w:val="20"/>
                <w:color w:val="auto"/>
              </w:rPr>
            </w:pPr>
            <w:r>
              <w:rPr>
                <w:rFonts w:ascii="Courier New" w:cs="Courier New" w:eastAsia="Courier New" w:hAnsi="Courier New"/>
                <w:sz w:val="15"/>
                <w:szCs w:val="15"/>
                <w:color w:val="auto"/>
              </w:rPr>
              <w:t>TABLE OF CONTENTS</w:t>
            </w:r>
          </w:p>
        </w:tc>
        <w:tc>
          <w:tcPr>
            <w:tcW w:w="800" w:type="dxa"/>
            <w:vAlign w:val="bottom"/>
          </w:tcPr>
          <w:p>
            <w:pPr>
              <w:spacing w:after="0"/>
              <w:rPr>
                <w:sz w:val="24"/>
                <w:szCs w:val="24"/>
                <w:color w:val="auto"/>
              </w:rPr>
            </w:pPr>
          </w:p>
        </w:tc>
      </w:tr>
      <w:tr>
        <w:trPr>
          <w:trHeight w:val="177"/>
        </w:trPr>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120" w:type="dxa"/>
            <w:vAlign w:val="bottom"/>
          </w:tcPr>
          <w:p>
            <w:pPr>
              <w:jc w:val="center"/>
              <w:ind w:right="1023"/>
              <w:spacing w:after="0"/>
              <w:rPr>
                <w:sz w:val="20"/>
                <w:szCs w:val="20"/>
                <w:color w:val="auto"/>
              </w:rPr>
            </w:pPr>
            <w:r>
              <w:rPr>
                <w:rFonts w:ascii="Courier New" w:cs="Courier New" w:eastAsia="Courier New" w:hAnsi="Courier New"/>
                <w:sz w:val="15"/>
                <w:szCs w:val="15"/>
                <w:color w:val="auto"/>
              </w:rPr>
              <w:t>(Continued)</w:t>
            </w:r>
          </w:p>
        </w:tc>
        <w:tc>
          <w:tcPr>
            <w:tcW w:w="800" w:type="dxa"/>
            <w:vAlign w:val="bottom"/>
          </w:tcPr>
          <w:p>
            <w:pPr>
              <w:spacing w:after="0"/>
              <w:rPr>
                <w:sz w:val="15"/>
                <w:szCs w:val="15"/>
                <w:color w:val="auto"/>
              </w:rPr>
            </w:pPr>
          </w:p>
        </w:tc>
      </w:tr>
      <w:tr>
        <w:trPr>
          <w:trHeight w:val="355"/>
        </w:trPr>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55"/>
        </w:trPr>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jc w:val="center"/>
              <w:ind w:right="1043"/>
              <w:spacing w:after="0"/>
              <w:rPr>
                <w:sz w:val="20"/>
                <w:szCs w:val="20"/>
                <w:color w:val="auto"/>
              </w:rPr>
            </w:pPr>
            <w:r>
              <w:rPr>
                <w:rFonts w:ascii="Courier New" w:cs="Courier New" w:eastAsia="Courier New" w:hAnsi="Courier New"/>
                <w:sz w:val="15"/>
                <w:szCs w:val="15"/>
                <w:color w:val="auto"/>
              </w:rPr>
              <w:t>TABLE OF CONTENTS</w:t>
            </w:r>
          </w:p>
        </w:tc>
        <w:tc>
          <w:tcPr>
            <w:tcW w:w="800" w:type="dxa"/>
            <w:vAlign w:val="bottom"/>
          </w:tcPr>
          <w:p>
            <w:pPr>
              <w:spacing w:after="0"/>
              <w:rPr>
                <w:sz w:val="24"/>
                <w:szCs w:val="24"/>
                <w:color w:val="auto"/>
              </w:rPr>
            </w:pPr>
          </w:p>
        </w:tc>
      </w:tr>
      <w:tr>
        <w:trPr>
          <w:trHeight w:val="532"/>
        </w:trPr>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7"/>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PURPOSE</w:t>
            </w:r>
          </w:p>
        </w:tc>
        <w:tc>
          <w:tcPr>
            <w:tcW w:w="3120" w:type="dxa"/>
            <w:vAlign w:val="bottom"/>
          </w:tcPr>
          <w:p>
            <w:pPr>
              <w:ind w:left="120"/>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spacing w:after="0"/>
              <w:rPr>
                <w:sz w:val="15"/>
                <w:szCs w:val="15"/>
                <w:color w:val="auto"/>
              </w:rPr>
            </w:pPr>
          </w:p>
        </w:tc>
      </w:tr>
      <w:tr>
        <w:trPr>
          <w:trHeight w:val="355"/>
        </w:trPr>
        <w:tc>
          <w:tcPr>
            <w:tcW w:w="112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1.1</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Restatement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Purpose</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Effective Date</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1.4</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Plan Sponsor</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355"/>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4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DEFINITIONS</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355"/>
        </w:trPr>
        <w:tc>
          <w:tcPr>
            <w:tcW w:w="112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Account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2.2</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Base Salary</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2.3</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Beneficiary</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2.4</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Board</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2.5</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Bonuses</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2.6</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Change in Control</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2.7</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Committee</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2.8</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Company</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2.9</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2.10</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Deferral Election</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2.11</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Determination Date</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2.12</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Direct Subsidiary</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2.13</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Eligible Employee</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2.14</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Financial Emergency</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2.15</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Incentive Compensation</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2.16</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Indirect Subsidiary</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2.17</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2.18</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Paid Time Off</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2.19</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Paid Time Off Cancellation</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2.20</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Participant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2.21</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Participating Employer</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2.22</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Pension Plan</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2.23</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2.24</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Policies</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r>
        <w:trPr>
          <w:trHeight w:val="177"/>
        </w:trPr>
        <w:tc>
          <w:tcPr>
            <w:tcW w:w="112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Courier New" w:cs="Courier New" w:eastAsia="Courier New" w:hAnsi="Courier New"/>
                <w:sz w:val="15"/>
                <w:szCs w:val="15"/>
                <w:color w:val="auto"/>
              </w:rPr>
              <w:t>2.25</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Senior Administrative Officer</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bl>
    <w:p>
      <w:pPr>
        <w:spacing w:after="0" w:line="200" w:lineRule="exact"/>
        <w:rPr>
          <w:sz w:val="20"/>
          <w:szCs w:val="20"/>
          <w:color w:val="auto"/>
        </w:rPr>
      </w:pP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139"/>
          </w:cols>
          <w:pgMar w:left="320" w:top="1440" w:right="1440" w:bottom="1440" w:gutter="0" w:footer="0" w:header="0"/>
        </w:sectPr>
      </w:pPr>
    </w:p>
    <w:bookmarkStart w:id="83" w:name="page84"/>
    <w:bookmarkEnd w:id="83"/>
    <w:p>
      <w:pPr>
        <w:jc w:val="center"/>
        <w:ind w:right="4119"/>
        <w:spacing w:after="0"/>
        <w:rPr>
          <w:sz w:val="20"/>
          <w:szCs w:val="20"/>
          <w:color w:val="auto"/>
        </w:rPr>
      </w:pPr>
      <w:r>
        <w:rPr>
          <w:rFonts w:ascii="Courier New" w:cs="Courier New" w:eastAsia="Courier New" w:hAnsi="Courier New"/>
          <w:sz w:val="15"/>
          <w:szCs w:val="15"/>
          <w:color w:val="auto"/>
        </w:rPr>
        <w:t>TABLE OF CONTENTS</w:t>
      </w:r>
    </w:p>
    <w:p>
      <w:pPr>
        <w:spacing w:after="0" w:line="8"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4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ELIGIBILITY AND DEFERRALS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r>
        <w:trPr>
          <w:trHeight w:val="355"/>
        </w:trPr>
        <w:tc>
          <w:tcPr>
            <w:tcW w:w="1160" w:type="dxa"/>
            <w:vAlign w:val="bottom"/>
          </w:tcPr>
          <w:p>
            <w:pPr>
              <w:spacing w:after="0"/>
              <w:rPr>
                <w:sz w:val="24"/>
                <w:szCs w:val="24"/>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Eligibility</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3.2</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Deferral Elections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3.3</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Limits on Elective Deferrals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3.4</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Matching Contributions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3.5</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Welfare Benefits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4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DEFERRED COMPENSATION ACCOUNT</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r>
      <w:tr>
        <w:trPr>
          <w:trHeight w:val="355"/>
        </w:trPr>
        <w:tc>
          <w:tcPr>
            <w:tcW w:w="1160" w:type="dxa"/>
            <w:vAlign w:val="bottom"/>
          </w:tcPr>
          <w:p>
            <w:pPr>
              <w:spacing w:after="0"/>
              <w:rPr>
                <w:sz w:val="24"/>
                <w:szCs w:val="24"/>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4.1</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Crediting to Account</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4.2</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Determination of Accounts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4.3</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Vesting of Accounts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4.4</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Statement of Accounts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4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PLAN BENEFITS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w:t>
            </w:r>
          </w:p>
        </w:tc>
      </w:tr>
      <w:tr>
        <w:trPr>
          <w:trHeight w:val="355"/>
        </w:trPr>
        <w:tc>
          <w:tcPr>
            <w:tcW w:w="1160" w:type="dxa"/>
            <w:vAlign w:val="bottom"/>
          </w:tcPr>
          <w:p>
            <w:pPr>
              <w:spacing w:after="0"/>
              <w:rPr>
                <w:sz w:val="24"/>
                <w:szCs w:val="24"/>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5.1</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Benefits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Withdrawals for Financial Emergency</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5.3</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Form of Benefit Payment</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5.4</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Accelerated Distribution</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5.5</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Withholding; Payroll Taxes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5.6</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Commencement of Payments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5.7</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Full Payment of Benefits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5.8</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Payment to Guardian</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4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RESTORATION OF PENSION PLAN BENEFITS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w:t>
            </w:r>
          </w:p>
        </w:tc>
      </w:tr>
      <w:tr>
        <w:trPr>
          <w:trHeight w:val="355"/>
        </w:trPr>
        <w:tc>
          <w:tcPr>
            <w:tcW w:w="1160" w:type="dxa"/>
            <w:vAlign w:val="bottom"/>
          </w:tcPr>
          <w:p>
            <w:pPr>
              <w:spacing w:after="0"/>
              <w:rPr>
                <w:sz w:val="24"/>
                <w:szCs w:val="24"/>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6.1</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Pension Plan</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6.2</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Restoration of Pension Plan Benefits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6.3</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Restoration of Pension Plan Benefits</w:t>
            </w:r>
          </w:p>
        </w:tc>
        <w:tc>
          <w:tcPr>
            <w:tcW w:w="46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in Event of Change in Control</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w:t>
            </w:r>
          </w:p>
        </w:tc>
      </w:tr>
      <w:tr>
        <w:trPr>
          <w:trHeight w:val="355"/>
        </w:trPr>
        <w:tc>
          <w:tcPr>
            <w:tcW w:w="116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4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BENEFICIARY DESIGNATION</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w:t>
            </w:r>
          </w:p>
        </w:tc>
      </w:tr>
      <w:tr>
        <w:trPr>
          <w:trHeight w:val="355"/>
        </w:trPr>
        <w:tc>
          <w:tcPr>
            <w:tcW w:w="1160" w:type="dxa"/>
            <w:vAlign w:val="bottom"/>
          </w:tcPr>
          <w:p>
            <w:pPr>
              <w:spacing w:after="0"/>
              <w:rPr>
                <w:sz w:val="24"/>
                <w:szCs w:val="24"/>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7.1</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Beneficiary Designation</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7.2</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Amendments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7.3</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No Beneficiary Designation</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w:t>
            </w:r>
          </w:p>
        </w:tc>
      </w:tr>
      <w:tr>
        <w:trPr>
          <w:trHeight w:val="177"/>
        </w:trPr>
        <w:tc>
          <w:tcPr>
            <w:tcW w:w="116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7.4</w:t>
            </w:r>
          </w:p>
        </w:tc>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Effect of Payment</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w:t>
            </w:r>
          </w:p>
        </w:tc>
      </w:tr>
    </w:tbl>
    <w:p>
      <w:pPr>
        <w:spacing w:after="0" w:line="3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139"/>
          </w:cols>
          <w:pgMar w:left="320" w:top="650" w:right="1440" w:bottom="1440" w:gutter="0" w:footer="0" w:header="0"/>
        </w:sectPr>
      </w:pPr>
    </w:p>
    <w:bookmarkStart w:id="84" w:name="page85"/>
    <w:bookmarkEnd w:id="84"/>
    <w:p>
      <w:pPr>
        <w:jc w:val="center"/>
        <w:ind w:right="4119"/>
        <w:spacing w:after="0"/>
        <w:rPr>
          <w:sz w:val="20"/>
          <w:szCs w:val="20"/>
          <w:color w:val="auto"/>
        </w:rPr>
      </w:pPr>
      <w:r>
        <w:rPr>
          <w:rFonts w:ascii="Courier New" w:cs="Courier New" w:eastAsia="Courier New" w:hAnsi="Courier New"/>
          <w:sz w:val="15"/>
          <w:szCs w:val="15"/>
          <w:color w:val="auto"/>
        </w:rPr>
        <w:t>TABLE OF CONTENTS</w:t>
      </w:r>
    </w:p>
    <w:p>
      <w:pPr>
        <w:spacing w:after="0" w:line="8"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rPr>
              <w:t>PAGE</w:t>
            </w:r>
          </w:p>
        </w:tc>
      </w:tr>
      <w:tr>
        <w:trPr>
          <w:trHeight w:val="355"/>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4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ADMINISTRATION</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355"/>
        </w:trPr>
        <w:tc>
          <w:tcPr>
            <w:tcW w:w="1200" w:type="dxa"/>
            <w:vAlign w:val="bottom"/>
          </w:tcPr>
          <w:p>
            <w:pPr>
              <w:spacing w:after="0"/>
              <w:rPr>
                <w:sz w:val="24"/>
                <w:szCs w:val="24"/>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8.1</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Senior Administrative Officer; Duties</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8.2</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Agents</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8.3</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Binding Effect of Decisions</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8.4</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Indemnity of Senior Administrative</w:t>
            </w:r>
          </w:p>
        </w:tc>
        <w:tc>
          <w:tcPr>
            <w:tcW w:w="420" w:type="dxa"/>
            <w:vAlign w:val="bottom"/>
          </w:tcPr>
          <w:p>
            <w:pPr>
              <w:spacing w:after="0"/>
              <w:rPr>
                <w:sz w:val="15"/>
                <w:szCs w:val="15"/>
                <w:color w:val="auto"/>
              </w:rPr>
            </w:pPr>
          </w:p>
        </w:tc>
      </w:tr>
      <w:tr>
        <w:trPr>
          <w:trHeight w:val="177"/>
        </w:trPr>
        <w:tc>
          <w:tcPr>
            <w:tcW w:w="1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Officer; Committee</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8.5</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Availability of Plan Documents</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8.6</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Cost of Plan Administration</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355"/>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4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CLAIMS PROCEDURE</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55"/>
        </w:trPr>
        <w:tc>
          <w:tcPr>
            <w:tcW w:w="1200" w:type="dxa"/>
            <w:vAlign w:val="bottom"/>
          </w:tcPr>
          <w:p>
            <w:pPr>
              <w:spacing w:after="0"/>
              <w:rPr>
                <w:sz w:val="24"/>
                <w:szCs w:val="24"/>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9.1</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Claim</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9.2</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Denial of Claim</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9.3</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Review of Claim</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9.4</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Final Decision</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355"/>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X</w:t>
            </w:r>
          </w:p>
        </w:tc>
        <w:tc>
          <w:tcPr>
            <w:tcW w:w="4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AMENDMENT AND TERMINATION OF PLAN</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r>
        <w:trPr>
          <w:trHeight w:val="355"/>
        </w:trPr>
        <w:tc>
          <w:tcPr>
            <w:tcW w:w="1200" w:type="dxa"/>
            <w:vAlign w:val="bottom"/>
          </w:tcPr>
          <w:p>
            <w:pPr>
              <w:spacing w:after="0"/>
              <w:rPr>
                <w:sz w:val="24"/>
                <w:szCs w:val="24"/>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10.1</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Amendment</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10.2</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Termination</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10.3</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Payment at Termination</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r>
        <w:trPr>
          <w:trHeight w:val="355"/>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XI</w:t>
            </w:r>
          </w:p>
        </w:tc>
        <w:tc>
          <w:tcPr>
            <w:tcW w:w="4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MISCELLANEOUS</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r>
      <w:tr>
        <w:trPr>
          <w:trHeight w:val="355"/>
        </w:trPr>
        <w:tc>
          <w:tcPr>
            <w:tcW w:w="1200" w:type="dxa"/>
            <w:vAlign w:val="bottom"/>
          </w:tcPr>
          <w:p>
            <w:pPr>
              <w:spacing w:after="0"/>
              <w:rPr>
                <w:sz w:val="24"/>
                <w:szCs w:val="24"/>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11.1</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Unfunded Plan</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11.2</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Liability</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11.3</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Trust Fund</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11.4</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Nonassignability</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11.5</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Not a Contract of Employment</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11.6</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Protective Provisions</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11.7</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Governing Law</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11.8</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Terms</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7"/>
        </w:trPr>
        <w:tc>
          <w:tcPr>
            <w:tcW w:w="12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11.9</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Validity</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25</w:t>
            </w:r>
          </w:p>
        </w:tc>
      </w:tr>
      <w:tr>
        <w:trPr>
          <w:trHeight w:val="177"/>
        </w:trPr>
        <w:tc>
          <w:tcPr>
            <w:tcW w:w="120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11.10</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Notice</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25</w:t>
            </w:r>
          </w:p>
        </w:tc>
      </w:tr>
      <w:tr>
        <w:trPr>
          <w:trHeight w:val="177"/>
        </w:trPr>
        <w:tc>
          <w:tcPr>
            <w:tcW w:w="120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11.11</w:t>
            </w:r>
          </w:p>
        </w:tc>
        <w:tc>
          <w:tcPr>
            <w:tcW w:w="3600" w:type="dxa"/>
            <w:vAlign w:val="bottom"/>
          </w:tcPr>
          <w:p>
            <w:pPr>
              <w:ind w:left="140"/>
              <w:spacing w:after="0"/>
              <w:rPr>
                <w:sz w:val="20"/>
                <w:szCs w:val="20"/>
                <w:color w:val="auto"/>
              </w:rPr>
            </w:pPr>
            <w:r>
              <w:rPr>
                <w:rFonts w:ascii="Courier New" w:cs="Courier New" w:eastAsia="Courier New" w:hAnsi="Courier New"/>
                <w:sz w:val="15"/>
                <w:szCs w:val="15"/>
                <w:color w:val="auto"/>
              </w:rPr>
              <w:t>Successors</w:t>
            </w:r>
          </w:p>
        </w:tc>
        <w:tc>
          <w:tcPr>
            <w:tcW w:w="420" w:type="dxa"/>
            <w:vAlign w:val="bottom"/>
          </w:tcPr>
          <w:p>
            <w:pPr>
              <w:jc w:val="center"/>
              <w:spacing w:after="0"/>
              <w:rPr>
                <w:sz w:val="20"/>
                <w:szCs w:val="20"/>
                <w:color w:val="auto"/>
              </w:rPr>
            </w:pPr>
            <w:r>
              <w:rPr>
                <w:rFonts w:ascii="Courier New" w:cs="Courier New" w:eastAsia="Courier New" w:hAnsi="Courier New"/>
                <w:sz w:val="15"/>
                <w:szCs w:val="15"/>
                <w:color w:val="auto"/>
                <w:w w:val="99"/>
              </w:rPr>
              <w:t>25</w:t>
            </w:r>
          </w:p>
        </w:tc>
      </w:tr>
    </w:tbl>
    <w:p>
      <w:pPr>
        <w:spacing w:after="0" w:line="3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139"/>
          </w:cols>
          <w:pgMar w:left="320" w:top="650"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2"/>
        </w:trPr>
        <w:tc>
          <w:tcPr>
            <w:tcW w:w="4260" w:type="dxa"/>
            <w:vAlign w:val="bottom"/>
            <w:gridSpan w:val="2"/>
          </w:tcPr>
          <w:p>
            <w:pPr>
              <w:ind w:left="2400"/>
              <w:spacing w:after="0"/>
              <w:rPr>
                <w:sz w:val="20"/>
                <w:szCs w:val="20"/>
                <w:color w:val="auto"/>
              </w:rPr>
            </w:pPr>
            <w:r>
              <w:rPr>
                <w:rFonts w:ascii="Courier New" w:cs="Courier New" w:eastAsia="Courier New" w:hAnsi="Courier New"/>
                <w:sz w:val="15"/>
                <w:szCs w:val="15"/>
                <w:color w:val="auto"/>
              </w:rPr>
              <w:t>INDEX OF TERM</w:t>
            </w:r>
          </w:p>
        </w:tc>
        <w:tc>
          <w:tcPr>
            <w:tcW w:w="720" w:type="dxa"/>
            <w:vAlign w:val="bottom"/>
          </w:tcPr>
          <w:p>
            <w:pPr>
              <w:spacing w:after="0"/>
              <w:rPr>
                <w:sz w:val="14"/>
                <w:szCs w:val="14"/>
                <w:color w:val="auto"/>
              </w:rPr>
            </w:pPr>
          </w:p>
        </w:tc>
      </w:tr>
      <w:tr>
        <w:trPr>
          <w:trHeight w:val="532"/>
        </w:trPr>
        <w:tc>
          <w:tcPr>
            <w:tcW w:w="286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400" w:type="dxa"/>
            <w:vAlign w:val="bottom"/>
          </w:tcPr>
          <w:p>
            <w:pPr>
              <w:ind w:left="200"/>
              <w:spacing w:after="0"/>
              <w:rPr>
                <w:sz w:val="20"/>
                <w:szCs w:val="20"/>
                <w:color w:val="auto"/>
              </w:rPr>
            </w:pPr>
            <w:r>
              <w:rPr>
                <w:rFonts w:ascii="Courier New" w:cs="Courier New" w:eastAsia="Courier New" w:hAnsi="Courier New"/>
                <w:sz w:val="15"/>
                <w:szCs w:val="15"/>
                <w:color w:val="auto"/>
              </w:rPr>
              <w:t>PROVISION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Account</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Act</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Base Salary</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2.2</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Beneficiary</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Board</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2.4</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Bonuses</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Change in Control</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Committee</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2.7</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2.8</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2.9</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Deferral Election</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2.10</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Determination Date</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2.11</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 Subsidiary</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2.12</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Eligible Employee</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2.13</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ERISA</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3.5</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Financial Emergency</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2.14</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Incentive Compensation</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2.15</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Indirect Subsidiary</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2.16</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2.17</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Paid Time Off</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2.18</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Paid Time Off Cancellation</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2.19</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Participant</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2.20</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Participating Employer</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2.21</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Pension Plan</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2.22</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PGC Board</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2.6</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Plan</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2.23</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Policies</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2.24</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Senior Administrative Officer</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2.25</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w:t>
            </w:r>
          </w:p>
        </w:tc>
      </w:tr>
    </w:tbl>
    <w:p>
      <w:pPr>
        <w:spacing w:after="0" w:line="3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139"/>
          </w:cols>
          <w:pgMar w:left="320" w:top="828" w:right="1440" w:bottom="1440" w:gutter="0" w:footer="0" w:header="0"/>
        </w:sectPr>
      </w:pPr>
    </w:p>
    <w:bookmarkStart w:id="86" w:name="page87"/>
    <w:bookmarkEnd w:id="86"/>
    <w:p>
      <w:pPr>
        <w:jc w:val="center"/>
        <w:ind w:right="4219"/>
        <w:spacing w:after="0"/>
        <w:rPr>
          <w:sz w:val="20"/>
          <w:szCs w:val="20"/>
          <w:color w:val="auto"/>
        </w:rPr>
      </w:pPr>
      <w:r>
        <w:rPr>
          <w:rFonts w:ascii="Courier New" w:cs="Courier New" w:eastAsia="Courier New" w:hAnsi="Courier New"/>
          <w:sz w:val="15"/>
          <w:szCs w:val="15"/>
          <w:color w:val="auto"/>
        </w:rPr>
        <w:t>PORTLAND GENERAL CORPORATION</w:t>
      </w:r>
    </w:p>
    <w:p>
      <w:pPr>
        <w:spacing w:after="0" w:line="185"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MANAGEMENT DEFERRED COMPENSATION PLAN</w:t>
      </w:r>
    </w:p>
    <w:p>
      <w:pPr>
        <w:spacing w:after="0" w:line="185"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1994 RESTATEMENT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ARTICLE I</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PURPOSE</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1.1    RESTATEMENT.  Portland General Corporation adopted a Management Deferred  Compensation  Plan effective January 1, 1987 to cover qualified management employees.  Portland  General  Corporation  also  restated  its Directors'  and Senior Officers' Deferred Compensation Plan on January 1, 1987.  Pursuant  to  Article  8.1  of the Management Deferred Compensation Plan  and Article 9.1 of the Directors'  and  Senior  Officers'  Deferred Compensation Plan, 1987 Restatement, the Company is amending both plans in order to  merge  the  plans  for all employees of Participating Employers. The existing plans were merged,  renamed  and  amended  for all management employees of Participating Employers by the December 1, 1988  Restatement.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was restated effective November 1, 1990.</w:t>
      </w:r>
    </w:p>
    <w:p>
      <w:pPr>
        <w:spacing w:after="0" w:line="185"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1.2 PURPOSE. The purpose of this Management Deferred Compensation Plan is to provide elective deferred compensation in excess of the limits on elective deferrals under qualified cash or deferred arrangements. It is intended that the Plan will aid in attracting and retaining personnel of exceptional ability.</w:t>
      </w:r>
    </w:p>
    <w:p>
      <w:pPr>
        <w:spacing w:after="0" w:line="1" w:lineRule="exact"/>
        <w:rPr>
          <w:sz w:val="20"/>
          <w:szCs w:val="20"/>
          <w:color w:val="auto"/>
        </w:rPr>
      </w:pPr>
    </w:p>
    <w:p>
      <w:pPr>
        <w:jc w:val="both"/>
        <w:ind w:right="3299" w:firstLine="369"/>
        <w:spacing w:after="0" w:line="504" w:lineRule="auto"/>
        <w:rPr>
          <w:sz w:val="20"/>
          <w:szCs w:val="20"/>
          <w:color w:val="auto"/>
        </w:rPr>
      </w:pPr>
      <w:r>
        <w:rPr>
          <w:rFonts w:ascii="Courier New" w:cs="Courier New" w:eastAsia="Courier New" w:hAnsi="Courier New"/>
          <w:sz w:val="15"/>
          <w:szCs w:val="15"/>
          <w:color w:val="auto"/>
        </w:rPr>
        <w:t>1.3 EFFECTIVE DATE. This 1994 Restatement shall be effective as of October 1, 1994.</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1 - MANAGEMENT DEFERRED COMPENSATION PLAN</w:t>
      </w:r>
    </w:p>
    <w:p>
      <w:pPr>
        <w:sectPr>
          <w:pgSz w:w="11900" w:h="16838" w:orient="portrait"/>
          <w:cols w:equalWidth="0" w:num="1">
            <w:col w:w="10139"/>
          </w:cols>
          <w:pgMar w:left="320" w:top="828" w:right="1440" w:bottom="1440" w:gutter="0" w:footer="0" w:header="0"/>
        </w:sectPr>
      </w:pPr>
    </w:p>
    <w:bookmarkStart w:id="87" w:name="page88"/>
    <w:bookmarkEnd w:id="87"/>
    <w:p>
      <w:pPr>
        <w:jc w:val="right"/>
        <w:ind w:right="3299"/>
        <w:spacing w:after="0" w:line="501" w:lineRule="auto"/>
        <w:rPr>
          <w:sz w:val="20"/>
          <w:szCs w:val="20"/>
          <w:color w:val="auto"/>
        </w:rPr>
      </w:pPr>
      <w:r>
        <w:rPr>
          <w:rFonts w:ascii="Courier New" w:cs="Courier New" w:eastAsia="Courier New" w:hAnsi="Courier New"/>
          <w:sz w:val="15"/>
          <w:szCs w:val="15"/>
          <w:color w:val="auto"/>
        </w:rPr>
        <w:t>1.4    PLAN SPONSOR.  The Plan is adopted for the benefit  of selected employees  of  Portland  General Corporation, an Oregon corporation,  and selected employees of any corporations  or  other entities affiliated with or subsidiary to it, if such corporations or  entities are selected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w:t>
      </w:r>
    </w:p>
    <w:p>
      <w:pPr>
        <w:spacing w:after="0" w:line="200" w:lineRule="exact"/>
        <w:rPr>
          <w:sz w:val="20"/>
          <w:szCs w:val="20"/>
          <w:color w:val="auto"/>
        </w:rPr>
      </w:pPr>
    </w:p>
    <w:p>
      <w:pPr>
        <w:spacing w:after="0" w:line="340"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6000" w:type="dxa"/>
            <w:vAlign w:val="bottom"/>
          </w:tcPr>
          <w:p>
            <w:pPr>
              <w:ind w:left="1660"/>
              <w:spacing w:after="0"/>
              <w:rPr>
                <w:sz w:val="20"/>
                <w:szCs w:val="20"/>
                <w:color w:val="auto"/>
              </w:rPr>
            </w:pPr>
            <w:r>
              <w:rPr>
                <w:rFonts w:ascii="Courier New" w:cs="Courier New" w:eastAsia="Courier New" w:hAnsi="Courier New"/>
                <w:sz w:val="15"/>
                <w:szCs w:val="15"/>
                <w:color w:val="auto"/>
              </w:rPr>
              <w:t>ARTICLE II</w:t>
            </w:r>
          </w:p>
        </w:tc>
      </w:tr>
      <w:tr>
        <w:trPr>
          <w:trHeight w:val="355"/>
        </w:trPr>
        <w:tc>
          <w:tcPr>
            <w:tcW w:w="460" w:type="dxa"/>
            <w:vAlign w:val="bottom"/>
          </w:tcPr>
          <w:p>
            <w:pPr>
              <w:spacing w:after="0"/>
              <w:rPr>
                <w:sz w:val="24"/>
                <w:szCs w:val="24"/>
                <w:color w:val="auto"/>
              </w:rPr>
            </w:pPr>
          </w:p>
        </w:tc>
        <w:tc>
          <w:tcPr>
            <w:tcW w:w="6000" w:type="dxa"/>
            <w:vAlign w:val="bottom"/>
          </w:tcPr>
          <w:p>
            <w:pPr>
              <w:ind w:left="1660"/>
              <w:spacing w:after="0"/>
              <w:rPr>
                <w:sz w:val="20"/>
                <w:szCs w:val="20"/>
                <w:color w:val="auto"/>
              </w:rPr>
            </w:pPr>
            <w:r>
              <w:rPr>
                <w:rFonts w:ascii="Courier New" w:cs="Courier New" w:eastAsia="Courier New" w:hAnsi="Courier New"/>
                <w:sz w:val="15"/>
                <w:szCs w:val="15"/>
                <w:color w:val="auto"/>
              </w:rPr>
              <w:t>DEFINITIONS</w:t>
            </w:r>
          </w:p>
        </w:tc>
      </w:tr>
      <w:tr>
        <w:trPr>
          <w:trHeight w:val="355"/>
        </w:trPr>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2.1</w:t>
            </w:r>
          </w:p>
        </w:tc>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ACCOUNT.   "Account"  means  the  account   maintained   by   a</w:t>
            </w:r>
          </w:p>
        </w:tc>
      </w:tr>
    </w:tbl>
    <w:p>
      <w:pPr>
        <w:spacing w:after="0" w:line="183" w:lineRule="exact"/>
        <w:rPr>
          <w:sz w:val="20"/>
          <w:szCs w:val="20"/>
          <w:color w:val="auto"/>
        </w:rPr>
      </w:pPr>
    </w:p>
    <w:p>
      <w:pPr>
        <w:jc w:val="both"/>
        <w:ind w:right="3299" w:firstLine="92"/>
        <w:spacing w:after="0" w:line="501" w:lineRule="auto"/>
        <w:rPr>
          <w:sz w:val="20"/>
          <w:szCs w:val="20"/>
          <w:color w:val="auto"/>
        </w:rPr>
      </w:pPr>
      <w:r>
        <w:rPr>
          <w:rFonts w:ascii="Courier New" w:cs="Courier New" w:eastAsia="Courier New" w:hAnsi="Courier New"/>
          <w:sz w:val="15"/>
          <w:szCs w:val="15"/>
          <w:color w:val="auto"/>
        </w:rPr>
        <w:t>Participating Employer in accordance with Article IV with respect to any deferral of Compensation pursuant to this Plan.</w:t>
      </w:r>
    </w:p>
    <w:p>
      <w:pPr>
        <w:jc w:val="both"/>
        <w:ind w:left="100" w:right="3299" w:firstLine="277"/>
        <w:spacing w:after="0" w:line="501" w:lineRule="auto"/>
        <w:rPr>
          <w:sz w:val="20"/>
          <w:szCs w:val="20"/>
          <w:color w:val="auto"/>
        </w:rPr>
      </w:pPr>
      <w:r>
        <w:rPr>
          <w:rFonts w:ascii="Courier New" w:cs="Courier New" w:eastAsia="Courier New" w:hAnsi="Courier New"/>
          <w:sz w:val="15"/>
          <w:szCs w:val="15"/>
          <w:color w:val="auto"/>
        </w:rPr>
        <w:t>2.2 BASE SALARY. "Base Salary" means the Eligible Employee's actual base pay in the pay period and, except as provided herein,</w:t>
      </w:r>
    </w:p>
    <w:p>
      <w:pPr>
        <w:spacing w:after="0"/>
        <w:rPr>
          <w:sz w:val="20"/>
          <w:szCs w:val="20"/>
          <w:color w:val="auto"/>
        </w:rPr>
      </w:pPr>
      <w:r>
        <w:rPr>
          <w:rFonts w:ascii="Courier New" w:cs="Courier New" w:eastAsia="Courier New" w:hAnsi="Courier New"/>
          <w:sz w:val="15"/>
          <w:szCs w:val="15"/>
          <w:color w:val="auto"/>
        </w:rPr>
        <w:t>excluding any bonuses and/or overtime pay.</w:t>
      </w:r>
    </w:p>
    <w:p>
      <w:pPr>
        <w:spacing w:after="0" w:line="185"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2.3 BENEFICIARY. "Beneficiary" means the person, persons or entity entitled under Article VII to receive any Plan benefits payable after a Participant's death.</w:t>
      </w:r>
    </w:p>
    <w:p>
      <w:pPr>
        <w:spacing w:after="0" w:line="1"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2.4 BOARD. "Board" means the Board of Directors of Portland General Corporation.</w:t>
      </w:r>
    </w:p>
    <w:p>
      <w:pPr>
        <w:jc w:val="right"/>
        <w:ind w:right="3299"/>
        <w:spacing w:after="0" w:line="501" w:lineRule="auto"/>
        <w:rPr>
          <w:sz w:val="20"/>
          <w:szCs w:val="20"/>
          <w:color w:val="auto"/>
        </w:rPr>
      </w:pPr>
      <w:r>
        <w:rPr>
          <w:rFonts w:ascii="Courier New" w:cs="Courier New" w:eastAsia="Courier New" w:hAnsi="Courier New"/>
          <w:sz w:val="15"/>
          <w:szCs w:val="15"/>
          <w:color w:val="auto"/>
        </w:rPr>
        <w:t>2.5    BONUSES.    "Bonuses"   means  Our  Teamworks  Awards,  Notable Achievement Awards, and any other form  of  cash  Incentive  Compensation explicitly  designated as deferrable pursuant to this Plan by the Deferral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form approved by the Senior Administrative Officer.</w:t>
      </w:r>
    </w:p>
    <w:p>
      <w:pPr>
        <w:spacing w:after="0" w:line="185"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2.6 CHANGE IN CONTROL. "Change in Control" means an occurrence in which:</w:t>
      </w:r>
    </w:p>
    <w:p>
      <w:pPr>
        <w:jc w:val="both"/>
        <w:ind w:left="380" w:right="3299" w:firstLine="642"/>
        <w:spacing w:after="0" w:line="502" w:lineRule="auto"/>
        <w:tabs>
          <w:tab w:leader="none" w:pos="14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(within the meaning of Sections 13(d) and 14(d)(2) of the Securities Exchange Act of 1934, as amended (the Act)) becomes the "beneficial owner" (as defined in Rule 13-d under the Act) of more than thirty percent</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2 - MANAGEMENT DEFERRED COMPENSATION PLAN</w:t>
      </w:r>
    </w:p>
    <w:p>
      <w:pPr>
        <w:sectPr>
          <w:pgSz w:w="11900" w:h="16838" w:orient="portrait"/>
          <w:cols w:equalWidth="0" w:num="1">
            <w:col w:w="10139"/>
          </w:cols>
          <w:pgMar w:left="320" w:top="828" w:right="1440" w:bottom="1440" w:gutter="0" w:footer="0" w:header="0"/>
        </w:sectPr>
      </w:pPr>
    </w:p>
    <w:bookmarkStart w:id="88" w:name="page89"/>
    <w:bookmarkEnd w:id="88"/>
    <w:p>
      <w:pPr>
        <w:jc w:val="center"/>
        <w:ind w:right="3299"/>
        <w:spacing w:after="0" w:line="501" w:lineRule="auto"/>
        <w:rPr>
          <w:sz w:val="20"/>
          <w:szCs w:val="20"/>
          <w:color w:val="auto"/>
        </w:rPr>
      </w:pPr>
      <w:r>
        <w:rPr>
          <w:rFonts w:ascii="Courier New" w:cs="Courier New" w:eastAsia="Courier New" w:hAnsi="Courier New"/>
          <w:sz w:val="15"/>
          <w:szCs w:val="15"/>
          <w:color w:val="auto"/>
        </w:rPr>
        <w:t>(30%)   of  the  then  outstanding  voting  stock  of  Portland  General Corporation,  otherwise  than  through  a  transaction  arranged  by,  or consummated with the prior approval of, the Board of Directors of Portland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Corporation ("PGC Board"), or</w:t>
      </w:r>
    </w:p>
    <w:p>
      <w:pPr>
        <w:spacing w:after="0" w:line="185" w:lineRule="exact"/>
        <w:rPr>
          <w:sz w:val="20"/>
          <w:szCs w:val="20"/>
          <w:color w:val="auto"/>
        </w:rPr>
      </w:pPr>
    </w:p>
    <w:p>
      <w:pPr>
        <w:jc w:val="both"/>
        <w:ind w:left="380" w:right="3299" w:firstLine="642"/>
        <w:spacing w:after="0" w:line="501" w:lineRule="auto"/>
        <w:tabs>
          <w:tab w:leader="none" w:pos="14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two (2) consecutive years, individuals who at the beginning of such period constitute the PGC Board (and any new PGC Board member whose election by the PGC Board or whose nomination for election by the stockholders of Portland General Corporation was approved by a vote of at least two-thirds (2/3) of the PGC Board members then still in office who either were PGC Board members at the beginning of such period or whose election or nomination for election was previously so approved) cease for any reason to constitute a majority thereof.</w:t>
      </w:r>
    </w:p>
    <w:p>
      <w:pPr>
        <w:spacing w:after="0" w:line="1"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2.7COMMITTEE.  "Committee" means  the Human Resources Committee of</w:t>
      </w:r>
    </w:p>
    <w:p>
      <w:pPr>
        <w:spacing w:after="0" w:line="200" w:lineRule="exact"/>
        <w:rPr>
          <w:sz w:val="20"/>
          <w:szCs w:val="20"/>
          <w:color w:val="auto"/>
        </w:rPr>
      </w:pPr>
    </w:p>
    <w:p>
      <w:pPr>
        <w:spacing w:after="0" w:line="340"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2.8 COMPANY. "Company" means Portland General Corporation, an Oregon Corporation.</w:t>
      </w: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2.9 COMPENSATION. "Compensation" means the total of the following, before reduction for elective deferrals under this Plan or a Participating Employer's tax qualified Retirement Savings Plan or any other flexible benefit plan:</w:t>
      </w:r>
    </w:p>
    <w:p>
      <w:pPr>
        <w:spacing w:after="0" w:line="1" w:lineRule="exact"/>
        <w:rPr>
          <w:sz w:val="20"/>
          <w:szCs w:val="20"/>
          <w:color w:val="auto"/>
        </w:rPr>
      </w:pPr>
    </w:p>
    <w:p>
      <w:pPr>
        <w:ind w:left="1480" w:hanging="458"/>
        <w:spacing w:after="0"/>
        <w:tabs>
          <w:tab w:leader="none" w:pos="14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spacing w:after="0" w:line="184" w:lineRule="exact"/>
        <w:rPr>
          <w:rFonts w:ascii="Courier New" w:cs="Courier New" w:eastAsia="Courier New" w:hAnsi="Courier New"/>
          <w:sz w:val="15"/>
          <w:szCs w:val="15"/>
          <w:color w:val="auto"/>
        </w:rPr>
      </w:pPr>
    </w:p>
    <w:p>
      <w:pPr>
        <w:ind w:left="1480" w:hanging="458"/>
        <w:spacing w:after="0"/>
        <w:tabs>
          <w:tab w:leader="none" w:pos="14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w:t>
      </w:r>
    </w:p>
    <w:p>
      <w:pPr>
        <w:spacing w:after="0" w:line="184" w:lineRule="exact"/>
        <w:rPr>
          <w:rFonts w:ascii="Courier New" w:cs="Courier New" w:eastAsia="Courier New" w:hAnsi="Courier New"/>
          <w:sz w:val="15"/>
          <w:szCs w:val="15"/>
          <w:color w:val="auto"/>
        </w:rPr>
      </w:pPr>
    </w:p>
    <w:p>
      <w:pPr>
        <w:jc w:val="both"/>
        <w:ind w:left="380" w:right="3299" w:firstLine="642"/>
        <w:spacing w:after="0" w:line="502" w:lineRule="auto"/>
        <w:tabs>
          <w:tab w:leader="none" w:pos="14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on the above payments credited by a Participating Employer for the benefit of an Eligible Employee prior to the date of payment, without</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3 - MANAGEMENT DEFERRED COMPENSATION PLAN</w:t>
      </w:r>
    </w:p>
    <w:p>
      <w:pPr>
        <w:sectPr>
          <w:pgSz w:w="11900" w:h="16838" w:orient="portrait"/>
          <w:cols w:equalWidth="0" w:num="1">
            <w:col w:w="10139"/>
          </w:cols>
          <w:pgMar w:left="320" w:top="828" w:right="1440" w:bottom="1440" w:gutter="0" w:footer="0" w:header="0"/>
        </w:sectPr>
      </w:pPr>
    </w:p>
    <w:bookmarkStart w:id="89" w:name="page90"/>
    <w:bookmarkEnd w:id="89"/>
    <w:p>
      <w:pPr>
        <w:ind w:right="3299"/>
        <w:spacing w:after="0" w:line="501" w:lineRule="auto"/>
        <w:rPr>
          <w:sz w:val="20"/>
          <w:szCs w:val="20"/>
          <w:color w:val="auto"/>
        </w:rPr>
      </w:pPr>
      <w:r>
        <w:rPr>
          <w:rFonts w:ascii="Courier New" w:cs="Courier New" w:eastAsia="Courier New" w:hAnsi="Courier New"/>
          <w:sz w:val="15"/>
          <w:szCs w:val="15"/>
          <w:color w:val="auto"/>
        </w:rPr>
        <w:t>respect to any deferral of Compensation made pursuant to this Plan, by a Participating Employer.</w:t>
      </w:r>
    </w:p>
    <w:p>
      <w:pPr>
        <w:jc w:val="right"/>
        <w:ind w:right="3299"/>
        <w:spacing w:after="0" w:line="501" w:lineRule="auto"/>
        <w:rPr>
          <w:sz w:val="20"/>
          <w:szCs w:val="20"/>
          <w:color w:val="auto"/>
        </w:rPr>
      </w:pPr>
      <w:r>
        <w:rPr>
          <w:rFonts w:ascii="Courier New" w:cs="Courier New" w:eastAsia="Courier New" w:hAnsi="Courier New"/>
          <w:sz w:val="15"/>
          <w:szCs w:val="15"/>
          <w:color w:val="auto"/>
        </w:rPr>
        <w:t>Compensation, for purposes of this Plan, may  include  any new form of cash  remuneration  paid  by  a  Participating  Employer  to any Eligible Employee  which is explicitly designated as deferrable pursuant  to  this Plan by the  Deferral  Election form approved by the Senior Administrative Officer.  Compensation for purposes of this Plan, does not include expense reimbursements, imputed  income,  or  any  form of noncash compensation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2.10   DEFERRAL  ELECTION.   "Deferral Election"  means  the  election completed by Participant in a form  approved  by the Senior Administrative Officer  which  indicates  Participant's irrevocable  election  to  defer Compensation as designated in  the  Deferral Election, pursuant to Article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2.11</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DETERMINATION DATE.</w:t>
            </w:r>
          </w:p>
        </w:tc>
        <w:tc>
          <w:tcPr>
            <w:tcW w:w="30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"Determination Date" means the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last day of</w:t>
            </w:r>
          </w:p>
        </w:tc>
      </w:tr>
      <w:tr>
        <w:trPr>
          <w:trHeight w:val="355"/>
        </w:trPr>
        <w:tc>
          <w:tcPr>
            <w:tcW w:w="2820" w:type="dxa"/>
            <w:vAlign w:val="bottom"/>
            <w:gridSpan w:val="2"/>
          </w:tcPr>
          <w:p>
            <w:pPr>
              <w:spacing w:after="0"/>
              <w:rPr>
                <w:sz w:val="20"/>
                <w:szCs w:val="20"/>
                <w:color w:val="auto"/>
              </w:rPr>
            </w:pPr>
            <w:r>
              <w:rPr>
                <w:rFonts w:ascii="Courier New" w:cs="Courier New" w:eastAsia="Courier New" w:hAnsi="Courier New"/>
                <w:sz w:val="15"/>
                <w:szCs w:val="15"/>
                <w:color w:val="auto"/>
              </w:rPr>
              <w:t>each calendar month.</w:t>
            </w:r>
          </w:p>
        </w:tc>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102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2.12</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DIRECT SUBSIDIARY.</w:t>
            </w:r>
          </w:p>
        </w:tc>
        <w:tc>
          <w:tcPr>
            <w:tcW w:w="30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"Direct  Subsidiary"  means any</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355"/>
        </w:trPr>
        <w:tc>
          <w:tcPr>
            <w:tcW w:w="3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 which a Participating Employer owns at</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least eighty  percent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  of</w:t>
            </w:r>
          </w:p>
        </w:tc>
      </w:tr>
      <w:tr>
        <w:trPr>
          <w:trHeight w:val="355"/>
        </w:trPr>
        <w:tc>
          <w:tcPr>
            <w:tcW w:w="1020" w:type="dxa"/>
            <w:vAlign w:val="bottom"/>
          </w:tcPr>
          <w:p>
            <w:pPr>
              <w:jc w:val="center"/>
              <w:ind w:left="23"/>
              <w:spacing w:after="0"/>
              <w:rPr>
                <w:sz w:val="20"/>
                <w:szCs w:val="20"/>
                <w:color w:val="auto"/>
              </w:rPr>
            </w:pPr>
            <w:r>
              <w:rPr>
                <w:rFonts w:ascii="Courier New" w:cs="Courier New" w:eastAsia="Courier New" w:hAnsi="Courier New"/>
                <w:sz w:val="15"/>
                <w:szCs w:val="15"/>
                <w:color w:val="auto"/>
              </w:rPr>
              <w:t>the  total</w:t>
            </w: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combined voting power of all</w:t>
            </w:r>
          </w:p>
        </w:tc>
        <w:tc>
          <w:tcPr>
            <w:tcW w:w="1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classes of its stock</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entitled to</w:t>
            </w:r>
          </w:p>
        </w:tc>
      </w:tr>
      <w:tr>
        <w:trPr>
          <w:trHeight w:val="355"/>
        </w:trPr>
        <w:tc>
          <w:tcPr>
            <w:tcW w:w="1020" w:type="dxa"/>
            <w:vAlign w:val="bottom"/>
          </w:tcPr>
          <w:p>
            <w:pPr>
              <w:spacing w:after="0"/>
              <w:rPr>
                <w:sz w:val="20"/>
                <w:szCs w:val="20"/>
                <w:color w:val="auto"/>
              </w:rPr>
            </w:pPr>
            <w:r>
              <w:rPr>
                <w:rFonts w:ascii="Courier New" w:cs="Courier New" w:eastAsia="Courier New" w:hAnsi="Courier New"/>
                <w:sz w:val="15"/>
                <w:szCs w:val="15"/>
                <w:color w:val="auto"/>
              </w:rPr>
              <w:t>vote.</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1020" w:type="dxa"/>
            <w:vAlign w:val="bottom"/>
          </w:tcPr>
          <w:p>
            <w:pPr>
              <w:jc w:val="center"/>
              <w:ind w:left="23"/>
              <w:spacing w:after="0"/>
              <w:rPr>
                <w:sz w:val="20"/>
                <w:szCs w:val="20"/>
                <w:color w:val="auto"/>
              </w:rPr>
            </w:pPr>
            <w:r>
              <w:rPr>
                <w:rFonts w:ascii="Courier New" w:cs="Courier New" w:eastAsia="Courier New" w:hAnsi="Courier New"/>
                <w:sz w:val="15"/>
                <w:szCs w:val="15"/>
                <w:color w:val="auto"/>
                <w:w w:val="99"/>
              </w:rPr>
              <w:t>2.13</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ELIGIBLE  EMPLOYEE.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"Eligible</w:t>
            </w: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Employee" means an employee of a</w:t>
            </w:r>
          </w:p>
        </w:tc>
      </w:tr>
    </w:tbl>
    <w:p>
      <w:pPr>
        <w:spacing w:after="0" w:line="200" w:lineRule="exact"/>
        <w:rPr>
          <w:sz w:val="20"/>
          <w:szCs w:val="20"/>
          <w:color w:val="auto"/>
        </w:rPr>
      </w:pPr>
    </w:p>
    <w:p>
      <w:pPr>
        <w:spacing w:after="0" w:line="338" w:lineRule="exact"/>
        <w:rPr>
          <w:sz w:val="20"/>
          <w:szCs w:val="20"/>
          <w:color w:val="auto"/>
        </w:rPr>
      </w:pPr>
    </w:p>
    <w:p>
      <w:pPr>
        <w:ind w:left="1480" w:hanging="458"/>
        <w:spacing w:after="0"/>
        <w:tabs>
          <w:tab w:leader="none" w:pos="14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exempt;</w:t>
      </w:r>
    </w:p>
    <w:p>
      <w:pPr>
        <w:spacing w:after="0" w:line="184" w:lineRule="exact"/>
        <w:rPr>
          <w:rFonts w:ascii="Courier New" w:cs="Courier New" w:eastAsia="Courier New" w:hAnsi="Courier New"/>
          <w:sz w:val="15"/>
          <w:szCs w:val="15"/>
          <w:color w:val="auto"/>
        </w:rPr>
      </w:pPr>
    </w:p>
    <w:p>
      <w:pPr>
        <w:ind w:left="1480" w:hanging="458"/>
        <w:spacing w:after="0"/>
        <w:tabs>
          <w:tab w:leader="none" w:pos="14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covered by a collective bargaining agreement; and</w:t>
      </w:r>
    </w:p>
    <w:p>
      <w:pPr>
        <w:spacing w:after="0" w:line="184" w:lineRule="exact"/>
        <w:rPr>
          <w:rFonts w:ascii="Courier New" w:cs="Courier New" w:eastAsia="Courier New" w:hAnsi="Courier New"/>
          <w:sz w:val="15"/>
          <w:szCs w:val="15"/>
          <w:color w:val="auto"/>
        </w:rPr>
      </w:pPr>
    </w:p>
    <w:p>
      <w:pPr>
        <w:jc w:val="both"/>
        <w:ind w:left="380" w:right="3299" w:firstLine="642"/>
        <w:spacing w:after="0" w:line="502" w:lineRule="auto"/>
        <w:tabs>
          <w:tab w:leader="none" w:pos="14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employed for the entire calendar year, receives or, based on current levels of base pay is expected to receive, Compensation from one (1) or more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4 - MANAGEMENT DEFERRED COMPENSATION PLAN</w:t>
      </w:r>
    </w:p>
    <w:p>
      <w:pPr>
        <w:sectPr>
          <w:pgSz w:w="11900" w:h="16838" w:orient="portrait"/>
          <w:cols w:equalWidth="0" w:num="1">
            <w:col w:w="10139"/>
          </w:cols>
          <w:pgMar w:left="320" w:top="828" w:right="1440" w:bottom="1440" w:gutter="0" w:footer="0" w:header="0"/>
        </w:sectPr>
      </w:pPr>
    </w:p>
    <w:bookmarkStart w:id="90" w:name="page91"/>
    <w:bookmarkEnd w:id="90"/>
    <w:p>
      <w:pPr>
        <w:ind w:right="3299"/>
        <w:spacing w:after="0" w:line="501" w:lineRule="auto"/>
        <w:rPr>
          <w:sz w:val="20"/>
          <w:szCs w:val="20"/>
          <w:color w:val="auto"/>
        </w:rPr>
      </w:pPr>
      <w:r>
        <w:rPr>
          <w:rFonts w:ascii="Courier New" w:cs="Courier New" w:eastAsia="Courier New" w:hAnsi="Courier New"/>
          <w:sz w:val="15"/>
          <w:szCs w:val="15"/>
          <w:color w:val="auto"/>
        </w:rPr>
        <w:t>Participating Employers in the calendar year, in an amount equal to or in excess of the threshold amount described in 2.13(e) below, or</w:t>
      </w:r>
    </w:p>
    <w:p>
      <w:pPr>
        <w:jc w:val="both"/>
        <w:ind w:left="380" w:right="3299" w:firstLine="642"/>
        <w:spacing w:after="0" w:line="501" w:lineRule="auto"/>
        <w:tabs>
          <w:tab w:leader="none" w:pos="14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employed for a part of the calendar year, receives or, based on an annualized level of base pay would have received, Compensation from one (1) or more Participating Employers in the calendar year, in an amount equal to or in excess of the threshold amount described in 2.13(e) below. Notwithstanding the above, eligibility is at the discretion of the Senior Administrative Officer.</w:t>
      </w:r>
    </w:p>
    <w:p>
      <w:pPr>
        <w:spacing w:after="0" w:line="1" w:lineRule="exact"/>
        <w:rPr>
          <w:rFonts w:ascii="Courier New" w:cs="Courier New" w:eastAsia="Courier New" w:hAnsi="Courier New"/>
          <w:sz w:val="15"/>
          <w:szCs w:val="15"/>
          <w:color w:val="auto"/>
        </w:rPr>
      </w:pPr>
    </w:p>
    <w:p>
      <w:pPr>
        <w:jc w:val="both"/>
        <w:ind w:left="380" w:right="3299" w:firstLine="642"/>
        <w:spacing w:after="0" w:line="501" w:lineRule="auto"/>
        <w:tabs>
          <w:tab w:leader="none" w:pos="14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threshold amount in calendar year 1994 and any subsequent year shall be sixty-six thousand dollars ($66,000). Such amount may be adjusted by the Senior Administrative Office each subsequent calendar year at the same time and in not less than the percentage ratio as the cost of living adjustment in the dollar limit on defined benefits under Section 415(d) of the Internal Revenue Code.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w:t>
            </w:r>
          </w:p>
        </w:tc>
        <w:tc>
          <w:tcPr>
            <w:tcW w:w="43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FINANCIAL EMERGENCY.  "Financial Emergency"</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means  a financial</w:t>
            </w:r>
          </w:p>
        </w:tc>
      </w:tr>
      <w:tr>
        <w:trPr>
          <w:trHeight w:val="355"/>
        </w:trPr>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need  resulting</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from</w:t>
            </w: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 serious unforeseen personal</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or family emergency,</w:t>
            </w:r>
          </w:p>
        </w:tc>
      </w:tr>
      <w:tr>
        <w:trPr>
          <w:trHeight w:val="355"/>
        </w:trPr>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such as</w:t>
            </w: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an act of God,</w:t>
            </w:r>
          </w:p>
        </w:tc>
        <w:tc>
          <w:tcPr>
            <w:tcW w:w="4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  adverse  business  or  financial  transaction,</w:t>
            </w:r>
          </w:p>
        </w:tc>
      </w:tr>
      <w:tr>
        <w:trPr>
          <w:trHeight w:val="355"/>
        </w:trPr>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divorce,</w:t>
            </w:r>
          </w:p>
        </w:tc>
        <w:tc>
          <w:tcPr>
            <w:tcW w:w="4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serious illness or accident, or death in the</w:t>
            </w:r>
          </w:p>
        </w:tc>
        <w:tc>
          <w:tcPr>
            <w:tcW w:w="1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family.</w:t>
            </w:r>
          </w:p>
        </w:tc>
      </w:tr>
      <w:tr>
        <w:trPr>
          <w:trHeight w:val="355"/>
        </w:trPr>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2.15</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INCENTIVE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rPr>
              <w:t>COMPENSATION.</w:t>
            </w: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"Incentive</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   means</w:t>
            </w:r>
          </w:p>
        </w:tc>
      </w:tr>
      <w:tr>
        <w:trPr>
          <w:trHeight w:val="355"/>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payments</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made</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  a</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rPr>
              <w:t>Participant</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  recognition</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of</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meritorious work</w:t>
            </w:r>
          </w:p>
        </w:tc>
      </w:tr>
    </w:tbl>
    <w:p>
      <w:pPr>
        <w:spacing w:after="0" w:line="183" w:lineRule="exact"/>
        <w:rPr>
          <w:sz w:val="20"/>
          <w:szCs w:val="20"/>
          <w:color w:val="auto"/>
        </w:rPr>
      </w:pPr>
    </w:p>
    <w:p>
      <w:pPr>
        <w:ind w:left="100" w:right="3299"/>
        <w:spacing w:after="0" w:line="501" w:lineRule="auto"/>
        <w:rPr>
          <w:sz w:val="20"/>
          <w:szCs w:val="20"/>
          <w:color w:val="auto"/>
        </w:rPr>
      </w:pPr>
      <w:r>
        <w:rPr>
          <w:rFonts w:ascii="Courier New" w:cs="Courier New" w:eastAsia="Courier New" w:hAnsi="Courier New"/>
          <w:sz w:val="15"/>
          <w:szCs w:val="15"/>
          <w:color w:val="auto"/>
        </w:rPr>
        <w:t>performance but shall not include, without limitation, any payment received as moving expense, mortgage expense or mortgage interest</w:t>
      </w:r>
    </w:p>
    <w:p>
      <w:pPr>
        <w:spacing w:after="0"/>
        <w:rPr>
          <w:sz w:val="20"/>
          <w:szCs w:val="20"/>
          <w:color w:val="auto"/>
        </w:rPr>
      </w:pPr>
      <w:r>
        <w:rPr>
          <w:rFonts w:ascii="Courier New" w:cs="Courier New" w:eastAsia="Courier New" w:hAnsi="Courier New"/>
          <w:sz w:val="15"/>
          <w:szCs w:val="15"/>
          <w:color w:val="auto"/>
        </w:rPr>
        <w:t>reimbursement.</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2.16   INDIRECT   SUBSIDIARY.    "Indirect   Subsidiary"   means   any corporation of which a Participating Employer directly and constructively owns  at  least eighty percent (80%) of the total combined voting power of</w:t>
      </w:r>
    </w:p>
    <w:p>
      <w:pPr>
        <w:spacing w:after="0" w:line="1"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5"/>
          <w:szCs w:val="15"/>
          <w:color w:val="auto"/>
        </w:rPr>
        <w:t>all classes of its stock entitled to vote.</w:t>
        <w:tab/>
        <w:t>In determining the amount of</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5 - MANAGEMENT DEFERRED COMPENSATION PLAN</w:t>
      </w:r>
    </w:p>
    <w:p>
      <w:pPr>
        <w:sectPr>
          <w:pgSz w:w="11900" w:h="16838" w:orient="portrait"/>
          <w:cols w:equalWidth="0" w:num="1">
            <w:col w:w="10139"/>
          </w:cols>
          <w:pgMar w:left="320" w:top="828" w:right="1440" w:bottom="1440" w:gutter="0" w:footer="0" w:header="0"/>
        </w:sectPr>
      </w:pPr>
    </w:p>
    <w:bookmarkStart w:id="91" w:name="page92"/>
    <w:bookmarkEnd w:id="91"/>
    <w:p>
      <w:pPr>
        <w:jc w:val="both"/>
        <w:ind w:right="3299"/>
        <w:spacing w:after="0" w:line="501" w:lineRule="auto"/>
        <w:rPr>
          <w:sz w:val="20"/>
          <w:szCs w:val="20"/>
          <w:color w:val="auto"/>
        </w:rPr>
      </w:pPr>
      <w:r>
        <w:rPr>
          <w:rFonts w:ascii="Courier New" w:cs="Courier New" w:eastAsia="Courier New" w:hAnsi="Courier New"/>
          <w:sz w:val="15"/>
          <w:szCs w:val="15"/>
          <w:color w:val="auto"/>
        </w:rPr>
        <w:t>stock of a corporation that is constructively owned by a Participating Employer, stock owned, directly or constructively, by a corporation shall be considered as being owned proportionately by its shareholders according to such shareholders' share of voting power of all classes of its stock entitled to vote.</w:t>
      </w:r>
    </w:p>
    <w:p>
      <w:pPr>
        <w:spacing w:after="0" w:line="1"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2.17   INTEREST.  "Interest" means the interest yield computed at  the monthly equivalent of an annual yield that is three (3) percentage points higher than the annual yield on Moody's Average Corporate Bond Yield Index for the three (3) calendar months preceding the immediately prior month as published  by  Moody's Investors Service, Inc. (or any successor thereto), or, if such index  is  no  longer published, a substantially similar index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by the Board.</w:t>
      </w:r>
    </w:p>
    <w:p>
      <w:pPr>
        <w:spacing w:after="0" w:line="185"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2.18 PAID TIME OFF. "Paid Time Off" means those vacation and holiday days for which the Employer pays employees for time not worked.</w:t>
      </w:r>
    </w:p>
    <w:p>
      <w:pPr>
        <w:jc w:val="both"/>
        <w:ind w:right="3299" w:firstLine="369"/>
        <w:spacing w:after="0" w:line="590" w:lineRule="auto"/>
        <w:rPr>
          <w:sz w:val="20"/>
          <w:szCs w:val="20"/>
          <w:color w:val="auto"/>
        </w:rPr>
      </w:pPr>
      <w:r>
        <w:rPr>
          <w:rFonts w:ascii="Courier New" w:cs="Courier New" w:eastAsia="Courier New" w:hAnsi="Courier New"/>
          <w:sz w:val="15"/>
          <w:szCs w:val="15"/>
          <w:color w:val="auto"/>
        </w:rPr>
        <w:t>2.19 PAID TIME OFF CANCELLATION. "Paid Time Off Cancellation" means cash payments made in lieu of Paid Time Off earned by an Eligible Employee.</w:t>
      </w:r>
    </w:p>
    <w:p>
      <w:pPr>
        <w:spacing w:after="0" w:line="229"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2.20 PARTICIPANT. "Participant" means any Eligible Employee who has elected to make deferrals under this Plan.</w:t>
      </w:r>
    </w:p>
    <w:p>
      <w:pPr>
        <w:jc w:val="right"/>
        <w:ind w:right="3299"/>
        <w:spacing w:after="0" w:line="501" w:lineRule="auto"/>
        <w:rPr>
          <w:sz w:val="20"/>
          <w:szCs w:val="20"/>
          <w:color w:val="auto"/>
        </w:rPr>
      </w:pPr>
      <w:r>
        <w:rPr>
          <w:rFonts w:ascii="Courier New" w:cs="Courier New" w:eastAsia="Courier New" w:hAnsi="Courier New"/>
          <w:sz w:val="15"/>
          <w:szCs w:val="15"/>
          <w:color w:val="auto"/>
        </w:rPr>
        <w:t>2.21   PARTICIPATING  EMPLOYER.   "Participating  Employer" means  the Company or any affiliated or subsidiary company designated by the Board as a Participating Employer under the Plan, as long as such  designation  has become  effective  and  continues  to be in effect.  The designation as a Participating Employer shall become effective  only upon the acceptance of such designation and the formal adoption of the  Plan  by  a Participating Employer.   A  Participating  Employer  may  revoke  its  acceptance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designation as a Participating Employer at any time, but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6 - MANAGEMENT DEFERRED COMPENSATION PLAN</w:t>
      </w:r>
    </w:p>
    <w:p>
      <w:pPr>
        <w:sectPr>
          <w:pgSz w:w="11900" w:h="16838" w:orient="portrait"/>
          <w:cols w:equalWidth="0" w:num="1">
            <w:col w:w="10139"/>
          </w:cols>
          <w:pgMar w:left="320" w:top="828" w:right="1440" w:bottom="1440" w:gutter="0" w:footer="0" w:header="0"/>
        </w:sectPr>
      </w:pPr>
    </w:p>
    <w:bookmarkStart w:id="92" w:name="page93"/>
    <w:bookmarkEnd w:id="92"/>
    <w:p>
      <w:pPr>
        <w:jc w:val="right"/>
        <w:ind w:right="3299"/>
        <w:spacing w:after="0" w:line="501" w:lineRule="auto"/>
        <w:rPr>
          <w:sz w:val="20"/>
          <w:szCs w:val="20"/>
          <w:color w:val="auto"/>
        </w:rPr>
      </w:pPr>
      <w:r>
        <w:rPr>
          <w:rFonts w:ascii="Courier New" w:cs="Courier New" w:eastAsia="Courier New" w:hAnsi="Courier New"/>
          <w:sz w:val="15"/>
          <w:szCs w:val="15"/>
          <w:color w:val="auto"/>
        </w:rPr>
        <w:t>until it makes such revocation, all of the provisions of this Plan and any amendments  thereto  shall  apply  to  the  Eligible  Employees  of  the</w:t>
      </w:r>
    </w:p>
    <w:p>
      <w:pPr>
        <w:spacing w:after="0"/>
        <w:rPr>
          <w:sz w:val="20"/>
          <w:szCs w:val="20"/>
          <w:color w:val="auto"/>
        </w:rPr>
      </w:pPr>
      <w:r>
        <w:rPr>
          <w:rFonts w:ascii="Courier New" w:cs="Courier New" w:eastAsia="Courier New" w:hAnsi="Courier New"/>
          <w:sz w:val="15"/>
          <w:szCs w:val="15"/>
          <w:color w:val="auto"/>
        </w:rPr>
        <w:t>Participating Employer and their Beneficiaries.</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2.22   PENSION   PLAN.    "Pension   Plan"   means  the  Participating Employer's Pension Plan, as may be amended from time  to  time,  and  any successor  defined  benefit  retirement income plan or plans maintained by the Participating Employer which  qualify  under  Section  401(a)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Revenue Code.</w:t>
      </w:r>
    </w:p>
    <w:p>
      <w:pPr>
        <w:spacing w:after="0" w:line="185"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2.23 PLAN. "Plan" means the Portland General Corporation Management Deferred Compensation Plan, as may be amended from time to time.</w:t>
      </w: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2.24 POLICIES. "Policies" means any life insurance policies, annuity contracts or the proceeds therefrom owned or which may be acquired by Participating Employer.</w:t>
      </w:r>
    </w:p>
    <w:p>
      <w:pPr>
        <w:spacing w:after="0" w:line="1" w:lineRule="exact"/>
        <w:rPr>
          <w:sz w:val="20"/>
          <w:szCs w:val="20"/>
          <w:color w:val="auto"/>
        </w:rPr>
      </w:pPr>
    </w:p>
    <w:p>
      <w:pPr>
        <w:jc w:val="both"/>
        <w:ind w:right="3299" w:firstLine="369"/>
        <w:spacing w:after="0" w:line="502" w:lineRule="auto"/>
        <w:rPr>
          <w:sz w:val="20"/>
          <w:szCs w:val="20"/>
          <w:color w:val="auto"/>
        </w:rPr>
      </w:pPr>
      <w:r>
        <w:rPr>
          <w:rFonts w:ascii="Courier New" w:cs="Courier New" w:eastAsia="Courier New" w:hAnsi="Courier New"/>
          <w:sz w:val="15"/>
          <w:szCs w:val="15"/>
          <w:color w:val="auto"/>
        </w:rPr>
        <w:t>2.25 SENIOR ADMINISTRATIVE OFFICER. "Senior Administrative Officer" means the employee in the management position designated by the Committee to administer the Plan.</w:t>
      </w:r>
    </w:p>
    <w:p>
      <w:pPr>
        <w:spacing w:after="0" w:line="353"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ARTICLE III</w:t>
      </w:r>
    </w:p>
    <w:p>
      <w:pPr>
        <w:spacing w:after="0" w:line="185"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ELIGIBILITY AND DEFERRALS</w:t>
      </w:r>
    </w:p>
    <w:p>
      <w:pPr>
        <w:spacing w:after="0" w:line="185" w:lineRule="exact"/>
        <w:rPr>
          <w:sz w:val="20"/>
          <w:szCs w:val="20"/>
          <w:color w:val="auto"/>
        </w:rPr>
      </w:pPr>
    </w:p>
    <w:p>
      <w:pPr>
        <w:ind w:left="380"/>
        <w:spacing w:after="0"/>
        <w:tabs>
          <w:tab w:leader="none" w:pos="10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ELIGIBILITY.</w:t>
      </w:r>
    </w:p>
    <w:p>
      <w:pPr>
        <w:spacing w:after="0" w:line="185" w:lineRule="exact"/>
        <w:rPr>
          <w:sz w:val="20"/>
          <w:szCs w:val="20"/>
          <w:color w:val="auto"/>
        </w:rPr>
      </w:pPr>
    </w:p>
    <w:p>
      <w:pPr>
        <w:jc w:val="both"/>
        <w:ind w:left="380" w:right="3299" w:firstLine="642"/>
        <w:spacing w:after="0" w:line="501" w:lineRule="auto"/>
        <w:tabs>
          <w:tab w:leader="none" w:pos="14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 Eligible Employee who has completed one (1) year of continuous employment with one (1) or more Participating Employers shall be eligible to participate by making a Deferral Election under Paragraph 3.2 below. The Senior Administrative Officer shall notify Eligible Employees about the Plan and the benefits provided under it. The requirement of one (1) year of continuous employment may be waived by the Senior Administrative Officer.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7 - MANAGEMENT DEFERRED COMPENSATION PLAN</w:t>
      </w:r>
    </w:p>
    <w:p>
      <w:pPr>
        <w:sectPr>
          <w:pgSz w:w="11900" w:h="16838" w:orient="portrait"/>
          <w:cols w:equalWidth="0" w:num="1">
            <w:col w:w="10139"/>
          </w:cols>
          <w:pgMar w:left="320" w:top="828" w:right="1440" w:bottom="1440" w:gutter="0" w:footer="0" w:header="0"/>
        </w:sectPr>
      </w:pPr>
    </w:p>
    <w:bookmarkStart w:id="93" w:name="page94"/>
    <w:bookmarkEnd w:id="93"/>
    <w:p>
      <w:pPr>
        <w:jc w:val="both"/>
        <w:ind w:left="380" w:right="3299" w:firstLine="642"/>
        <w:spacing w:after="0" w:line="501" w:lineRule="auto"/>
        <w:tabs>
          <w:tab w:leader="none" w:pos="14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ELIGIBILITY. An Eligible Employee who ceases to satisfy condition 2.13(a) or 2.13(b) of the definition of Eligible Employee shall cease participating as to new deferrals immediately. An Eligible Employee who ceases to satisfy condition 2.13(c) of the definition of Eligible Employee may continue to participate in the Plan if such individual has a current Account under the Plan at the time the employee ceases to satisfy condition 2.13(c).</w:t>
      </w:r>
    </w:p>
    <w:p>
      <w:pPr>
        <w:spacing w:after="0" w:line="1"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3.2DEFERRAL ELECTIONS.</w:t>
      </w:r>
    </w:p>
    <w:p>
      <w:pPr>
        <w:spacing w:after="0" w:line="185" w:lineRule="exact"/>
        <w:rPr>
          <w:sz w:val="20"/>
          <w:szCs w:val="20"/>
          <w:color w:val="auto"/>
        </w:rPr>
      </w:pPr>
    </w:p>
    <w:p>
      <w:pPr>
        <w:jc w:val="both"/>
        <w:ind w:left="380" w:right="3299" w:firstLine="642"/>
        <w:spacing w:after="0" w:line="501" w:lineRule="auto"/>
        <w:tabs>
          <w:tab w:leader="none" w:pos="14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ELECTIONS. An Eligible Employee may elect to participate in the Plan with respect to any Compensation and/or Paid Time Off Cancellation designated in a Deferral Election in a form approved by the Senior Administrative Officer. The Deferral Election must be filed with the Senior Administrative Officer no later than December 15, or such shorter period as is designated in the Deferral Election form.</w:t>
      </w:r>
    </w:p>
    <w:p>
      <w:pPr>
        <w:spacing w:after="0" w:line="1" w:lineRule="exact"/>
        <w:rPr>
          <w:rFonts w:ascii="Courier New" w:cs="Courier New" w:eastAsia="Courier New" w:hAnsi="Courier New"/>
          <w:sz w:val="15"/>
          <w:szCs w:val="15"/>
          <w:color w:val="auto"/>
        </w:rPr>
      </w:pPr>
    </w:p>
    <w:p>
      <w:pPr>
        <w:jc w:val="both"/>
        <w:ind w:left="380" w:right="3299" w:firstLine="642"/>
        <w:spacing w:after="0" w:line="501" w:lineRule="auto"/>
        <w:tabs>
          <w:tab w:leader="none" w:pos="14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MID-YEAR ELIGIBILITY. If an individual first becomes eligible to participate during a calendar year and wishes to defer Compensation and/or Paid Time Off Cancellation during the remainder of the year, a Deferral Election may be filed no later than thirty (30) days following notification of eligibility to participate to the individual by the Senior Administrative Officer. Such Deferral Election shall be effective only with regard to Compensation and/or Paid Time Off Cancellation earned after it is filed with the Senior Administrative Officer.</w:t>
      </w:r>
    </w:p>
    <w:p>
      <w:pPr>
        <w:spacing w:after="0" w:line="1" w:lineRule="exact"/>
        <w:rPr>
          <w:rFonts w:ascii="Courier New" w:cs="Courier New" w:eastAsia="Courier New" w:hAnsi="Courier New"/>
          <w:sz w:val="15"/>
          <w:szCs w:val="15"/>
          <w:color w:val="auto"/>
        </w:rPr>
      </w:pPr>
    </w:p>
    <w:p>
      <w:pPr>
        <w:jc w:val="both"/>
        <w:ind w:left="380" w:right="3299" w:firstLine="642"/>
        <w:spacing w:after="0" w:line="502" w:lineRule="auto"/>
        <w:tabs>
          <w:tab w:leader="none" w:pos="14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IRREVOCABILITY. A Deferral Election for the following calendar year shall become irrevocable on the December 15 by which it is due under Paragraph 3.2(a) and a</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8 - MANAGEMENT DEFERRED COMPENSATION PLAN</w:t>
      </w:r>
    </w:p>
    <w:p>
      <w:pPr>
        <w:sectPr>
          <w:pgSz w:w="11900" w:h="16838" w:orient="portrait"/>
          <w:cols w:equalWidth="0" w:num="1">
            <w:col w:w="10139"/>
          </w:cols>
          <w:pgMar w:left="320" w:top="828" w:right="1440" w:bottom="1440" w:gutter="0" w:footer="0" w:header="0"/>
        </w:sectPr>
      </w:pPr>
    </w:p>
    <w:bookmarkStart w:id="94" w:name="page95"/>
    <w:bookmarkEnd w:id="94"/>
    <w:p>
      <w:pPr>
        <w:jc w:val="both"/>
        <w:ind w:right="3299"/>
        <w:spacing w:after="0" w:line="501" w:lineRule="auto"/>
        <w:rPr>
          <w:sz w:val="20"/>
          <w:szCs w:val="20"/>
          <w:color w:val="auto"/>
        </w:rPr>
      </w:pPr>
      <w:r>
        <w:rPr>
          <w:rFonts w:ascii="Courier New" w:cs="Courier New" w:eastAsia="Courier New" w:hAnsi="Courier New"/>
          <w:sz w:val="15"/>
          <w:szCs w:val="15"/>
          <w:color w:val="auto"/>
        </w:rPr>
        <w:t>Deferral Election for the current calendar year shall become irrevocable upon filing with the Senior Administrative Officer under Paragraph 3.2(b).</w:t>
      </w:r>
    </w:p>
    <w:p>
      <w:pPr>
        <w:jc w:val="both"/>
        <w:ind w:left="380" w:right="3299" w:firstLine="642"/>
        <w:spacing w:after="0" w:line="501" w:lineRule="auto"/>
        <w:tabs>
          <w:tab w:leader="none" w:pos="14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TO A PARTICIPATING EMPLOYER. If a Participant transfers employment from one (1) Participating Employer to another Participating Employer, the Participant's Deferral Election shall remain in effect for the remainder of the calendar year with respect to Compensation earned by the individual after the transfer to the new Participating Employer.</w:t>
      </w:r>
    </w:p>
    <w:p>
      <w:pPr>
        <w:spacing w:after="0" w:line="1"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3.3LIMITS ON ELECTIVE DEFERRALS.  A Participant may elect to defer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gridSpan w:val="4"/>
          </w:tcPr>
          <w:p>
            <w:pPr>
              <w:spacing w:after="0"/>
              <w:rPr>
                <w:sz w:val="20"/>
                <w:szCs w:val="20"/>
                <w:color w:val="auto"/>
              </w:rPr>
            </w:pPr>
            <w:r>
              <w:rPr>
                <w:rFonts w:ascii="Courier New" w:cs="Courier New" w:eastAsia="Courier New" w:hAnsi="Courier New"/>
                <w:sz w:val="15"/>
                <w:szCs w:val="15"/>
                <w:color w:val="auto"/>
              </w:rPr>
              <w:t>up to eighty percent (80%)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Base Salary</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up  to</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one</w:t>
            </w:r>
          </w:p>
        </w:tc>
        <w:tc>
          <w:tcPr>
            <w:tcW w:w="1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hundred percent</w:t>
            </w:r>
          </w:p>
        </w:tc>
      </w:tr>
      <w:tr>
        <w:trPr>
          <w:trHeight w:val="355"/>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(100%) of Bonuses.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level</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deferral</w:t>
            </w:r>
          </w:p>
        </w:tc>
        <w:tc>
          <w:tcPr>
            <w:tcW w:w="10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elected in</w:t>
            </w:r>
          </w:p>
        </w:tc>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either</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case</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must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r>
      <w:tr>
        <w:trPr>
          <w:trHeight w:val="355"/>
        </w:trPr>
        <w:tc>
          <w:tcPr>
            <w:tcW w:w="3140" w:type="dxa"/>
            <w:vAlign w:val="bottom"/>
            <w:gridSpan w:val="6"/>
          </w:tcPr>
          <w:p>
            <w:pPr>
              <w:jc w:val="right"/>
              <w:ind w:right="3"/>
              <w:spacing w:after="0"/>
              <w:rPr>
                <w:sz w:val="20"/>
                <w:szCs w:val="20"/>
                <w:color w:val="auto"/>
              </w:rPr>
            </w:pPr>
            <w:r>
              <w:rPr>
                <w:rFonts w:ascii="Courier New" w:cs="Courier New" w:eastAsia="Courier New" w:hAnsi="Courier New"/>
                <w:sz w:val="15"/>
                <w:szCs w:val="15"/>
                <w:color w:val="auto"/>
              </w:rPr>
              <w:t>in  one percent (1%) increments.</w:t>
            </w:r>
          </w:p>
        </w:tc>
        <w:tc>
          <w:tcPr>
            <w:tcW w:w="17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A Participant may</w:t>
            </w:r>
          </w:p>
        </w:tc>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elect to defer up</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355"/>
        </w:trPr>
        <w:tc>
          <w:tcPr>
            <w:tcW w:w="1060" w:type="dxa"/>
            <w:vAlign w:val="bottom"/>
          </w:tcPr>
          <w:p>
            <w:pPr>
              <w:spacing w:after="0"/>
              <w:rPr>
                <w:sz w:val="20"/>
                <w:szCs w:val="20"/>
                <w:color w:val="auto"/>
              </w:rPr>
            </w:pPr>
            <w:r>
              <w:rPr>
                <w:rFonts w:ascii="Courier New" w:cs="Courier New" w:eastAsia="Courier New" w:hAnsi="Courier New"/>
                <w:sz w:val="15"/>
                <w:szCs w:val="15"/>
                <w:color w:val="auto"/>
              </w:rPr>
              <w:t>one hundred</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twenty</w:t>
            </w:r>
          </w:p>
        </w:tc>
        <w:tc>
          <w:tcPr>
            <w:tcW w:w="7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(120)</w:t>
            </w:r>
          </w:p>
        </w:tc>
        <w:tc>
          <w:tcPr>
            <w:tcW w:w="6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hours</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per  year of</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Paid</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Time Off in one-tenth</w:t>
            </w:r>
          </w:p>
        </w:tc>
      </w:tr>
      <w:tr>
        <w:trPr>
          <w:trHeight w:val="355"/>
        </w:trPr>
        <w:tc>
          <w:tcPr>
            <w:tcW w:w="1060" w:type="dxa"/>
            <w:vAlign w:val="bottom"/>
          </w:tcPr>
          <w:p>
            <w:pPr>
              <w:spacing w:after="0"/>
              <w:rPr>
                <w:sz w:val="20"/>
                <w:szCs w:val="20"/>
                <w:color w:val="auto"/>
              </w:rPr>
            </w:pPr>
            <w:r>
              <w:rPr>
                <w:rFonts w:ascii="Courier New" w:cs="Courier New" w:eastAsia="Courier New" w:hAnsi="Courier New"/>
                <w:sz w:val="15"/>
                <w:szCs w:val="15"/>
                <w:color w:val="auto"/>
              </w:rPr>
              <w:t>(1/10) hour</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increments,</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but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may not defer</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any</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Paid</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Time</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Off</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earned in</w:t>
            </w:r>
          </w:p>
        </w:tc>
      </w:tr>
    </w:tbl>
    <w:p>
      <w:pPr>
        <w:spacing w:after="0" w:line="183" w:lineRule="exact"/>
        <w:rPr>
          <w:sz w:val="20"/>
          <w:szCs w:val="20"/>
          <w:color w:val="auto"/>
        </w:rPr>
      </w:pPr>
    </w:p>
    <w:p>
      <w:pPr>
        <w:ind w:left="100"/>
        <w:spacing w:after="0"/>
        <w:tabs>
          <w:tab w:leader="none" w:pos="720" w:val="left"/>
          <w:tab w:leader="none" w:pos="6440" w:val="left"/>
        </w:tabs>
        <w:rPr>
          <w:sz w:val="20"/>
          <w:szCs w:val="20"/>
          <w:color w:val="auto"/>
        </w:rPr>
      </w:pPr>
      <w:r>
        <w:rPr>
          <w:rFonts w:ascii="Courier New" w:cs="Courier New" w:eastAsia="Courier New" w:hAnsi="Courier New"/>
          <w:sz w:val="15"/>
          <w:szCs w:val="15"/>
          <w:color w:val="auto"/>
        </w:rPr>
        <w:t>prior</w:t>
        <w:tab/>
        <w:t>calendar years, or the first two hundred (200) hours of Paid</w:t>
        <w:tab/>
        <w:t>Time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 earned in the calendar year to which the Deferral Election relates.</w:t>
      </w:r>
    </w:p>
    <w:p>
      <w:pPr>
        <w:spacing w:after="0" w:line="185" w:lineRule="exact"/>
        <w:rPr>
          <w:sz w:val="20"/>
          <w:szCs w:val="20"/>
          <w:color w:val="auto"/>
        </w:rPr>
      </w:pPr>
    </w:p>
    <w:p>
      <w:pPr>
        <w:ind w:left="380"/>
        <w:spacing w:after="0"/>
        <w:tabs>
          <w:tab w:leader="none" w:pos="1000" w:val="left"/>
          <w:tab w:leader="none" w:pos="2020" w:val="left"/>
          <w:tab w:leader="none" w:pos="3580" w:val="left"/>
          <w:tab w:leader="none" w:pos="4040" w:val="left"/>
          <w:tab w:leader="none" w:pos="5440" w:val="left"/>
          <w:tab w:leader="none" w:pos="63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MATCHING</w:t>
      </w:r>
      <w:r>
        <w:rPr>
          <w:sz w:val="20"/>
          <w:szCs w:val="20"/>
          <w:color w:val="auto"/>
        </w:rPr>
        <w:tab/>
      </w:r>
      <w:r>
        <w:rPr>
          <w:rFonts w:ascii="Courier New" w:cs="Courier New" w:eastAsia="Courier New" w:hAnsi="Courier New"/>
          <w:sz w:val="15"/>
          <w:szCs w:val="15"/>
          <w:color w:val="auto"/>
        </w:rPr>
        <w:t>CONTRIBUTIONS.</w:t>
      </w:r>
      <w:r>
        <w:rPr>
          <w:sz w:val="20"/>
          <w:szCs w:val="20"/>
          <w:color w:val="auto"/>
        </w:rPr>
        <w:tab/>
      </w:r>
      <w:r>
        <w:rPr>
          <w:rFonts w:ascii="Courier New" w:cs="Courier New" w:eastAsia="Courier New" w:hAnsi="Courier New"/>
          <w:sz w:val="15"/>
          <w:szCs w:val="15"/>
          <w:color w:val="auto"/>
        </w:rPr>
        <w:t>The</w:t>
        <w:tab/>
        <w:t>Participating</w:t>
        <w:tab/>
        <w:t>Employer</w:t>
        <w:tab/>
        <w:t>shall</w:t>
      </w:r>
    </w:p>
    <w:p>
      <w:pPr>
        <w:spacing w:after="0" w:line="185" w:lineRule="exact"/>
        <w:rPr>
          <w:sz w:val="20"/>
          <w:szCs w:val="20"/>
          <w:color w:val="auto"/>
        </w:rPr>
      </w:pPr>
    </w:p>
    <w:p>
      <w:pPr>
        <w:jc w:val="center"/>
        <w:ind w:right="3299"/>
        <w:spacing w:after="0" w:line="501" w:lineRule="auto"/>
        <w:rPr>
          <w:sz w:val="20"/>
          <w:szCs w:val="20"/>
          <w:color w:val="auto"/>
        </w:rPr>
      </w:pPr>
      <w:r>
        <w:rPr>
          <w:rFonts w:ascii="Courier New" w:cs="Courier New" w:eastAsia="Courier New" w:hAnsi="Courier New"/>
          <w:sz w:val="15"/>
          <w:szCs w:val="15"/>
          <w:color w:val="auto"/>
        </w:rPr>
        <w:t>provide  a matching contribution  for  each  Participant  who  is  making deferrals of Base Salary under this Plan.  The matching contribution shall be six percent  (6%)  of  the  Participant's  annual  elective Base Salary deferral  under this Plan.  For purposes of this provision,  Base  Salary shall not include  amounts  received  as  a  Nuclear Regulatory Commission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licensing bonus.</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3.5    WELFARE BENEFITS.  Compensation deferred  under this Plan shall constitute compensation for purposes of any welfare plans,  (as defined by the  Employee  Retirement  Income  Security  Act  of  1974,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sponsored by the Participating Employer.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 MANAGEMENT DEFERRED COMPENSATION PLAN</w:t>
      </w:r>
    </w:p>
    <w:p>
      <w:pPr>
        <w:sectPr>
          <w:pgSz w:w="11900" w:h="16838" w:orient="portrait"/>
          <w:cols w:equalWidth="0" w:num="1">
            <w:col w:w="10139"/>
          </w:cols>
          <w:pgMar w:left="320" w:top="828" w:right="1440" w:bottom="1440" w:gutter="0" w:footer="0" w:header="0"/>
        </w:sectPr>
      </w:pPr>
    </w:p>
    <w:bookmarkStart w:id="95" w:name="page96"/>
    <w:bookmarkEnd w:id="95"/>
    <w:p>
      <w:pPr>
        <w:jc w:val="center"/>
        <w:ind w:right="4219"/>
        <w:spacing w:after="0"/>
        <w:rPr>
          <w:sz w:val="20"/>
          <w:szCs w:val="20"/>
          <w:color w:val="auto"/>
        </w:rPr>
      </w:pPr>
      <w:r>
        <w:rPr>
          <w:rFonts w:ascii="Courier New" w:cs="Courier New" w:eastAsia="Courier New" w:hAnsi="Courier New"/>
          <w:sz w:val="15"/>
          <w:szCs w:val="15"/>
          <w:color w:val="auto"/>
        </w:rPr>
        <w:t>ARTICLE IV</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DEFERRED COMPENSATION ACCOUNT</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4.1    CREDITING TO ACCOUNT.  The amount of the elective deferrals and matching contributions for a Participant under this Plan shall be credited to  an  Account  for  the  Participant  on  the books of the Participating Employer at the time the Compensation would have  been  paid in cash.  Any taxes  or  other  amounts  due from the Participant with respect  to  the deferred Compensation under federal,  state  or  local  law,  such  as  a Participant's   share   of  FICA,  shall  be  withheld  from  nondeferred Compensation payable to the  Participant  at the time the deferred amounts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credited to the Account.</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4.2    DETERMINATION OF ACCOUNTS.  The last day of each calendar month shall be a Determination Date.  Each Participant's  Account  as  of  each Determination  Date  shall consist of the balance of the Account as of the immediately preceding  Determination Date, plus the Participant's elective deferrals, matching contributions,  and Interest credited under this Plan, minus the amount of any distributions  made  from  this  Plan  since  the immediately  preceding  Determination  Date.   Interest  credited shall be calculated  as  of  each Determination Date based upon the average  daily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of the Account since the preceding Determination Date.</w:t>
      </w:r>
    </w:p>
    <w:p>
      <w:pPr>
        <w:spacing w:after="0" w:line="185"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4.3 VESTING OF ACCOUNTS. Account balances in this Plan shall be fully vested at all times.</w:t>
      </w:r>
    </w:p>
    <w:p>
      <w:pPr>
        <w:jc w:val="right"/>
        <w:ind w:right="3299"/>
        <w:spacing w:after="0" w:line="501" w:lineRule="auto"/>
        <w:rPr>
          <w:sz w:val="20"/>
          <w:szCs w:val="20"/>
          <w:color w:val="auto"/>
        </w:rPr>
      </w:pPr>
      <w:r>
        <w:rPr>
          <w:rFonts w:ascii="Courier New" w:cs="Courier New" w:eastAsia="Courier New" w:hAnsi="Courier New"/>
          <w:sz w:val="15"/>
          <w:szCs w:val="15"/>
          <w:color w:val="auto"/>
        </w:rPr>
        <w:t>4.4    STATEMENT OF ACCOUNTS.  The Senior Administrative Officer shall submit to each Participant, after the close of  each  calendar quarter and at such other times as determined by the Senior Administrative  Officer  a statement  setting  forth  the  balance of the Account maintained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10 - MANAGEMENT DEFERRED COMPENSATION PLAN</w:t>
      </w:r>
    </w:p>
    <w:p>
      <w:pPr>
        <w:sectPr>
          <w:pgSz w:w="11900" w:h="16838" w:orient="portrait"/>
          <w:cols w:equalWidth="0" w:num="1">
            <w:col w:w="10139"/>
          </w:cols>
          <w:pgMar w:left="320" w:top="828" w:right="1440" w:bottom="1440" w:gutter="0" w:footer="0" w:header="0"/>
        </w:sectPr>
      </w:pPr>
    </w:p>
    <w:bookmarkStart w:id="96" w:name="page97"/>
    <w:bookmarkEnd w:id="96"/>
    <w:p>
      <w:pPr>
        <w:jc w:val="center"/>
        <w:ind w:right="4139"/>
        <w:spacing w:after="0"/>
        <w:rPr>
          <w:sz w:val="20"/>
          <w:szCs w:val="20"/>
          <w:color w:val="auto"/>
        </w:rPr>
      </w:pPr>
      <w:r>
        <w:rPr>
          <w:rFonts w:ascii="Courier New" w:cs="Courier New" w:eastAsia="Courier New" w:hAnsi="Courier New"/>
          <w:sz w:val="15"/>
          <w:szCs w:val="15"/>
          <w:color w:val="auto"/>
        </w:rPr>
        <w:t>ARTICLE V</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PLAN BENEFITS</w:t>
      </w:r>
    </w:p>
    <w:p>
      <w:pPr>
        <w:spacing w:after="0" w:line="185" w:lineRule="exact"/>
        <w:rPr>
          <w:sz w:val="20"/>
          <w:szCs w:val="20"/>
          <w:color w:val="auto"/>
        </w:rPr>
      </w:pPr>
    </w:p>
    <w:p>
      <w:pPr>
        <w:ind w:left="380"/>
        <w:spacing w:after="0"/>
        <w:tabs>
          <w:tab w:leader="none" w:pos="10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BENEFITS.</w:t>
      </w:r>
    </w:p>
    <w:p>
      <w:pPr>
        <w:spacing w:after="0" w:line="185" w:lineRule="exact"/>
        <w:rPr>
          <w:sz w:val="20"/>
          <w:szCs w:val="20"/>
          <w:color w:val="auto"/>
        </w:rPr>
      </w:pPr>
    </w:p>
    <w:p>
      <w:pPr>
        <w:jc w:val="both"/>
        <w:ind w:left="380" w:right="3299" w:firstLine="642"/>
        <w:spacing w:after="0" w:line="501" w:lineRule="auto"/>
        <w:tabs>
          <w:tab w:leader="none" w:pos="14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ENTITLEMENT TO BENEFITS AT TERMINATION. Benefits under this Plan shall be payable to a Participant on termination of employment with the Participating Employer, Portland General Corporation, and any and all Direct or Indirect Subsidiaries of Portland General Corporation. The amount of the benefit shall be the balance of the Participant's Account including Interest to the date of payment, in the form elected under Paragraph 5.3 below.</w:t>
      </w:r>
    </w:p>
    <w:p>
      <w:pPr>
        <w:spacing w:after="0" w:line="1" w:lineRule="exact"/>
        <w:rPr>
          <w:rFonts w:ascii="Courier New" w:cs="Courier New" w:eastAsia="Courier New" w:hAnsi="Courier New"/>
          <w:sz w:val="15"/>
          <w:szCs w:val="15"/>
          <w:color w:val="auto"/>
        </w:rPr>
      </w:pPr>
    </w:p>
    <w:p>
      <w:pPr>
        <w:jc w:val="both"/>
        <w:ind w:left="380" w:right="3299" w:firstLine="642"/>
        <w:spacing w:after="0" w:line="501" w:lineRule="auto"/>
        <w:tabs>
          <w:tab w:leader="none" w:pos="14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ENTITLEMENT TO BENEFITS AT DEATH. Upon the death of a Participant for whom an Account is held under this Plan, a death benefit shall be payable to the Participant's Beneficiary in the same form as the Participant elected for payments at termination of employment, under Paragraph 5.3 below. The amount of the benefit shall be the balance of the Participant's Account including Interest to the date of payment.</w:t>
      </w:r>
    </w:p>
    <w:p>
      <w:pPr>
        <w:spacing w:after="0" w:line="1" w:lineRule="exact"/>
        <w:rPr>
          <w:sz w:val="20"/>
          <w:szCs w:val="20"/>
          <w:color w:val="auto"/>
        </w:rPr>
      </w:pPr>
    </w:p>
    <w:p>
      <w:pPr>
        <w:ind w:left="380"/>
        <w:spacing w:after="0"/>
        <w:tabs>
          <w:tab w:leader="none" w:pos="1000" w:val="left"/>
          <w:tab w:leader="none" w:pos="2300" w:val="left"/>
          <w:tab w:leader="none" w:pos="2840" w:val="left"/>
          <w:tab w:leader="none" w:pos="3860" w:val="left"/>
          <w:tab w:leader="none" w:pos="5060" w:val="left"/>
          <w:tab w:leader="none" w:pos="5340" w:val="left"/>
          <w:tab w:leader="none" w:pos="654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WITHDRAWALS</w:t>
      </w:r>
      <w:r>
        <w:rPr>
          <w:sz w:val="20"/>
          <w:szCs w:val="20"/>
          <w:color w:val="auto"/>
        </w:rPr>
        <w:tab/>
      </w:r>
      <w:r>
        <w:rPr>
          <w:rFonts w:ascii="Courier New" w:cs="Courier New" w:eastAsia="Courier New" w:hAnsi="Courier New"/>
          <w:sz w:val="15"/>
          <w:szCs w:val="15"/>
          <w:color w:val="auto"/>
        </w:rPr>
        <w:t>FOR</w:t>
        <w:tab/>
        <w:t>FINANCIAL</w:t>
        <w:tab/>
        <w:t>EMERGENCY.</w:t>
      </w:r>
      <w:r>
        <w:rPr>
          <w:sz w:val="20"/>
          <w:szCs w:val="20"/>
          <w:color w:val="auto"/>
        </w:rPr>
        <w:tab/>
      </w:r>
      <w:r>
        <w:rPr>
          <w:rFonts w:ascii="Courier New" w:cs="Courier New" w:eastAsia="Courier New" w:hAnsi="Courier New"/>
          <w:sz w:val="15"/>
          <w:szCs w:val="15"/>
          <w:color w:val="auto"/>
        </w:rPr>
        <w:t>A</w:t>
        <w:tab/>
        <w:t>Participant</w:t>
        <w:tab/>
        <w:t>may</w:t>
      </w:r>
    </w:p>
    <w:p>
      <w:pPr>
        <w:spacing w:after="0" w:line="185" w:lineRule="exact"/>
        <w:rPr>
          <w:sz w:val="20"/>
          <w:szCs w:val="20"/>
          <w:color w:val="auto"/>
        </w:rPr>
      </w:pPr>
    </w:p>
    <w:p>
      <w:pPr>
        <w:ind w:left="100"/>
        <w:spacing w:after="0"/>
        <w:tabs>
          <w:tab w:leader="none" w:pos="1000" w:val="left"/>
          <w:tab w:leader="none" w:pos="1560" w:val="left"/>
          <w:tab w:leader="none" w:pos="1920" w:val="left"/>
          <w:tab w:leader="none" w:pos="2380" w:val="left"/>
          <w:tab w:leader="none" w:pos="4420" w:val="left"/>
          <w:tab w:leader="none" w:pos="5240" w:val="left"/>
          <w:tab w:leader="none" w:pos="5700" w:val="left"/>
          <w:tab w:leader="none" w:pos="5980" w:val="left"/>
        </w:tabs>
        <w:rPr>
          <w:sz w:val="20"/>
          <w:szCs w:val="20"/>
          <w:color w:val="auto"/>
        </w:rPr>
      </w:pPr>
      <w:r>
        <w:rPr>
          <w:rFonts w:ascii="Courier New" w:cs="Courier New" w:eastAsia="Courier New" w:hAnsi="Courier New"/>
          <w:sz w:val="15"/>
          <w:szCs w:val="15"/>
          <w:color w:val="auto"/>
        </w:rPr>
        <w:t>withdraw</w:t>
        <w:tab/>
        <w:t>part</w:t>
        <w:tab/>
        <w:t>or</w:t>
        <w:tab/>
        <w:t>all</w:t>
        <w:tab/>
        <w:t>of the Participant's</w:t>
        <w:tab/>
        <w:t>Account</w:t>
        <w:tab/>
        <w:t>for</w:t>
        <w:tab/>
        <w:t>a</w:t>
        <w:tab/>
        <w:t>Financial</w:t>
      </w:r>
    </w:p>
    <w:p>
      <w:pPr>
        <w:spacing w:after="0" w:line="200" w:lineRule="exact"/>
        <w:rPr>
          <w:sz w:val="20"/>
          <w:szCs w:val="20"/>
          <w:color w:val="auto"/>
        </w:rPr>
      </w:pPr>
    </w:p>
    <w:p>
      <w:pPr>
        <w:spacing w:after="0" w:line="340" w:lineRule="exact"/>
        <w:rPr>
          <w:sz w:val="20"/>
          <w:szCs w:val="20"/>
          <w:color w:val="auto"/>
        </w:rPr>
      </w:pPr>
    </w:p>
    <w:p>
      <w:pPr>
        <w:jc w:val="both"/>
        <w:ind w:left="380" w:right="3299" w:firstLine="642"/>
        <w:spacing w:after="0" w:line="501" w:lineRule="auto"/>
        <w:tabs>
          <w:tab w:leader="none" w:pos="14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The existence of a Financial Emergency and the amount to be withdrawn shall be determined by the Senior Administrative Officer.</w:t>
      </w:r>
    </w:p>
    <w:p>
      <w:pPr>
        <w:jc w:val="both"/>
        <w:ind w:left="380" w:right="3299" w:firstLine="642"/>
        <w:spacing w:after="0" w:line="502" w:lineRule="auto"/>
        <w:tabs>
          <w:tab w:leader="none" w:pos="14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A Participant who makes a withdrawal for Financial Emergency from any company-sponsored deferral plan, whether qualified or nonqualified, shall be suspended from participation in this Plan for twelve (12) months from the date of such withdrawal. Compensation and/or Paid Time Off Cancellation payable during such</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11 - MANAGEMENT DEFERRED COMPENSATION PLAN</w:t>
      </w:r>
    </w:p>
    <w:p>
      <w:pPr>
        <w:sectPr>
          <w:pgSz w:w="11900" w:h="16838" w:orient="portrait"/>
          <w:cols w:equalWidth="0" w:num="1">
            <w:col w:w="10139"/>
          </w:cols>
          <w:pgMar w:left="320" w:top="828" w:right="1440" w:bottom="1440" w:gutter="0" w:footer="0" w:header="0"/>
        </w:sectPr>
      </w:pPr>
    </w:p>
    <w:bookmarkStart w:id="97" w:name="page98"/>
    <w:bookmarkEnd w:id="97"/>
    <w:p>
      <w:pPr>
        <w:jc w:val="both"/>
        <w:ind w:left="380" w:right="3019"/>
        <w:spacing w:after="0" w:line="501" w:lineRule="auto"/>
        <w:rPr>
          <w:sz w:val="20"/>
          <w:szCs w:val="20"/>
          <w:color w:val="auto"/>
        </w:rPr>
      </w:pPr>
      <w:r>
        <w:rPr>
          <w:rFonts w:ascii="Courier New" w:cs="Courier New" w:eastAsia="Courier New" w:hAnsi="Courier New"/>
          <w:sz w:val="15"/>
          <w:szCs w:val="15"/>
          <w:color w:val="auto"/>
        </w:rPr>
        <w:t>suspension that would have been deferred under this Plan shall instead be paid to the Participant. No matching contribution shall be credited to a Participant's Account under this Plan during any period of suspension.</w:t>
      </w:r>
    </w:p>
    <w:p>
      <w:pPr>
        <w:spacing w:after="0" w:line="1" w:lineRule="exact"/>
        <w:rPr>
          <w:sz w:val="20"/>
          <w:szCs w:val="20"/>
          <w:color w:val="auto"/>
        </w:rPr>
      </w:pPr>
    </w:p>
    <w:p>
      <w:pPr>
        <w:ind w:left="380"/>
        <w:spacing w:after="0"/>
        <w:tabs>
          <w:tab w:leader="none" w:pos="100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FORM OF BENEFIT PAYMENT.</w:t>
      </w:r>
    </w:p>
    <w:p>
      <w:pPr>
        <w:spacing w:after="0" w:line="185" w:lineRule="exact"/>
        <w:rPr>
          <w:sz w:val="20"/>
          <w:szCs w:val="20"/>
          <w:color w:val="auto"/>
        </w:rPr>
      </w:pPr>
    </w:p>
    <w:p>
      <w:pPr>
        <w:jc w:val="both"/>
        <w:ind w:left="380" w:right="3299" w:firstLine="642"/>
        <w:spacing w:after="0" w:line="501" w:lineRule="auto"/>
        <w:tabs>
          <w:tab w:leader="none" w:pos="14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benefits attributable to the elective deferrals for any calendar year shall be paid in one (1) of the forms set out below, as elected by the Participant in the form of payment designation filed with the Deferral Election for that year. The forms of benefit payment are:</w:t>
      </w:r>
    </w:p>
    <w:p>
      <w:pPr>
        <w:ind w:left="1940" w:hanging="457"/>
        <w:spacing w:after="0"/>
        <w:tabs>
          <w:tab w:leader="none" w:pos="194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w:t>
      </w:r>
    </w:p>
    <w:p>
      <w:pPr>
        <w:spacing w:after="0" w:line="184" w:lineRule="exact"/>
        <w:rPr>
          <w:rFonts w:ascii="Courier New" w:cs="Courier New" w:eastAsia="Courier New" w:hAnsi="Courier New"/>
          <w:sz w:val="15"/>
          <w:szCs w:val="15"/>
          <w:color w:val="auto"/>
        </w:rPr>
      </w:pPr>
    </w:p>
    <w:p>
      <w:pPr>
        <w:jc w:val="both"/>
        <w:ind w:left="1020" w:right="3299" w:firstLine="463"/>
        <w:spacing w:after="0" w:line="501" w:lineRule="auto"/>
        <w:tabs>
          <w:tab w:leader="none" w:pos="203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installment payments in substantially equal payments of principal and Interest over a period of up to one hundred eighty (180) months. The amount of the installment payment shall be redetermined on the first day of the month coincidental with or next following the anniversary of the date of termination each year, based upon the then current rate of Interest, the remaining Account balance, and the remaining number of payment periods; or</w:t>
      </w:r>
    </w:p>
    <w:p>
      <w:pPr>
        <w:spacing w:after="0" w:line="1" w:lineRule="exact"/>
        <w:rPr>
          <w:rFonts w:ascii="Courier New" w:cs="Courier New" w:eastAsia="Courier New" w:hAnsi="Courier New"/>
          <w:sz w:val="15"/>
          <w:szCs w:val="15"/>
          <w:color w:val="auto"/>
        </w:rPr>
      </w:pPr>
    </w:p>
    <w:p>
      <w:pPr>
        <w:jc w:val="both"/>
        <w:ind w:left="1020" w:right="3299" w:firstLine="463"/>
        <w:spacing w:after="0" w:line="501" w:lineRule="auto"/>
        <w:tabs>
          <w:tab w:leader="none" w:pos="22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account balance is ten thousand dollars ($10,000) or less, that benefit will be paid out in a lump sum notwithstanding the form of benefit payment elected by the Participant.</w:t>
      </w:r>
    </w:p>
    <w:p>
      <w:pPr>
        <w:jc w:val="both"/>
        <w:ind w:left="380" w:right="3299" w:firstLine="642"/>
        <w:spacing w:after="0" w:line="501" w:lineRule="auto"/>
        <w:tabs>
          <w:tab w:leader="none" w:pos="14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elect to file a change of payment designation which shall supersede all prior form of payment designations with respect to the Participant's entire Account. If, upon termination, the Participant's most recent change of payment designation has not been in effect for twelve (12) full months prior to such termination,</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12 - MANAGEMENT DEFERRED COMPENSATION PLAN</w:t>
      </w:r>
    </w:p>
    <w:p>
      <w:pPr>
        <w:sectPr>
          <w:pgSz w:w="11900" w:h="16838" w:orient="portrait"/>
          <w:cols w:equalWidth="0" w:num="1">
            <w:col w:w="10139"/>
          </w:cols>
          <w:pgMar w:left="320" w:top="828" w:right="1440" w:bottom="1440" w:gutter="0" w:footer="0" w:header="0"/>
        </w:sectPr>
      </w:pPr>
    </w:p>
    <w:bookmarkStart w:id="98" w:name="page99"/>
    <w:bookmarkEnd w:id="98"/>
    <w:p>
      <w:pPr>
        <w:jc w:val="both"/>
        <w:ind w:right="3299" w:firstLine="185"/>
        <w:spacing w:after="0" w:line="501" w:lineRule="auto"/>
        <w:rPr>
          <w:sz w:val="20"/>
          <w:szCs w:val="20"/>
          <w:color w:val="auto"/>
        </w:rPr>
      </w:pPr>
      <w:r>
        <w:rPr>
          <w:rFonts w:ascii="Courier New" w:cs="Courier New" w:eastAsia="Courier New" w:hAnsi="Courier New"/>
          <w:sz w:val="15"/>
          <w:szCs w:val="15"/>
          <w:color w:val="auto"/>
        </w:rPr>
        <w:t>then the prior election shall be used to determine the form of payment. The Senior Administrative Officer may, in his sole discretion, direct that plan benefits be paid pursuant to the change of payment designation, notwithstanding the twelve (12) month requirement.</w:t>
      </w:r>
    </w:p>
    <w:p>
      <w:pPr>
        <w:spacing w:after="0" w:line="1"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5.4    ACCELERATED DISTRIBUTION.  Notwithstanding  any other provision of  the  Plan, a Participant shall be entitled to receive,  upon  written request to  the  Senior Administrative Officer, a lump sum distribution of all or a portion of the vested Account balance, subject to the following:</w:t>
      </w:r>
    </w:p>
    <w:p>
      <w:pPr>
        <w:spacing w:after="0" w:line="1" w:lineRule="exact"/>
        <w:rPr>
          <w:sz w:val="20"/>
          <w:szCs w:val="20"/>
          <w:color w:val="auto"/>
        </w:rPr>
      </w:pPr>
    </w:p>
    <w:p>
      <w:pPr>
        <w:ind w:left="1480" w:hanging="458"/>
        <w:spacing w:after="0"/>
        <w:tabs>
          <w:tab w:leader="none" w:pos="14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w:t>
      </w:r>
    </w:p>
    <w:p>
      <w:pPr>
        <w:spacing w:after="0" w:line="184" w:lineRule="exact"/>
        <w:rPr>
          <w:rFonts w:ascii="Courier New" w:cs="Courier New" w:eastAsia="Courier New" w:hAnsi="Courier New"/>
          <w:sz w:val="15"/>
          <w:szCs w:val="15"/>
          <w:color w:val="auto"/>
        </w:rPr>
      </w:pPr>
    </w:p>
    <w:p>
      <w:pPr>
        <w:jc w:val="both"/>
        <w:ind w:left="1020" w:right="3299" w:firstLine="463"/>
        <w:spacing w:after="0" w:line="501" w:lineRule="auto"/>
        <w:tabs>
          <w:tab w:leader="none" w:pos="1943"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distribution is requested within twenty-four (24) months following a Change in Control, six percent (6%) of the account shall be forfeited and ninety-four percent (94%) of the account paid to the Participant.</w:t>
      </w:r>
    </w:p>
    <w:p>
      <w:pPr>
        <w:jc w:val="both"/>
        <w:ind w:left="1020" w:right="3299" w:firstLine="463"/>
        <w:spacing w:after="0" w:line="501" w:lineRule="auto"/>
        <w:tabs>
          <w:tab w:leader="none" w:pos="2035"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distribution is requested at any time other than that in (i) above, ten percent (10%) of the account shall be forfeited and ninety percent (90%) of the account paid to the Participant.</w:t>
      </w:r>
    </w:p>
    <w:p>
      <w:pPr>
        <w:jc w:val="both"/>
        <w:ind w:left="380" w:right="3299" w:firstLine="642"/>
        <w:spacing w:after="0" w:line="504" w:lineRule="auto"/>
        <w:tabs>
          <w:tab w:leader="none" w:pos="14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A Participant who receives a distribution under this section shall be suspended from participation in this Plan for twelve (12) calendar months from the date of such distribution. All eligibility requirements must be met to reenter the Plan. The account balance shall be as of the Determination Date immediately preceding the date on which the Senior Administrative Officer receives the written request. The amount payable under this section shall be paid in a lump sum within sixty-five (65) days following the receipt of the Participant's written request by the Senior Administrative Officer.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13 - MANAGEMENT DEFERRED COMPENSATION PLAN</w:t>
      </w:r>
    </w:p>
    <w:p>
      <w:pPr>
        <w:sectPr>
          <w:pgSz w:w="11900" w:h="16838" w:orient="portrait"/>
          <w:cols w:equalWidth="0" w:num="1">
            <w:col w:w="10139"/>
          </w:cols>
          <w:pgMar w:left="320" w:top="828" w:right="1440" w:bottom="1440" w:gutter="0" w:footer="0" w:header="0"/>
        </w:sectPr>
      </w:pPr>
    </w:p>
    <w:bookmarkStart w:id="99" w:name="page100"/>
    <w:bookmarkEnd w:id="99"/>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5.5 WITHHOLDING; PAYROLL TAXES. Each Participating Employer shall withhold from payments made hereunder any taxes required to be withheld from a Participant's wages for the</w:t>
      </w:r>
    </w:p>
    <w:p>
      <w:pPr>
        <w:spacing w:after="0" w:line="1" w:lineRule="exact"/>
        <w:rPr>
          <w:sz w:val="20"/>
          <w:szCs w:val="20"/>
          <w:color w:val="auto"/>
        </w:rPr>
      </w:pPr>
    </w:p>
    <w:p>
      <w:pPr>
        <w:jc w:val="both"/>
        <w:ind w:right="3299"/>
        <w:spacing w:after="0" w:line="501" w:lineRule="auto"/>
        <w:rPr>
          <w:sz w:val="20"/>
          <w:szCs w:val="20"/>
          <w:color w:val="auto"/>
        </w:rPr>
      </w:pPr>
      <w:r>
        <w:rPr>
          <w:rFonts w:ascii="Courier New" w:cs="Courier New" w:eastAsia="Courier New" w:hAnsi="Courier New"/>
          <w:sz w:val="15"/>
          <w:szCs w:val="15"/>
          <w:color w:val="auto"/>
        </w:rPr>
        <w:t>federal or any state or local government. Withholding shall also apply to payments to a Beneficiary unless an election against withholding is made under Section 3405(a)(2) of the Internal Revenue Code.</w:t>
      </w:r>
    </w:p>
    <w:p>
      <w:pPr>
        <w:spacing w:after="0" w:line="1"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5.6    COMMENCEMENT  OF  PAYMENTS.   Payment  shall  commence  at  the discretion of the Senior Administrative Officer, but not later than sixty-five (65) days after the end of the month in which a Participant retires, dies or otherwise terminates employment.  All payments shall be made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day of the month.</w:t>
      </w:r>
    </w:p>
    <w:p>
      <w:pPr>
        <w:spacing w:after="0" w:line="185" w:lineRule="exact"/>
        <w:rPr>
          <w:sz w:val="20"/>
          <w:szCs w:val="20"/>
          <w:color w:val="auto"/>
        </w:rPr>
      </w:pPr>
    </w:p>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5.7 FULL PAYMENT OF BENEFITS. Notwithstanding any other provision of this Plan, all benefits shall be paid no later than one hundred eighty (180) months following the date payment to a Participant commences.</w:t>
      </w:r>
    </w:p>
    <w:p>
      <w:pPr>
        <w:spacing w:after="0" w:line="1"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5.8    PAYMENT TO  GUARDIAN.   If a Plan benefit is payable to a minor or a person declared incompetent or  to a person incapable of handling the disposition  of property, the Senior Administrative  Officer  may  direct payment of such  Plan  benefit  to  the  guardian, legal representative or person having the care and custody of such  minor  or  incompetent person. The  Senior  Administrative  Officer  may  require proof of incompetency, minority, incapacity or guardianship as he may  deem  appropriate prior to distribution  of  the  Plan benefit.  Such distribution shall  completely discharge the Senior Administrative  Officer,  the Participating Employer,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Company from all liability with respect to such benefit.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14 - MANAGEMENT DEFERRED COMPENSATION PLAN</w:t>
      </w:r>
    </w:p>
    <w:p>
      <w:pPr>
        <w:sectPr>
          <w:pgSz w:w="11900" w:h="16838" w:orient="portrait"/>
          <w:cols w:equalWidth="0" w:num="1">
            <w:col w:w="10139"/>
          </w:cols>
          <w:pgMar w:left="320" w:top="828" w:right="1440" w:bottom="1440" w:gutter="0" w:footer="0" w:header="0"/>
        </w:sectPr>
      </w:pPr>
    </w:p>
    <w:bookmarkStart w:id="100" w:name="page101"/>
    <w:bookmarkEnd w:id="100"/>
    <w:p>
      <w:pPr>
        <w:jc w:val="center"/>
        <w:ind w:right="4219"/>
        <w:spacing w:after="0"/>
        <w:rPr>
          <w:sz w:val="20"/>
          <w:szCs w:val="20"/>
          <w:color w:val="auto"/>
        </w:rPr>
      </w:pPr>
      <w:r>
        <w:rPr>
          <w:rFonts w:ascii="Courier New" w:cs="Courier New" w:eastAsia="Courier New" w:hAnsi="Courier New"/>
          <w:sz w:val="15"/>
          <w:szCs w:val="15"/>
          <w:color w:val="auto"/>
        </w:rPr>
        <w:t>ARTICLE VI</w:t>
      </w:r>
    </w:p>
    <w:p>
      <w:pPr>
        <w:spacing w:after="0" w:line="185"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RESTORATION OF PENSION PLAN BENEFITS</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6.1    PENSION  PLAN.   If a Participating Employer  maintains  a  tax qualified Pension Plan for the  benefit  of  eligible  employees,  and the Pension Plan provides benefits determined under a formula that is based in part  on  the  employee's nondeferred compensation, a Participant in this Plan may receive  a  smaller benefit under the Pension Plan as a result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electing deferrals under this Plan.</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6.2    RESTORATION  OF  PENSION  PLAN  BENEFITS.   In  addition to the benefits payable under Paragraph 5.1 above, Participating Employer  shall pay  to  any  Participant whose Pension Plan benefit is not restored under any other employee  or  executive benefit plan maintained by Participating Employer, a benefit payment  equal  to  the  excess  of  (b)  over  (a)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85" w:lineRule="exact"/>
        <w:rPr>
          <w:sz w:val="20"/>
          <w:szCs w:val="20"/>
          <w:color w:val="auto"/>
        </w:rPr>
      </w:pPr>
    </w:p>
    <w:p>
      <w:pPr>
        <w:jc w:val="both"/>
        <w:ind w:left="380" w:right="3299" w:firstLine="642"/>
        <w:spacing w:after="0" w:line="501" w:lineRule="auto"/>
        <w:tabs>
          <w:tab w:leader="none" w:pos="14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actuarial equivalent lump sum present value of the retirement income (or death benefit) payable (either immediately or deferred) under the Pension Plan; and</w:t>
      </w:r>
    </w:p>
    <w:p>
      <w:pPr>
        <w:jc w:val="both"/>
        <w:ind w:left="380" w:right="3299" w:firstLine="642"/>
        <w:spacing w:after="0" w:line="501" w:lineRule="auto"/>
        <w:tabs>
          <w:tab w:leader="none" w:pos="14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actuarial equivalent lump sum present value of the retirement income (or death benefit) that would have been payable under the Pension Plan if Participant had made no Deferral Elections in any calendar year under this Plan. The actuarial equivalent lump sum present values shall be calculated in the same manner and using the same factors as are used to calculate lump sum distributions under the Pension Plan. If Participant terminates employment prior to attaining the age of fifty-five (55), payment of the restoration of Pension Plan benefits shall be made as if Participant had made a lump sum election pursuant to Paragraph 5.3(a)(i) above with respect to the payment of the restoration of</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15 - MANAGEMENT DEFERRED COMPENSATION PLAN</w:t>
      </w:r>
    </w:p>
    <w:p>
      <w:pPr>
        <w:sectPr>
          <w:pgSz w:w="11900" w:h="16838" w:orient="portrait"/>
          <w:cols w:equalWidth="0" w:num="1">
            <w:col w:w="10139"/>
          </w:cols>
          <w:pgMar w:left="320" w:top="828" w:right="1440" w:bottom="1440" w:gutter="0" w:footer="0" w:header="0"/>
        </w:sectPr>
      </w:pPr>
    </w:p>
    <w:bookmarkStart w:id="101" w:name="page102"/>
    <w:bookmarkEnd w:id="101"/>
    <w:p>
      <w:pPr>
        <w:jc w:val="both"/>
        <w:ind w:left="380" w:right="3299"/>
        <w:spacing w:after="0" w:line="501" w:lineRule="auto"/>
        <w:rPr>
          <w:sz w:val="20"/>
          <w:szCs w:val="20"/>
          <w:color w:val="auto"/>
        </w:rPr>
      </w:pPr>
      <w:r>
        <w:rPr>
          <w:rFonts w:ascii="Courier New" w:cs="Courier New" w:eastAsia="Courier New" w:hAnsi="Courier New"/>
          <w:sz w:val="15"/>
          <w:szCs w:val="15"/>
          <w:color w:val="auto"/>
        </w:rPr>
        <w:t>Pension Plan benefits. If Participant terminates employment upon or after attaining the age of fifty-five (55), payment of the restoration of Pension Plan benefits shall be made as if Participant had made an election to receive monthly installment payments in substantially equal payments of principal and Interest over a period of eighty-four</w:t>
      </w:r>
    </w:p>
    <w:p>
      <w:pPr>
        <w:spacing w:after="0" w:line="1" w:lineRule="exact"/>
        <w:rPr>
          <w:sz w:val="20"/>
          <w:szCs w:val="20"/>
          <w:color w:val="auto"/>
        </w:rPr>
      </w:pPr>
    </w:p>
    <w:p>
      <w:pPr>
        <w:jc w:val="both"/>
        <w:ind w:left="380" w:right="3299" w:hanging="4"/>
        <w:spacing w:after="0" w:line="501" w:lineRule="auto"/>
        <w:tabs>
          <w:tab w:leader="none" w:pos="84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pursuant to Paragraph 5.3(a)(ii) above with respect to the payment of the restoration of Pension Plan benefits. In the event the actuarial equivalent lump sum present value is ten thousand dollars ($10,000) or less, that benefit will be paid out in a lump sum.</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6.3RESTORATION OF PENSION  PLAN  BENEFITS  IN  EVENT  OF CHANGE IN</w:t>
      </w:r>
    </w:p>
    <w:p>
      <w:pPr>
        <w:spacing w:after="0" w:line="185" w:lineRule="exact"/>
        <w:rPr>
          <w:sz w:val="20"/>
          <w:szCs w:val="20"/>
          <w:color w:val="auto"/>
        </w:rPr>
      </w:pPr>
    </w:p>
    <w:p>
      <w:pPr>
        <w:jc w:val="center"/>
        <w:ind w:right="3299"/>
        <w:spacing w:after="0" w:line="501" w:lineRule="auto"/>
        <w:rPr>
          <w:sz w:val="20"/>
          <w:szCs w:val="20"/>
          <w:color w:val="auto"/>
        </w:rPr>
      </w:pPr>
      <w:r>
        <w:rPr>
          <w:rFonts w:ascii="Courier New" w:cs="Courier New" w:eastAsia="Courier New" w:hAnsi="Courier New"/>
          <w:sz w:val="15"/>
          <w:szCs w:val="15"/>
          <w:color w:val="auto"/>
        </w:rPr>
        <w:t>CONTROL.   In  the  event  of  a  Change  in  Control,  and  a subsequent termination of the Pension Plan within three (3) years following  a Change in  Control, all Plan Participants shall receive a restoration of Pension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benefits under Paragraph 6.2.</w:t>
      </w:r>
    </w:p>
    <w:p>
      <w:pPr>
        <w:spacing w:after="0" w:line="200" w:lineRule="exact"/>
        <w:rPr>
          <w:sz w:val="20"/>
          <w:szCs w:val="20"/>
          <w:color w:val="auto"/>
        </w:rPr>
      </w:pPr>
    </w:p>
    <w:p>
      <w:pPr>
        <w:spacing w:after="0" w:line="340"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ARTICLE VII</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BENEFICIARY DESIGNATION</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7.1    BENEFICIARY  DESIGNATION.   Each  Participant  shall  have  the right,  at  any time, to designate one (1) or more persons or entities as the Participant's  Beneficiary,  primary  as  well  as  secondary, to whom benefits under this Plan shall be paid in the event of the  Participant's death  prior  to  complete distribution to the Participant of the benefits due under the Plan.   Each  Beneficiary  designation shall be in a written form prescribed by the Senior Administrative Officer and will be effective only  when  filed  with  the  Senior Administrative  Officer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Participant's lifetime.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16 - MANAGEMENT DEFERRED COMPENSATION PLAN</w:t>
      </w:r>
    </w:p>
    <w:p>
      <w:pPr>
        <w:sectPr>
          <w:pgSz w:w="11900" w:h="16838" w:orient="portrait"/>
          <w:cols w:equalWidth="0" w:num="1">
            <w:col w:w="10139"/>
          </w:cols>
          <w:pgMar w:left="320" w:top="828" w:right="1440" w:bottom="1440" w:gutter="0" w:footer="0" w:header="0"/>
        </w:sectPr>
      </w:pPr>
    </w:p>
    <w:bookmarkStart w:id="102" w:name="page103"/>
    <w:bookmarkEnd w:id="102"/>
    <w:p>
      <w:pPr>
        <w:jc w:val="right"/>
        <w:ind w:right="3299"/>
        <w:spacing w:after="0" w:line="501" w:lineRule="auto"/>
        <w:rPr>
          <w:sz w:val="20"/>
          <w:szCs w:val="20"/>
          <w:color w:val="auto"/>
        </w:rPr>
      </w:pPr>
      <w:r>
        <w:rPr>
          <w:rFonts w:ascii="Courier New" w:cs="Courier New" w:eastAsia="Courier New" w:hAnsi="Courier New"/>
          <w:sz w:val="15"/>
          <w:szCs w:val="15"/>
          <w:color w:val="auto"/>
        </w:rPr>
        <w:t>7.2    AMENDMENTS.  Any Beneficiary  designation  may  be changed by a Participant without the consent of any Beneficiary by the filing  of a new Beneficiary  designation  with  the Senior Administrative Officer.  If  a Participant's  Compensation  is  community   property,   any  Beneficiary designation shall be valid or effective only as permitted under applicable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7.3    NO  BENEFICIARY  DESIGNATION.   In the absence of an  effective Beneficiary designation, or if all Beneficiaries predecease a Participant, the Participant's estate shall be the Beneficiary.   If a Beneficiary dies after a Participant and before payment of benefits under  this  Plan  has been   completed,   the  remaining  benefits  shall  be  payable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Beneficiary's estate.</w:t>
      </w:r>
    </w:p>
    <w:p>
      <w:pPr>
        <w:spacing w:after="0" w:line="185" w:lineRule="exact"/>
        <w:rPr>
          <w:sz w:val="20"/>
          <w:szCs w:val="20"/>
          <w:color w:val="auto"/>
        </w:rPr>
      </w:pPr>
    </w:p>
    <w:p>
      <w:pPr>
        <w:jc w:val="both"/>
        <w:ind w:right="3299" w:firstLine="369"/>
        <w:spacing w:after="0" w:line="504" w:lineRule="auto"/>
        <w:rPr>
          <w:sz w:val="20"/>
          <w:szCs w:val="20"/>
          <w:color w:val="auto"/>
        </w:rPr>
      </w:pPr>
      <w:r>
        <w:rPr>
          <w:rFonts w:ascii="Courier New" w:cs="Courier New" w:eastAsia="Courier New" w:hAnsi="Courier New"/>
          <w:sz w:val="15"/>
          <w:szCs w:val="15"/>
          <w:color w:val="auto"/>
        </w:rPr>
        <w:t>7.4 EFFECT OF PAYMENT. Payment to the Beneficiary shall completely discharge the Participating Employer's obligations under this Plan.</w:t>
      </w:r>
    </w:p>
    <w:p>
      <w:pPr>
        <w:spacing w:after="0" w:line="351"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5"/>
          <w:szCs w:val="15"/>
          <w:color w:val="auto"/>
        </w:rPr>
        <w:t>ARTICLE VIII</w:t>
      </w:r>
    </w:p>
    <w:p>
      <w:pPr>
        <w:spacing w:after="0" w:line="185"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ADMINISTRATION</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8.1    SENIOR ADMINISTRATIVE  OFFICER;  DUTIES.   This  Plan  shall be administered  by  a  Senior  Administrative  Officer  appointed  by  the Committee.   The  Senior Administrative Officer may be a Participant under this Plan.  The Senior  Administrative Officer shall have the authority to make, amend, interpret and  enforce  all appropriate rules and regulations for the administration of this Plan and  decide  or  resolve  any  and all questions  including  interpretations  of  this  Plan  as  may  arise  in connection with the Plan.  The Senior Administrative Officer shall report to  the  Committee on an annual basis regarding Plan activity, and at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times as may be requested by the Committee.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17 - MANAGEMENT DEFERRED COMPENSATION PLAN</w:t>
      </w:r>
    </w:p>
    <w:p>
      <w:pPr>
        <w:sectPr>
          <w:pgSz w:w="11900" w:h="16838" w:orient="portrait"/>
          <w:cols w:equalWidth="0" w:num="1">
            <w:col w:w="10139"/>
          </w:cols>
          <w:pgMar w:left="320" w:top="828" w:right="1440" w:bottom="1440" w:gutter="0" w:footer="0" w:header="0"/>
        </w:sectPr>
      </w:pPr>
    </w:p>
    <w:bookmarkStart w:id="103" w:name="page104"/>
    <w:bookmarkEnd w:id="103"/>
    <w:p>
      <w:pPr>
        <w:jc w:val="right"/>
        <w:ind w:right="3299"/>
        <w:spacing w:after="0" w:line="501" w:lineRule="auto"/>
        <w:rPr>
          <w:sz w:val="20"/>
          <w:szCs w:val="20"/>
          <w:color w:val="auto"/>
        </w:rPr>
      </w:pPr>
      <w:r>
        <w:rPr>
          <w:rFonts w:ascii="Courier New" w:cs="Courier New" w:eastAsia="Courier New" w:hAnsi="Courier New"/>
          <w:sz w:val="15"/>
          <w:szCs w:val="15"/>
          <w:color w:val="auto"/>
        </w:rPr>
        <w:t>8.2    AGENTS.   In  the  administration  of  this  Plan,  the  Senior Administrative Officer may, from time to time, employ agents and delegate to  such  agents,  including employees of any Participating Employer, such administrative duties  as  he  sees fit, and may from time to time consult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counsel, who may be counsel to any Participating Employer.</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8.3    BINDING EFFECT OF DECISIONS.   The  decision  or  action of the Senior Administrative Officer in respect of any question arising out of or in connection with the administration, interpretation and application  of the  Plan  and  the  rules  and regulations promulgated hereunder shall be final and conclusive and binding  upon  all persons having any interest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8.4    INDEMNITY OF SENIOR ADMINISTRATIVE  OFFICER;  COMMITTEE.   Each Participating  Employer  shall  indemnify  and  hold  harmless the Senior Administrative Officer, the Committee, and its individual  members against any and all claims, loss, damage, expense or liability arising  from  any action  or failure to act with respect to this Plan, except in the case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negligence or willful misconduct.</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8.5    AVAILABILITY OF PLAN DOCUMENTS.  Each Participant shall receive a copy of  this  Plan,  and  the  Senior Administrative Officer shall make available for inspection by any Participant  a  copy  of  the  rules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used in administering the Plan.</w:t>
      </w:r>
    </w:p>
    <w:p>
      <w:pPr>
        <w:spacing w:after="0" w:line="185" w:lineRule="exact"/>
        <w:rPr>
          <w:sz w:val="20"/>
          <w:szCs w:val="20"/>
          <w:color w:val="auto"/>
        </w:rPr>
      </w:pPr>
    </w:p>
    <w:p>
      <w:pPr>
        <w:jc w:val="both"/>
        <w:ind w:left="100" w:right="3299" w:firstLine="277"/>
        <w:spacing w:after="0" w:line="501" w:lineRule="auto"/>
        <w:rPr>
          <w:sz w:val="20"/>
          <w:szCs w:val="20"/>
          <w:color w:val="auto"/>
        </w:rPr>
      </w:pPr>
      <w:r>
        <w:rPr>
          <w:rFonts w:ascii="Courier New" w:cs="Courier New" w:eastAsia="Courier New" w:hAnsi="Courier New"/>
          <w:sz w:val="15"/>
          <w:szCs w:val="15"/>
          <w:color w:val="auto"/>
        </w:rPr>
        <w:t>8.6 COST OF PLAN ADMINISTRATION. The Company shall bear all expenses of administration of this Plan. However, a ratable portion of</w:t>
      </w:r>
    </w:p>
    <w:p>
      <w:pPr>
        <w:spacing w:after="0"/>
        <w:rPr>
          <w:sz w:val="20"/>
          <w:szCs w:val="20"/>
          <w:color w:val="auto"/>
        </w:rPr>
      </w:pPr>
      <w:r>
        <w:rPr>
          <w:rFonts w:ascii="Courier New" w:cs="Courier New" w:eastAsia="Courier New" w:hAnsi="Courier New"/>
          <w:sz w:val="15"/>
          <w:szCs w:val="15"/>
          <w:color w:val="auto"/>
        </w:rPr>
        <w:t>the expense shall be charged back to each Participating Employer.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18 - MANAGEMENT DEFERRED COMPENSATION PLAN</w:t>
      </w:r>
    </w:p>
    <w:p>
      <w:pPr>
        <w:sectPr>
          <w:pgSz w:w="11900" w:h="16838" w:orient="portrait"/>
          <w:cols w:equalWidth="0" w:num="1">
            <w:col w:w="10139"/>
          </w:cols>
          <w:pgMar w:left="320" w:top="828" w:right="1440" w:bottom="1440" w:gutter="0" w:footer="0" w:header="0"/>
        </w:sectPr>
      </w:pPr>
    </w:p>
    <w:bookmarkStart w:id="104" w:name="page105"/>
    <w:bookmarkEnd w:id="104"/>
    <w:p>
      <w:pPr>
        <w:ind w:left="2500"/>
        <w:spacing w:after="0"/>
        <w:rPr>
          <w:sz w:val="20"/>
          <w:szCs w:val="20"/>
          <w:color w:val="auto"/>
        </w:rPr>
      </w:pPr>
      <w:r>
        <w:rPr>
          <w:rFonts w:ascii="Courier New" w:cs="Courier New" w:eastAsia="Courier New" w:hAnsi="Courier New"/>
          <w:sz w:val="15"/>
          <w:szCs w:val="15"/>
          <w:color w:val="auto"/>
        </w:rPr>
        <w:t>ARTICLE IX</w:t>
      </w:r>
    </w:p>
    <w:p>
      <w:pPr>
        <w:spacing w:after="0" w:line="18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CLAIMS PROCEDURE</w:t>
      </w:r>
    </w:p>
    <w:p>
      <w:pPr>
        <w:spacing w:after="0" w:line="185" w:lineRule="exact"/>
        <w:rPr>
          <w:sz w:val="20"/>
          <w:szCs w:val="20"/>
          <w:color w:val="auto"/>
        </w:rPr>
      </w:pPr>
    </w:p>
    <w:p>
      <w:pPr>
        <w:ind w:left="380"/>
        <w:spacing w:after="0"/>
        <w:tabs>
          <w:tab w:leader="none" w:pos="1000" w:val="left"/>
          <w:tab w:leader="none" w:pos="1920" w:val="left"/>
          <w:tab w:leader="none" w:pos="2480" w:val="left"/>
          <w:tab w:leader="none" w:pos="3300" w:val="left"/>
          <w:tab w:leader="none" w:pos="4320" w:val="left"/>
          <w:tab w:leader="none" w:pos="4600" w:val="left"/>
          <w:tab w:leader="none" w:pos="5520" w:val="left"/>
          <w:tab w:leader="none" w:pos="664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CLAIM.</w:t>
      </w:r>
      <w:r>
        <w:rPr>
          <w:sz w:val="20"/>
          <w:szCs w:val="20"/>
          <w:color w:val="auto"/>
        </w:rPr>
        <w:tab/>
      </w:r>
      <w:r>
        <w:rPr>
          <w:rFonts w:ascii="Courier New" w:cs="Courier New" w:eastAsia="Courier New" w:hAnsi="Courier New"/>
          <w:sz w:val="15"/>
          <w:szCs w:val="15"/>
          <w:color w:val="auto"/>
        </w:rPr>
        <w:t>Any</w:t>
      </w:r>
      <w:r>
        <w:rPr>
          <w:sz w:val="20"/>
          <w:szCs w:val="20"/>
          <w:color w:val="auto"/>
        </w:rPr>
        <w:tab/>
      </w:r>
      <w:r>
        <w:rPr>
          <w:rFonts w:ascii="Courier New" w:cs="Courier New" w:eastAsia="Courier New" w:hAnsi="Courier New"/>
          <w:sz w:val="15"/>
          <w:szCs w:val="15"/>
          <w:color w:val="auto"/>
        </w:rPr>
        <w:t>person</w:t>
        <w:tab/>
        <w:t>claiming</w:t>
      </w:r>
      <w:r>
        <w:rPr>
          <w:sz w:val="20"/>
          <w:szCs w:val="20"/>
          <w:color w:val="auto"/>
        </w:rPr>
        <w:tab/>
      </w:r>
      <w:r>
        <w:rPr>
          <w:rFonts w:ascii="Courier New" w:cs="Courier New" w:eastAsia="Courier New" w:hAnsi="Courier New"/>
          <w:sz w:val="15"/>
          <w:szCs w:val="15"/>
          <w:color w:val="auto"/>
        </w:rPr>
        <w:t>a</w:t>
        <w:tab/>
        <w:t>benefit,</w:t>
        <w:tab/>
        <w:t>requesting</w:t>
        <w:tab/>
        <w:t>an</w:t>
      </w:r>
    </w:p>
    <w:p>
      <w:pPr>
        <w:spacing w:after="0" w:line="185" w:lineRule="exact"/>
        <w:rPr>
          <w:sz w:val="20"/>
          <w:szCs w:val="20"/>
          <w:color w:val="auto"/>
        </w:rPr>
      </w:pPr>
    </w:p>
    <w:p>
      <w:pPr>
        <w:ind w:left="100"/>
        <w:spacing w:after="0"/>
        <w:tabs>
          <w:tab w:leader="none" w:pos="5160" w:val="left"/>
          <w:tab w:leader="none" w:pos="6360" w:val="left"/>
        </w:tabs>
        <w:rPr>
          <w:sz w:val="20"/>
          <w:szCs w:val="20"/>
          <w:color w:val="auto"/>
        </w:rPr>
      </w:pPr>
      <w:r>
        <w:rPr>
          <w:rFonts w:ascii="Courier New" w:cs="Courier New" w:eastAsia="Courier New" w:hAnsi="Courier New"/>
          <w:sz w:val="15"/>
          <w:szCs w:val="15"/>
          <w:color w:val="auto"/>
        </w:rPr>
        <w:t>interpretation or ruling under the Plan or requesting</w:t>
        <w:tab/>
        <w:t>information</w:t>
        <w:tab/>
        <w:t>under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shall present the request in writing to the Senior Administrative</w:t>
      </w:r>
    </w:p>
    <w:p>
      <w:pPr>
        <w:spacing w:after="0" w:line="185" w:lineRule="exact"/>
        <w:rPr>
          <w:sz w:val="20"/>
          <w:szCs w:val="20"/>
          <w:color w:val="auto"/>
        </w:rPr>
      </w:pPr>
    </w:p>
    <w:p>
      <w:pPr>
        <w:spacing w:after="0"/>
        <w:tabs>
          <w:tab w:leader="none" w:pos="820" w:val="left"/>
          <w:tab w:leader="none" w:pos="1180" w:val="left"/>
          <w:tab w:leader="none" w:pos="1640" w:val="left"/>
          <w:tab w:leader="none" w:pos="2660" w:val="left"/>
          <w:tab w:leader="none" w:pos="3120" w:val="left"/>
          <w:tab w:leader="none" w:pos="3760" w:val="left"/>
          <w:tab w:leader="none" w:pos="4600" w:val="left"/>
          <w:tab w:leader="none" w:pos="4960" w:val="left"/>
          <w:tab w:leader="none" w:pos="5800" w:val="left"/>
          <w:tab w:leader="none" w:pos="6160" w:val="left"/>
        </w:tabs>
        <w:rPr>
          <w:sz w:val="20"/>
          <w:szCs w:val="20"/>
          <w:color w:val="auto"/>
        </w:rPr>
      </w:pPr>
      <w:r>
        <w:rPr>
          <w:rFonts w:ascii="Courier New" w:cs="Courier New" w:eastAsia="Courier New" w:hAnsi="Courier New"/>
          <w:sz w:val="15"/>
          <w:szCs w:val="15"/>
          <w:color w:val="auto"/>
        </w:rPr>
        <w:t>Officer</w:t>
        <w:tab/>
        <w:t>or</w:t>
        <w:tab/>
        <w:t>his</w:t>
        <w:tab/>
        <w:t>delegatee</w:t>
        <w:tab/>
        <w:t>who</w:t>
        <w:tab/>
        <w:t>shall</w:t>
        <w:tab/>
        <w:t>respond</w:t>
        <w:tab/>
        <w:t>in</w:t>
        <w:tab/>
        <w:t>writing</w:t>
        <w:tab/>
        <w:t>as</w:t>
        <w:tab/>
        <w:t>soon as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practicable.</w:t>
      </w:r>
    </w:p>
    <w:p>
      <w:pPr>
        <w:spacing w:after="0" w:line="185" w:lineRule="exact"/>
        <w:rPr>
          <w:sz w:val="20"/>
          <w:szCs w:val="20"/>
          <w:color w:val="auto"/>
        </w:rPr>
      </w:pPr>
    </w:p>
    <w:p>
      <w:pPr>
        <w:ind w:right="3299" w:firstLine="369"/>
        <w:spacing w:after="0" w:line="501" w:lineRule="auto"/>
        <w:rPr>
          <w:sz w:val="20"/>
          <w:szCs w:val="20"/>
          <w:color w:val="auto"/>
        </w:rPr>
      </w:pPr>
      <w:r>
        <w:rPr>
          <w:rFonts w:ascii="Courier New" w:cs="Courier New" w:eastAsia="Courier New" w:hAnsi="Courier New"/>
          <w:sz w:val="15"/>
          <w:szCs w:val="15"/>
          <w:color w:val="auto"/>
        </w:rPr>
        <w:t>9.2 DENIAL OF CLAIM. If the claim or request is denied, the written notice of denial shall state:</w:t>
      </w:r>
    </w:p>
    <w:p>
      <w:pPr>
        <w:ind w:left="380" w:right="3299" w:firstLine="642"/>
        <w:spacing w:after="0" w:line="501" w:lineRule="auto"/>
        <w:tabs>
          <w:tab w:leader="none" w:pos="14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for denial, with specific reference to the Plan provisions on which the denial is based.</w:t>
      </w:r>
    </w:p>
    <w:p>
      <w:pPr>
        <w:ind w:left="380" w:right="3299" w:firstLine="642"/>
        <w:spacing w:after="0" w:line="501" w:lineRule="auto"/>
        <w:tabs>
          <w:tab w:leader="none" w:pos="14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required and an explanation of why it is necessary.</w:t>
      </w:r>
    </w:p>
    <w:p>
      <w:pPr>
        <w:ind w:left="1480" w:hanging="458"/>
        <w:spacing w:after="0"/>
        <w:tabs>
          <w:tab w:leader="none" w:pos="14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explanation of the Plan's claim review procedure.</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9.3    REVIEW OF CLAIM.  Any person whose  claim  or request is denied or  who has not received a response within thirty (30) days  may  request review  by  notice  given in writing to the Senior Administrative Officer. The claim or request  shall  be  reviewed  by  the  Senior  Administrative Officer,  who  may,  but  shall not be required to, grant the claimant  a hearing.   On  review,  the claimant  may  have  representation,  examine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pertinent documents and submit issues and comments in writing.</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9.4    FINAL DECISION.   The  decision  by  the  Senior Administrative Officer on review shall normally be made within sixty  (60)  days.   If an extension   of   time  is  required  for  a  hearing  or  other  special circumstances, the claimant  shall be notified and the time limit shall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hundred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19 - MANAGEMENT DEFERRED COMPENSATION PLAN</w:t>
      </w:r>
    </w:p>
    <w:p>
      <w:pPr>
        <w:sectPr>
          <w:pgSz w:w="11900" w:h="16838" w:orient="portrait"/>
          <w:cols w:equalWidth="0" w:num="1">
            <w:col w:w="10139"/>
          </w:cols>
          <w:pgMar w:left="320" w:top="828" w:right="1440" w:bottom="1440" w:gutter="0" w:footer="0" w:header="0"/>
        </w:sectPr>
      </w:pPr>
    </w:p>
    <w:bookmarkStart w:id="105" w:name="page106"/>
    <w:bookmarkEnd w:id="105"/>
    <w:p>
      <w:pPr>
        <w:jc w:val="both"/>
        <w:ind w:right="3299"/>
        <w:spacing w:after="0" w:line="502" w:lineRule="auto"/>
        <w:rPr>
          <w:sz w:val="20"/>
          <w:szCs w:val="20"/>
          <w:color w:val="auto"/>
        </w:rPr>
      </w:pPr>
      <w:r>
        <w:rPr>
          <w:rFonts w:ascii="Courier New" w:cs="Courier New" w:eastAsia="Courier New" w:hAnsi="Courier New"/>
          <w:sz w:val="15"/>
          <w:szCs w:val="15"/>
          <w:color w:val="auto"/>
        </w:rPr>
        <w:t>twenty (120) days. The decision shall be in writing and shall state the reasons and the relevant Plan provisions. All decisions on review shall be final and bind all parties concerned.</w:t>
      </w:r>
    </w:p>
    <w:p>
      <w:pPr>
        <w:spacing w:after="0" w:line="353"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5"/>
          <w:szCs w:val="15"/>
          <w:color w:val="auto"/>
        </w:rPr>
        <w:t>ARTICLE X</w:t>
      </w: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AMENDMENT AND TERMINATION OF PLAN</w:t>
      </w:r>
    </w:p>
    <w:p>
      <w:pPr>
        <w:spacing w:after="0" w:line="185" w:lineRule="exact"/>
        <w:rPr>
          <w:sz w:val="20"/>
          <w:szCs w:val="20"/>
          <w:color w:val="auto"/>
        </w:rPr>
      </w:pPr>
    </w:p>
    <w:p>
      <w:pPr>
        <w:ind w:left="380"/>
        <w:spacing w:after="0"/>
        <w:tabs>
          <w:tab w:leader="none" w:pos="1000" w:val="left"/>
          <w:tab w:leader="none" w:pos="2200" w:val="left"/>
          <w:tab w:leader="none" w:pos="5440" w:val="left"/>
          <w:tab w:leader="none" w:pos="5900" w:val="left"/>
          <w:tab w:leader="none" w:pos="654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5"/>
          <w:szCs w:val="15"/>
          <w:color w:val="auto"/>
        </w:rPr>
        <w:t>The Senior Administrative Officer</w:t>
        <w:tab/>
        <w:t>may</w:t>
        <w:tab/>
        <w:t>amend</w:t>
        <w:tab/>
        <w:t>the</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Plan from time to time as may be necessary for administrative purposes and legal compliance of the Plan,  provided,  however,  that no such amendment shall affect the benefit rights of Participants or Beneficiaries  in  the Plan.   The  Committee  may amend the Plan at any time, provided, however, that no amendment shall be  effective  to decrease or restrict the accrued rights of Participants and Beneficiaries  to the amounts in their Accounts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time of the amendment.</w:t>
      </w:r>
    </w:p>
    <w:p>
      <w:pPr>
        <w:spacing w:after="0" w:line="185" w:lineRule="exact"/>
        <w:rPr>
          <w:sz w:val="20"/>
          <w:szCs w:val="20"/>
          <w:color w:val="auto"/>
        </w:rPr>
      </w:pPr>
    </w:p>
    <w:p>
      <w:pPr>
        <w:ind w:right="3299" w:firstLine="369"/>
        <w:spacing w:after="0" w:line="501" w:lineRule="auto"/>
        <w:rPr>
          <w:sz w:val="20"/>
          <w:szCs w:val="20"/>
          <w:color w:val="auto"/>
        </w:rPr>
      </w:pPr>
      <w:r>
        <w:rPr>
          <w:rFonts w:ascii="Courier New" w:cs="Courier New" w:eastAsia="Courier New" w:hAnsi="Courier New"/>
          <w:sz w:val="15"/>
          <w:szCs w:val="15"/>
          <w:color w:val="auto"/>
        </w:rPr>
        <w:t>10.2 TERMINATION. The Board of each Participating Employer may at any time, in its sole discretion, terminate or suspend the Plan in whole</w:t>
      </w:r>
    </w:p>
    <w:p>
      <w:pPr>
        <w:ind w:left="100"/>
        <w:spacing w:after="0"/>
        <w:tabs>
          <w:tab w:leader="none" w:pos="4240" w:val="left"/>
        </w:tabs>
        <w:rPr>
          <w:sz w:val="20"/>
          <w:szCs w:val="20"/>
          <w:color w:val="auto"/>
        </w:rPr>
      </w:pPr>
      <w:r>
        <w:rPr>
          <w:rFonts w:ascii="Courier New" w:cs="Courier New" w:eastAsia="Courier New" w:hAnsi="Courier New"/>
          <w:sz w:val="15"/>
          <w:szCs w:val="15"/>
          <w:color w:val="auto"/>
        </w:rPr>
        <w:t>or in part for that Participating Employer.</w:t>
        <w:tab/>
        <w:t>However, no such termination</w:t>
      </w:r>
    </w:p>
    <w:p>
      <w:pPr>
        <w:spacing w:after="0" w:line="185" w:lineRule="exact"/>
        <w:rPr>
          <w:sz w:val="20"/>
          <w:szCs w:val="20"/>
          <w:color w:val="auto"/>
        </w:rPr>
      </w:pPr>
    </w:p>
    <w:p>
      <w:pPr>
        <w:spacing w:after="0"/>
        <w:tabs>
          <w:tab w:leader="none" w:pos="360" w:val="left"/>
          <w:tab w:leader="none" w:pos="1460" w:val="left"/>
          <w:tab w:leader="none" w:pos="2100" w:val="left"/>
        </w:tabs>
        <w:rPr>
          <w:sz w:val="20"/>
          <w:szCs w:val="20"/>
          <w:color w:val="auto"/>
        </w:rPr>
      </w:pPr>
      <w:r>
        <w:rPr>
          <w:rFonts w:ascii="Courier New" w:cs="Courier New" w:eastAsia="Courier New" w:hAnsi="Courier New"/>
          <w:sz w:val="15"/>
          <w:szCs w:val="15"/>
          <w:color w:val="auto"/>
        </w:rPr>
        <w:t>or</w:t>
        <w:tab/>
        <w:t>suspension</w:t>
        <w:tab/>
        <w:t>shall</w:t>
        <w:tab/>
        <w:t>adversely affect the benefits of Participants which</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accrued prior to such action, the benefits of any Participant who has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previously retired, the</w:t>
            </w:r>
          </w:p>
        </w:tc>
        <w:tc>
          <w:tcPr>
            <w:tcW w:w="2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benefits  of any Beneficiary</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a Participant who</w:t>
            </w:r>
          </w:p>
        </w:tc>
      </w:tr>
      <w:tr>
        <w:trPr>
          <w:trHeight w:val="355"/>
        </w:trPr>
        <w:tc>
          <w:tcPr>
            <w:tcW w:w="2220" w:type="dxa"/>
            <w:vAlign w:val="bottom"/>
          </w:tcPr>
          <w:p>
            <w:pPr>
              <w:ind w:left="100"/>
              <w:spacing w:after="0"/>
              <w:rPr>
                <w:sz w:val="20"/>
                <w:szCs w:val="20"/>
                <w:color w:val="auto"/>
              </w:rPr>
            </w:pPr>
            <w:r>
              <w:rPr>
                <w:rFonts w:ascii="Courier New" w:cs="Courier New" w:eastAsia="Courier New" w:hAnsi="Courier New"/>
                <w:sz w:val="15"/>
                <w:szCs w:val="15"/>
                <w:color w:val="auto"/>
              </w:rPr>
              <w:t>has  previously  died,</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or  already</w:t>
            </w:r>
          </w:p>
        </w:tc>
        <w:tc>
          <w:tcPr>
            <w:tcW w:w="1580" w:type="dxa"/>
            <w:vAlign w:val="bottom"/>
          </w:tcPr>
          <w:p>
            <w:pPr>
              <w:ind w:left="200"/>
              <w:spacing w:after="0"/>
              <w:rPr>
                <w:sz w:val="20"/>
                <w:szCs w:val="20"/>
                <w:color w:val="auto"/>
              </w:rPr>
            </w:pPr>
            <w:r>
              <w:rPr>
                <w:rFonts w:ascii="Courier New" w:cs="Courier New" w:eastAsia="Courier New" w:hAnsi="Courier New"/>
                <w:sz w:val="15"/>
                <w:szCs w:val="15"/>
                <w:color w:val="auto"/>
              </w:rPr>
              <w:t>accrued   Plan</w:t>
            </w: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liabilities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between</w:t>
            </w:r>
          </w:p>
        </w:tc>
      </w:tr>
      <w:tr>
        <w:trPr>
          <w:trHeight w:val="35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Participating Employers.</w:t>
            </w: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5"/>
        </w:trPr>
        <w:tc>
          <w:tcPr>
            <w:tcW w:w="33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10.3   PAYMENT AT TERMINATION.</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Notwithstanding</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Paragraph  5.3 above,</w:t>
            </w:r>
          </w:p>
        </w:tc>
      </w:tr>
      <w:tr>
        <w:trPr>
          <w:trHeight w:val="35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if the Plan is terminated, payment of each Account to</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  Participant or a</w:t>
            </w:r>
          </w:p>
        </w:tc>
      </w:tr>
      <w:tr>
        <w:trPr>
          <w:trHeight w:val="355"/>
        </w:trPr>
        <w:tc>
          <w:tcPr>
            <w:tcW w:w="2220" w:type="dxa"/>
            <w:vAlign w:val="bottom"/>
          </w:tcPr>
          <w:p>
            <w:pPr>
              <w:spacing w:after="0"/>
              <w:rPr>
                <w:sz w:val="20"/>
                <w:szCs w:val="20"/>
                <w:color w:val="auto"/>
              </w:rPr>
            </w:pPr>
            <w:r>
              <w:rPr>
                <w:rFonts w:ascii="Courier New" w:cs="Courier New" w:eastAsia="Courier New" w:hAnsi="Courier New"/>
                <w:sz w:val="15"/>
                <w:szCs w:val="15"/>
                <w:color w:val="auto"/>
              </w:rPr>
              <w:t>Beneficiary for whom it</w:t>
            </w:r>
          </w:p>
        </w:tc>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is held shall commence within</w:t>
            </w: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sixty  (60)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days of</w:t>
            </w:r>
          </w:p>
        </w:tc>
      </w:tr>
      <w:tr>
        <w:trPr>
          <w:trHeight w:val="35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Plan termination in the</w:t>
            </w:r>
          </w:p>
        </w:tc>
        <w:tc>
          <w:tcPr>
            <w:tcW w:w="3920" w:type="dxa"/>
            <w:vAlign w:val="bottom"/>
            <w:gridSpan w:val="3"/>
          </w:tcPr>
          <w:p>
            <w:pPr>
              <w:spacing w:after="0"/>
              <w:rPr>
                <w:sz w:val="20"/>
                <w:szCs w:val="20"/>
                <w:color w:val="auto"/>
              </w:rPr>
            </w:pPr>
            <w:r>
              <w:rPr>
                <w:rFonts w:ascii="Courier New" w:cs="Courier New" w:eastAsia="Courier New" w:hAnsi="Courier New"/>
                <w:sz w:val="15"/>
                <w:szCs w:val="15"/>
                <w:color w:val="auto"/>
              </w:rPr>
              <w:t>earlier of one (1) of the following forms:</w:t>
            </w: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20 - MANAGEMENT DEFERRED COMPENSATION PLAN</w:t>
      </w:r>
    </w:p>
    <w:p>
      <w:pPr>
        <w:sectPr>
          <w:pgSz w:w="11900" w:h="16838" w:orient="portrait"/>
          <w:cols w:equalWidth="0" w:num="1">
            <w:col w:w="10139"/>
          </w:cols>
          <w:pgMar w:left="320" w:top="828" w:right="1440" w:bottom="1440" w:gutter="0" w:footer="0" w:header="0"/>
        </w:sectPr>
      </w:pPr>
    </w:p>
    <w:bookmarkStart w:id="106" w:name="page107"/>
    <w:bookmarkEnd w:id="106"/>
    <w:p>
      <w:pPr>
        <w:ind w:left="380" w:right="3299" w:firstLine="642"/>
        <w:spacing w:after="0" w:line="501" w:lineRule="auto"/>
        <w:tabs>
          <w:tab w:leader="none" w:pos="14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and time of payment designated by the Participant; or</w:t>
      </w:r>
    </w:p>
    <w:p>
      <w:pPr>
        <w:ind w:left="1480" w:hanging="458"/>
        <w:spacing w:after="0"/>
        <w:tabs>
          <w:tab w:leader="none" w:pos="14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in the following form:</w:t>
      </w:r>
    </w:p>
    <w:p>
      <w:pPr>
        <w:spacing w:after="0" w:line="185" w:lineRule="exact"/>
        <w:rPr>
          <w:sz w:val="20"/>
          <w:szCs w:val="20"/>
          <w:color w:val="auto"/>
        </w:rPr>
      </w:pPr>
    </w:p>
    <w:p>
      <w:pPr>
        <w:ind w:left="200"/>
        <w:spacing w:after="0"/>
        <w:tabs>
          <w:tab w:leader="none" w:pos="3680" w:val="left"/>
        </w:tabs>
        <w:rPr>
          <w:sz w:val="20"/>
          <w:szCs w:val="20"/>
          <w:color w:val="auto"/>
        </w:rPr>
      </w:pPr>
      <w:r>
        <w:rPr>
          <w:rFonts w:ascii="Courier New" w:cs="Courier New" w:eastAsia="Courier New" w:hAnsi="Courier New"/>
          <w:sz w:val="15"/>
          <w:szCs w:val="15"/>
          <w:color w:val="auto"/>
        </w:rPr>
        <w:t>APPROPRIATE ACCOUNT BALANCE</w:t>
      </w:r>
      <w:r>
        <w:rPr>
          <w:sz w:val="20"/>
          <w:szCs w:val="20"/>
          <w:color w:val="auto"/>
        </w:rPr>
        <w:tab/>
      </w:r>
      <w:r>
        <w:rPr>
          <w:rFonts w:ascii="Courier New" w:cs="Courier New" w:eastAsia="Courier New" w:hAnsi="Courier New"/>
          <w:sz w:val="15"/>
          <w:szCs w:val="15"/>
          <w:color w:val="auto"/>
        </w:rPr>
        <w:t>PAYOUT PERIOD</w:t>
      </w:r>
    </w:p>
    <w:p>
      <w:pPr>
        <w:spacing w:after="0" w:line="185"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Less than $25,000:</w:t>
      </w:r>
      <w:r>
        <w:rPr>
          <w:sz w:val="20"/>
          <w:szCs w:val="20"/>
          <w:color w:val="auto"/>
        </w:rPr>
        <w:tab/>
      </w:r>
      <w:r>
        <w:rPr>
          <w:rFonts w:ascii="Courier New" w:cs="Courier New" w:eastAsia="Courier New" w:hAnsi="Courier New"/>
          <w:sz w:val="15"/>
          <w:szCs w:val="15"/>
          <w:color w:val="auto"/>
        </w:rPr>
        <w:t>Lump sum</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 but less than $100,000: Monthly installments over 2 years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but less than $500,000: Monthly installments over 3 years</w:t>
      </w:r>
    </w:p>
    <w:p>
      <w:pPr>
        <w:spacing w:after="0" w:line="185"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$500,000 or more:</w:t>
      </w:r>
      <w:r>
        <w:rPr>
          <w:sz w:val="20"/>
          <w:szCs w:val="20"/>
          <w:color w:val="auto"/>
        </w:rPr>
        <w:tab/>
      </w:r>
      <w:r>
        <w:rPr>
          <w:rFonts w:ascii="Courier New" w:cs="Courier New" w:eastAsia="Courier New" w:hAnsi="Courier New"/>
          <w:sz w:val="15"/>
          <w:szCs w:val="15"/>
          <w:color w:val="auto"/>
        </w:rPr>
        <w:t>Monthly installments over 5 years</w:t>
      </w:r>
    </w:p>
    <w:p>
      <w:pPr>
        <w:spacing w:after="0" w:line="200" w:lineRule="exact"/>
        <w:rPr>
          <w:sz w:val="20"/>
          <w:szCs w:val="20"/>
          <w:color w:val="auto"/>
        </w:rPr>
      </w:pPr>
    </w:p>
    <w:p>
      <w:pPr>
        <w:spacing w:after="0" w:line="325" w:lineRule="exact"/>
        <w:rPr>
          <w:sz w:val="20"/>
          <w:szCs w:val="20"/>
          <w:color w:val="auto"/>
        </w:rPr>
      </w:pPr>
    </w:p>
    <w:p>
      <w:pPr>
        <w:ind w:right="3299"/>
        <w:spacing w:after="0" w:line="502" w:lineRule="auto"/>
        <w:rPr>
          <w:sz w:val="20"/>
          <w:szCs w:val="20"/>
          <w:color w:val="auto"/>
        </w:rPr>
      </w:pPr>
      <w:r>
        <w:rPr>
          <w:rFonts w:ascii="Courier New" w:cs="Courier New" w:eastAsia="Courier New" w:hAnsi="Courier New"/>
          <w:sz w:val="15"/>
          <w:szCs w:val="15"/>
          <w:color w:val="auto"/>
        </w:rPr>
        <w:t>Interest earned on the unpaid balance in Participant's Account shall be the applicable Interest rate on the Determination Date immediately preceding the effective date of such termination of the Plan.</w:t>
      </w:r>
    </w:p>
    <w:p>
      <w:pPr>
        <w:spacing w:after="0" w:line="35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ARTICLE XI</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11.1   UNFUNDED  PLAN.   This Plan is intended to be an unfunded  plan maintained primarily to provide  deferred  compensation  benefits  for  a select  group  of  "management or highly compensated employees" within the meaning of Sections 201, 301, and 401 of ERISA, and therefore to be exempt from the provisions of Parts 2, 3 and 4 of Title I of ERISA.  Accordingly, the Board may terminate  the  Plan  and  commence termination payout under 10.3 above for all or certain Participants, or remove certain employees as Participants, if it is determined by the United States Department of Labor or a court of competent jurisdiction that the Plan constitutes an employee pension benefit plan within the meaning of  Section 3(2) of ERISA which is not  so  exempt.   This  Plan  is not intended to  create  an  investment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but to provide retirement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21 - MANAGEMENT DEFERRED COMPENSATION PLAN</w:t>
      </w:r>
    </w:p>
    <w:p>
      <w:pPr>
        <w:sectPr>
          <w:pgSz w:w="11900" w:h="16838" w:orient="portrait"/>
          <w:cols w:equalWidth="0" w:num="1">
            <w:col w:w="10139"/>
          </w:cols>
          <w:pgMar w:left="320" w:top="828" w:right="1440" w:bottom="1440" w:gutter="0" w:footer="0" w:header="0"/>
        </w:sectPr>
      </w:pPr>
    </w:p>
    <w:bookmarkStart w:id="107" w:name="page108"/>
    <w:bookmarkEnd w:id="107"/>
    <w:p>
      <w:pPr>
        <w:jc w:val="center"/>
        <w:ind w:right="3299"/>
        <w:spacing w:after="0" w:line="501" w:lineRule="auto"/>
        <w:rPr>
          <w:sz w:val="20"/>
          <w:szCs w:val="20"/>
          <w:color w:val="auto"/>
        </w:rPr>
      </w:pPr>
      <w:r>
        <w:rPr>
          <w:rFonts w:ascii="Courier New" w:cs="Courier New" w:eastAsia="Courier New" w:hAnsi="Courier New"/>
          <w:sz w:val="15"/>
          <w:szCs w:val="15"/>
          <w:color w:val="auto"/>
        </w:rPr>
        <w:t>benefits to eligible individuals  who  have  elected to participate in the Plan.   Eligible individuals are select members  of  management  who,  by virtue of  their  position  with  Participating  Employer,  are  uniquely informed as to Participating Employer's operations and have the ability to materially affect Participating Employer's profitability and operations.</w:t>
      </w:r>
    </w:p>
    <w:p>
      <w:pPr>
        <w:spacing w:after="0" w:line="1" w:lineRule="exact"/>
        <w:rPr>
          <w:sz w:val="20"/>
          <w:szCs w:val="20"/>
          <w:color w:val="auto"/>
        </w:rPr>
      </w:pPr>
    </w:p>
    <w:p>
      <w:pPr>
        <w:ind w:left="380"/>
        <w:spacing w:after="0"/>
        <w:tabs>
          <w:tab w:leader="none" w:pos="100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LIABILITY.</w:t>
      </w:r>
    </w:p>
    <w:p>
      <w:pPr>
        <w:spacing w:after="0" w:line="185" w:lineRule="exact"/>
        <w:rPr>
          <w:sz w:val="20"/>
          <w:szCs w:val="20"/>
          <w:color w:val="auto"/>
        </w:rPr>
      </w:pPr>
    </w:p>
    <w:p>
      <w:pPr>
        <w:jc w:val="both"/>
        <w:ind w:left="380" w:right="3299" w:firstLine="642"/>
        <w:spacing w:after="0" w:line="501" w:lineRule="auto"/>
        <w:tabs>
          <w:tab w:leader="none" w:pos="14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FOR BENEFITS. Except as otherwise provided in this paragraph, liability for the payment of a Participant's benefit pursuant to this Plan shall be borne solely by the Participating Employer that employs the Participant and reports the Participant as being on its payroll during the accrual or increase of the Plan benefit, and no liability for the payment of any Plan benefit shall be incurred by reason of Plan sponsorship or participation except for the Plan benefits of a Participating Employer's own employees. Provided, however, that each Participating Employer, by accepting the Board's designation as a Participating Employer under the Plan and formally adopting the Plan, agrees to assume secondary liability for the payment of any benefit accrued or increased while a Participant is employed and on the payroll of a Participating Employer that is a Direct Subsidiary or Indirect Subsidiary of the Participating Employer at the time such benefit is accrued or increased. Such liability shall survive any revocation of designation as a Participating Employer with respect to any liabilities accrued at the time of such revocation. Nothing in this paragraph shall be interpreted as prohibiting any Participating Employer or any other person from expressly agreeing to the assumption of liability for a Plan Participant's payment of any benefits under the Plan.</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22 - MANAGEMENT DEFERRED COMPENSATION PLAN</w:t>
      </w:r>
    </w:p>
    <w:p>
      <w:pPr>
        <w:sectPr>
          <w:pgSz w:w="11900" w:h="16838" w:orient="portrait"/>
          <w:cols w:equalWidth="0" w:num="1">
            <w:col w:w="10139"/>
          </w:cols>
          <w:pgMar w:left="320" w:top="828" w:right="1440" w:bottom="1440" w:gutter="0" w:footer="0" w:header="0"/>
        </w:sectPr>
      </w:pPr>
    </w:p>
    <w:bookmarkStart w:id="108" w:name="page109"/>
    <w:bookmarkEnd w:id="108"/>
    <w:p>
      <w:pPr>
        <w:jc w:val="both"/>
        <w:ind w:left="380" w:right="3299" w:firstLine="642"/>
        <w:spacing w:after="0" w:line="501" w:lineRule="auto"/>
        <w:tabs>
          <w:tab w:leader="none" w:pos="148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GENERAL CREDITOR. Participants and their Beneficiaries, heirs, successors, and assigns shall have no secured legal or equitable rights, interest or claims in any property or assets of a Participating Employer, nor shall they be beneficiaries of, or have any rights, claims or interests in any Policies or the proceeds therefrom owned or which may be acquired by a Participating Employer. Except as provided in Section 11.3, such Policies or other assets of a Participating Employer shall not be held under any trust for the benefit of Participants, their Beneficiaries, heirs, successors or assigns, or held in any way as collateral security for the fulfilling of the obligations of a Participating Employer under this Plan. Any and all of a Participating Employer's assets and Policies shall be, and remain, the general, unpledged, unrestricted assets of the Participating Employer. A Participating Employer's obligation under the Plan shall be that of an unfunded and unsecured promise to pay money in the future.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ind w:left="380"/>
              <w:spacing w:after="0"/>
              <w:rPr>
                <w:sz w:val="20"/>
                <w:szCs w:val="20"/>
                <w:color w:val="auto"/>
              </w:rPr>
            </w:pPr>
            <w:r>
              <w:rPr>
                <w:rFonts w:ascii="Courier New" w:cs="Courier New" w:eastAsia="Courier New" w:hAnsi="Courier New"/>
                <w:sz w:val="15"/>
                <w:szCs w:val="15"/>
                <w:color w:val="auto"/>
              </w:rPr>
              <w:t>11.3</w:t>
            </w:r>
          </w:p>
        </w:tc>
        <w:tc>
          <w:tcPr>
            <w:tcW w:w="130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TRUST FUND.</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At its</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discretion,</w:t>
            </w:r>
          </w:p>
        </w:tc>
        <w:tc>
          <w:tcPr>
            <w:tcW w:w="640" w:type="dxa"/>
            <w:vAlign w:val="bottom"/>
          </w:tcPr>
          <w:p>
            <w:pPr>
              <w:ind w:left="140"/>
              <w:spacing w:after="0"/>
              <w:rPr>
                <w:sz w:val="20"/>
                <w:szCs w:val="20"/>
                <w:color w:val="auto"/>
              </w:rPr>
            </w:pPr>
            <w:r>
              <w:rPr>
                <w:rFonts w:ascii="Courier New" w:cs="Courier New" w:eastAsia="Courier New" w:hAnsi="Courier New"/>
                <w:sz w:val="15"/>
                <w:szCs w:val="15"/>
                <w:color w:val="auto"/>
              </w:rPr>
              <w:t>each</w:t>
            </w: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Participating Employer,</w:t>
            </w:r>
          </w:p>
        </w:tc>
      </w:tr>
      <w:tr>
        <w:trPr>
          <w:trHeight w:val="355"/>
        </w:trPr>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jointly</w:t>
            </w:r>
          </w:p>
        </w:tc>
        <w:tc>
          <w:tcPr>
            <w:tcW w:w="130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or severally,</w:t>
            </w:r>
          </w:p>
        </w:tc>
        <w:tc>
          <w:tcPr>
            <w:tcW w:w="2760" w:type="dxa"/>
            <w:vAlign w:val="bottom"/>
            <w:gridSpan w:val="6"/>
          </w:tcPr>
          <w:p>
            <w:pPr>
              <w:spacing w:after="0"/>
              <w:rPr>
                <w:sz w:val="20"/>
                <w:szCs w:val="20"/>
                <w:color w:val="auto"/>
              </w:rPr>
            </w:pPr>
            <w:r>
              <w:rPr>
                <w:rFonts w:ascii="Courier New" w:cs="Courier New" w:eastAsia="Courier New" w:hAnsi="Courier New"/>
                <w:sz w:val="15"/>
                <w:szCs w:val="15"/>
                <w:color w:val="auto"/>
              </w:rPr>
              <w:t>may establish one (1) or more</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trusts,  with  such</w:t>
            </w: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trustee as</w:t>
            </w:r>
          </w:p>
        </w:tc>
        <w:tc>
          <w:tcPr>
            <w:tcW w:w="200" w:type="dxa"/>
            <w:vAlign w:val="bottom"/>
          </w:tcPr>
          <w:p>
            <w:pPr>
              <w:spacing w:after="0"/>
              <w:rPr>
                <w:sz w:val="24"/>
                <w:szCs w:val="24"/>
                <w:color w:val="auto"/>
              </w:rPr>
            </w:pP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the  Board</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238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approve, for the purpose</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providing for the</w:t>
            </w:r>
          </w:p>
        </w:tc>
      </w:tr>
      <w:tr>
        <w:trPr>
          <w:trHeight w:val="355"/>
        </w:trPr>
        <w:tc>
          <w:tcPr>
            <w:tcW w:w="2960" w:type="dxa"/>
            <w:vAlign w:val="bottom"/>
            <w:gridSpan w:val="6"/>
          </w:tcPr>
          <w:p>
            <w:pPr>
              <w:spacing w:after="0"/>
              <w:rPr>
                <w:sz w:val="20"/>
                <w:szCs w:val="20"/>
                <w:color w:val="auto"/>
              </w:rPr>
            </w:pPr>
            <w:r>
              <w:rPr>
                <w:rFonts w:ascii="Courier New" w:cs="Courier New" w:eastAsia="Courier New" w:hAnsi="Courier New"/>
                <w:sz w:val="15"/>
                <w:szCs w:val="15"/>
                <w:color w:val="auto"/>
              </w:rPr>
              <w:t>payment of such benefits.  Such</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rPr>
              <w:t>trust</w:t>
            </w:r>
          </w:p>
        </w:tc>
        <w:tc>
          <w:tcPr>
            <w:tcW w:w="420" w:type="dxa"/>
            <w:vAlign w:val="bottom"/>
          </w:tcPr>
          <w:p>
            <w:pPr>
              <w:ind w:left="100"/>
              <w:spacing w:after="0"/>
              <w:rPr>
                <w:sz w:val="20"/>
                <w:szCs w:val="20"/>
                <w:color w:val="auto"/>
              </w:rPr>
            </w:pPr>
            <w:r>
              <w:rPr>
                <w:rFonts w:ascii="Courier New" w:cs="Courier New" w:eastAsia="Courier New" w:hAnsi="Courier New"/>
                <w:sz w:val="15"/>
                <w:szCs w:val="15"/>
                <w:color w:val="auto"/>
              </w:rPr>
              <w:t>or</w:t>
            </w: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trusts may be irrevocable, but</w:t>
            </w:r>
          </w:p>
        </w:tc>
      </w:tr>
      <w:tr>
        <w:trPr>
          <w:trHeight w:val="355"/>
        </w:trPr>
        <w:tc>
          <w:tcPr>
            <w:tcW w:w="466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the assets thereof shall be subject to the claims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rPr>
              <w:t>the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Participating</w:t>
            </w: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Employer's</w:t>
            </w:r>
          </w:p>
        </w:tc>
        <w:tc>
          <w:tcPr>
            <w:tcW w:w="200" w:type="dxa"/>
            <w:vAlign w:val="bottom"/>
          </w:tcPr>
          <w:p>
            <w:pPr>
              <w:spacing w:after="0"/>
              <w:rPr>
                <w:sz w:val="24"/>
                <w:szCs w:val="24"/>
                <w:color w:val="auto"/>
              </w:rPr>
            </w:pP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creditors.</w:t>
            </w:r>
          </w:p>
        </w:tc>
        <w:tc>
          <w:tcPr>
            <w:tcW w:w="4620" w:type="dxa"/>
            <w:vAlign w:val="bottom"/>
            <w:gridSpan w:val="8"/>
          </w:tcPr>
          <w:p>
            <w:pPr>
              <w:spacing w:after="0"/>
              <w:rPr>
                <w:sz w:val="20"/>
                <w:szCs w:val="20"/>
                <w:color w:val="auto"/>
              </w:rPr>
            </w:pPr>
            <w:r>
              <w:rPr>
                <w:rFonts w:ascii="Courier New" w:cs="Courier New" w:eastAsia="Courier New" w:hAnsi="Courier New"/>
                <w:sz w:val="15"/>
                <w:szCs w:val="15"/>
                <w:color w:val="auto"/>
              </w:rPr>
              <w:t>To the extent any benefits provided under the Plan</w:t>
            </w:r>
          </w:p>
        </w:tc>
      </w:tr>
      <w:tr>
        <w:trPr>
          <w:trHeight w:val="355"/>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are actually</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paid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c>
          <w:tcPr>
            <w:tcW w:w="46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any such trust, the Participating Employer shall</w:t>
            </w:r>
          </w:p>
        </w:tc>
      </w:tr>
      <w:tr>
        <w:trPr>
          <w:trHeight w:val="355"/>
        </w:trPr>
        <w:tc>
          <w:tcPr>
            <w:tcW w:w="2600" w:type="dxa"/>
            <w:vAlign w:val="bottom"/>
            <w:gridSpan w:val="5"/>
          </w:tcPr>
          <w:p>
            <w:pPr>
              <w:spacing w:after="0"/>
              <w:rPr>
                <w:sz w:val="20"/>
                <w:szCs w:val="20"/>
                <w:color w:val="auto"/>
              </w:rPr>
            </w:pPr>
            <w:r>
              <w:rPr>
                <w:rFonts w:ascii="Courier New" w:cs="Courier New" w:eastAsia="Courier New" w:hAnsi="Courier New"/>
                <w:sz w:val="15"/>
                <w:szCs w:val="15"/>
                <w:color w:val="auto"/>
              </w:rPr>
              <w:t>have no further obligation</w:t>
            </w:r>
          </w:p>
        </w:tc>
        <w:tc>
          <w:tcPr>
            <w:tcW w:w="238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with respect thereto, but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the extent not so</w:t>
            </w:r>
          </w:p>
        </w:tc>
      </w:tr>
      <w:tr>
        <w:trPr>
          <w:trHeight w:val="355"/>
        </w:trPr>
        <w:tc>
          <w:tcPr>
            <w:tcW w:w="2960" w:type="dxa"/>
            <w:vAlign w:val="bottom"/>
            <w:gridSpan w:val="6"/>
          </w:tcPr>
          <w:p>
            <w:pPr>
              <w:spacing w:after="0"/>
              <w:rPr>
                <w:sz w:val="20"/>
                <w:szCs w:val="20"/>
                <w:color w:val="auto"/>
              </w:rPr>
            </w:pPr>
            <w:r>
              <w:rPr>
                <w:rFonts w:ascii="Courier New" w:cs="Courier New" w:eastAsia="Courier New" w:hAnsi="Courier New"/>
                <w:sz w:val="15"/>
                <w:szCs w:val="15"/>
                <w:color w:val="auto"/>
              </w:rPr>
              <w:t>paid, such benefits shall remain</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rPr>
              <w:t>the</w:t>
            </w:r>
          </w:p>
        </w:tc>
        <w:tc>
          <w:tcPr>
            <w:tcW w:w="138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obligation of,</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shall be paid by</w:t>
            </w:r>
          </w:p>
        </w:tc>
      </w:tr>
      <w:tr>
        <w:trPr>
          <w:trHeight w:val="355"/>
        </w:trPr>
        <w:tc>
          <w:tcPr>
            <w:tcW w:w="2600" w:type="dxa"/>
            <w:vAlign w:val="bottom"/>
            <w:gridSpan w:val="5"/>
          </w:tcPr>
          <w:p>
            <w:pPr>
              <w:spacing w:after="0"/>
              <w:rPr>
                <w:sz w:val="20"/>
                <w:szCs w:val="20"/>
                <w:color w:val="auto"/>
              </w:rPr>
            </w:pPr>
            <w:r>
              <w:rPr>
                <w:rFonts w:ascii="Courier New" w:cs="Courier New" w:eastAsia="Courier New" w:hAnsi="Courier New"/>
                <w:sz w:val="15"/>
                <w:szCs w:val="15"/>
                <w:color w:val="auto"/>
              </w:rPr>
              <w:t>the Participating Employer.</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5"/>
        </w:trPr>
        <w:tc>
          <w:tcPr>
            <w:tcW w:w="920" w:type="dxa"/>
            <w:vAlign w:val="bottom"/>
          </w:tcPr>
          <w:p>
            <w:pPr>
              <w:ind w:left="380"/>
              <w:spacing w:after="0"/>
              <w:rPr>
                <w:sz w:val="20"/>
                <w:szCs w:val="20"/>
                <w:color w:val="auto"/>
              </w:rPr>
            </w:pPr>
            <w:r>
              <w:rPr>
                <w:rFonts w:ascii="Courier New" w:cs="Courier New" w:eastAsia="Courier New" w:hAnsi="Courier New"/>
                <w:sz w:val="15"/>
                <w:szCs w:val="15"/>
                <w:color w:val="auto"/>
              </w:rPr>
              <w:t>11.4</w:t>
            </w:r>
          </w:p>
        </w:tc>
        <w:tc>
          <w:tcPr>
            <w:tcW w:w="1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NONASSIGNABILITY.</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Neither a</w:t>
            </w:r>
          </w:p>
        </w:tc>
        <w:tc>
          <w:tcPr>
            <w:tcW w:w="138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Participant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nor any other person</w:t>
            </w:r>
          </w:p>
        </w:tc>
      </w:tr>
      <w:tr>
        <w:trPr>
          <w:trHeight w:val="355"/>
        </w:trPr>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shall  have</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any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right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5"/>
          </w:tcPr>
          <w:p>
            <w:pPr>
              <w:jc w:val="right"/>
              <w:ind w:right="3"/>
              <w:spacing w:after="0"/>
              <w:rPr>
                <w:sz w:val="20"/>
                <w:szCs w:val="20"/>
                <w:color w:val="auto"/>
              </w:rPr>
            </w:pPr>
            <w:r>
              <w:rPr>
                <w:rFonts w:ascii="Courier New" w:cs="Courier New" w:eastAsia="Courier New" w:hAnsi="Courier New"/>
                <w:sz w:val="15"/>
                <w:szCs w:val="15"/>
                <w:color w:val="auto"/>
              </w:rPr>
              <w:t>sell, assign, transfer,</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rPr>
              <w:t>pledge,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anticipate,</w:t>
            </w:r>
          </w:p>
        </w:tc>
      </w:tr>
      <w:tr>
        <w:trPr>
          <w:trHeight w:val="355"/>
        </w:trPr>
        <w:tc>
          <w:tcPr>
            <w:tcW w:w="4980" w:type="dxa"/>
            <w:vAlign w:val="bottom"/>
            <w:gridSpan w:val="10"/>
          </w:tcPr>
          <w:p>
            <w:pPr>
              <w:spacing w:after="0"/>
              <w:rPr>
                <w:sz w:val="20"/>
                <w:szCs w:val="20"/>
                <w:color w:val="auto"/>
              </w:rPr>
            </w:pPr>
            <w:r>
              <w:rPr>
                <w:rFonts w:ascii="Courier New" w:cs="Courier New" w:eastAsia="Courier New" w:hAnsi="Courier New"/>
                <w:sz w:val="15"/>
                <w:szCs w:val="15"/>
                <w:color w:val="auto"/>
              </w:rPr>
              <w:t>mortgage or otherwise encumber, hypothecate or convey</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advance of actual</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 the amounts, if any, payable hereunder, or any part thereof,</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23 - MANAGEMENT DEFERRED COMPENSATION PLAN</w:t>
      </w:r>
    </w:p>
    <w:p>
      <w:pPr>
        <w:sectPr>
          <w:pgSz w:w="11900" w:h="16838" w:orient="portrait"/>
          <w:cols w:equalWidth="0" w:num="1">
            <w:col w:w="10139"/>
          </w:cols>
          <w:pgMar w:left="320" w:top="828" w:right="1440" w:bottom="1440" w:gutter="0" w:footer="0" w:header="0"/>
        </w:sectPr>
      </w:pPr>
    </w:p>
    <w:bookmarkStart w:id="109" w:name="page110"/>
    <w:bookmarkEnd w:id="109"/>
    <w:p>
      <w:pPr>
        <w:jc w:val="both"/>
        <w:ind w:right="3299" w:firstLine="92"/>
        <w:spacing w:after="0" w:line="501" w:lineRule="auto"/>
        <w:rPr>
          <w:sz w:val="20"/>
          <w:szCs w:val="20"/>
          <w:color w:val="auto"/>
        </w:rPr>
      </w:pPr>
      <w:r>
        <w:rPr>
          <w:rFonts w:ascii="Courier New" w:cs="Courier New" w:eastAsia="Courier New" w:hAnsi="Courier New"/>
          <w:sz w:val="15"/>
          <w:szCs w:val="15"/>
          <w:color w:val="auto"/>
        </w:rPr>
        <w:t>which are, and all rights to which are, expressly declared to be nonassignable and nontransferable. No part of the amounts payable shall, prior to actual payment, be subject to seizure or sequestration for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payment of</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any</w:t>
            </w:r>
          </w:p>
        </w:tc>
        <w:tc>
          <w:tcPr>
            <w:tcW w:w="2300" w:type="dxa"/>
            <w:vAlign w:val="bottom"/>
            <w:gridSpan w:val="6"/>
          </w:tcPr>
          <w:p>
            <w:pPr>
              <w:spacing w:after="0"/>
              <w:rPr>
                <w:sz w:val="20"/>
                <w:szCs w:val="20"/>
                <w:color w:val="auto"/>
              </w:rPr>
            </w:pPr>
            <w:r>
              <w:rPr>
                <w:rFonts w:ascii="Courier New" w:cs="Courier New" w:eastAsia="Courier New" w:hAnsi="Courier New"/>
                <w:sz w:val="15"/>
                <w:szCs w:val="15"/>
                <w:color w:val="auto"/>
              </w:rPr>
              <w:t>debts, judgments, alimony</w:t>
            </w:r>
          </w:p>
        </w:tc>
        <w:tc>
          <w:tcPr>
            <w:tcW w:w="314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or separate maintenance owed by a</w:t>
            </w:r>
          </w:p>
        </w:tc>
      </w:tr>
      <w:tr>
        <w:trPr>
          <w:trHeight w:val="355"/>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Participant or</w:t>
            </w:r>
          </w:p>
        </w:tc>
        <w:tc>
          <w:tcPr>
            <w:tcW w:w="3780" w:type="dxa"/>
            <w:vAlign w:val="bottom"/>
            <w:gridSpan w:val="11"/>
          </w:tcPr>
          <w:p>
            <w:pPr>
              <w:spacing w:after="0"/>
              <w:rPr>
                <w:sz w:val="20"/>
                <w:szCs w:val="20"/>
                <w:color w:val="auto"/>
              </w:rPr>
            </w:pPr>
            <w:r>
              <w:rPr>
                <w:rFonts w:ascii="Courier New" w:cs="Courier New" w:eastAsia="Courier New" w:hAnsi="Courier New"/>
                <w:sz w:val="15"/>
                <w:szCs w:val="15"/>
                <w:color w:val="auto"/>
              </w:rPr>
              <w:t>any other person, nor be transferable by</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operation</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law</w:t>
            </w:r>
          </w:p>
        </w:tc>
      </w:tr>
      <w:tr>
        <w:trPr>
          <w:trHeight w:val="355"/>
        </w:trPr>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in</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event</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260" w:type="dxa"/>
            <w:vAlign w:val="bottom"/>
          </w:tcPr>
          <w:p>
            <w:pPr>
              <w:jc w:val="right"/>
              <w:ind w:right="3"/>
              <w:spacing w:after="0"/>
              <w:rPr>
                <w:sz w:val="20"/>
                <w:szCs w:val="20"/>
                <w:color w:val="auto"/>
              </w:rPr>
            </w:pPr>
            <w:r>
              <w:rPr>
                <w:rFonts w:ascii="Courier New" w:cs="Courier New" w:eastAsia="Courier New" w:hAnsi="Courier New"/>
                <w:sz w:val="15"/>
                <w:szCs w:val="15"/>
                <w:color w:val="auto"/>
              </w:rPr>
              <w:t>a</w:t>
            </w:r>
          </w:p>
        </w:tc>
        <w:tc>
          <w:tcPr>
            <w:tcW w:w="172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Participant's  or</w:t>
            </w:r>
          </w:p>
        </w:tc>
        <w:tc>
          <w:tcPr>
            <w:tcW w:w="30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any other person's bankruptcy or</w:t>
            </w:r>
          </w:p>
        </w:tc>
      </w:tr>
      <w:tr>
        <w:trPr>
          <w:trHeight w:val="355"/>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insolvency.</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5"/>
        </w:trPr>
        <w:tc>
          <w:tcPr>
            <w:tcW w:w="1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11.5</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NOT</w:t>
            </w:r>
          </w:p>
        </w:tc>
        <w:tc>
          <w:tcPr>
            <w:tcW w:w="2300" w:type="dxa"/>
            <w:vAlign w:val="bottom"/>
            <w:gridSpan w:val="6"/>
          </w:tcPr>
          <w:p>
            <w:pPr>
              <w:spacing w:after="0"/>
              <w:rPr>
                <w:sz w:val="20"/>
                <w:szCs w:val="20"/>
                <w:color w:val="auto"/>
              </w:rPr>
            </w:pPr>
            <w:r>
              <w:rPr>
                <w:rFonts w:ascii="Courier New" w:cs="Courier New" w:eastAsia="Courier New" w:hAnsi="Courier New"/>
                <w:sz w:val="15"/>
                <w:szCs w:val="15"/>
                <w:color w:val="auto"/>
              </w:rPr>
              <w:t>A CONTRACT OF EMPLOYMENT.</w:t>
            </w:r>
          </w:p>
        </w:tc>
        <w:tc>
          <w:tcPr>
            <w:tcW w:w="140" w:type="dxa"/>
            <w:vAlign w:val="bottom"/>
          </w:tcPr>
          <w:p>
            <w:pPr>
              <w:spacing w:after="0"/>
              <w:rPr>
                <w:sz w:val="24"/>
                <w:szCs w:val="24"/>
                <w:color w:val="auto"/>
              </w:rPr>
            </w:pPr>
          </w:p>
        </w:tc>
        <w:tc>
          <w:tcPr>
            <w:tcW w:w="30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The terms and conditions of this</w:t>
            </w:r>
          </w:p>
        </w:tc>
      </w:tr>
      <w:tr>
        <w:trPr>
          <w:trHeight w:val="355"/>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Plan shall not</w:t>
            </w:r>
          </w:p>
        </w:tc>
        <w:tc>
          <w:tcPr>
            <w:tcW w:w="2300" w:type="dxa"/>
            <w:vAlign w:val="bottom"/>
            <w:gridSpan w:val="6"/>
          </w:tcPr>
          <w:p>
            <w:pPr>
              <w:spacing w:after="0"/>
              <w:rPr>
                <w:sz w:val="20"/>
                <w:szCs w:val="20"/>
                <w:color w:val="auto"/>
              </w:rPr>
            </w:pPr>
            <w:r>
              <w:rPr>
                <w:rFonts w:ascii="Courier New" w:cs="Courier New" w:eastAsia="Courier New" w:hAnsi="Courier New"/>
                <w:sz w:val="15"/>
                <w:szCs w:val="15"/>
                <w:color w:val="auto"/>
              </w:rPr>
              <w:t>be deemed to constitute a</w:t>
            </w:r>
          </w:p>
        </w:tc>
        <w:tc>
          <w:tcPr>
            <w:tcW w:w="140" w:type="dxa"/>
            <w:vAlign w:val="bottom"/>
          </w:tcPr>
          <w:p>
            <w:pPr>
              <w:spacing w:after="0"/>
              <w:rPr>
                <w:sz w:val="24"/>
                <w:szCs w:val="24"/>
                <w:color w:val="auto"/>
              </w:rPr>
            </w:pPr>
          </w:p>
        </w:tc>
        <w:tc>
          <w:tcPr>
            <w:tcW w:w="30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contract of employment between a</w:t>
            </w:r>
          </w:p>
        </w:tc>
      </w:tr>
      <w:tr>
        <w:trPr>
          <w:trHeight w:val="355"/>
        </w:trPr>
        <w:tc>
          <w:tcPr>
            <w:tcW w:w="4160" w:type="dxa"/>
            <w:vAlign w:val="bottom"/>
            <w:gridSpan w:val="11"/>
          </w:tcPr>
          <w:p>
            <w:pPr>
              <w:spacing w:after="0"/>
              <w:rPr>
                <w:sz w:val="20"/>
                <w:szCs w:val="20"/>
                <w:color w:val="auto"/>
              </w:rPr>
            </w:pPr>
            <w:r>
              <w:rPr>
                <w:rFonts w:ascii="Courier New" w:cs="Courier New" w:eastAsia="Courier New" w:hAnsi="Courier New"/>
                <w:sz w:val="15"/>
                <w:szCs w:val="15"/>
                <w:color w:val="auto"/>
              </w:rPr>
              <w:t>Participating Employer and a Participant, and</w:t>
            </w:r>
          </w:p>
        </w:tc>
        <w:tc>
          <w:tcPr>
            <w:tcW w:w="180" w:type="dxa"/>
            <w:vAlign w:val="bottom"/>
          </w:tcPr>
          <w:p>
            <w:pPr>
              <w:spacing w:after="0"/>
              <w:rPr>
                <w:sz w:val="24"/>
                <w:szCs w:val="24"/>
                <w:color w:val="auto"/>
              </w:rPr>
            </w:pPr>
          </w:p>
        </w:tc>
        <w:tc>
          <w:tcPr>
            <w:tcW w:w="25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neither a Participant nor a</w:t>
            </w:r>
          </w:p>
        </w:tc>
      </w:tr>
      <w:tr>
        <w:trPr>
          <w:trHeight w:val="355"/>
        </w:trPr>
        <w:tc>
          <w:tcPr>
            <w:tcW w:w="4340" w:type="dxa"/>
            <w:vAlign w:val="bottom"/>
            <w:gridSpan w:val="12"/>
          </w:tcPr>
          <w:p>
            <w:pPr>
              <w:spacing w:after="0"/>
              <w:rPr>
                <w:sz w:val="20"/>
                <w:szCs w:val="20"/>
                <w:color w:val="auto"/>
              </w:rPr>
            </w:pPr>
            <w:r>
              <w:rPr>
                <w:rFonts w:ascii="Courier New" w:cs="Courier New" w:eastAsia="Courier New" w:hAnsi="Courier New"/>
                <w:sz w:val="15"/>
                <w:szCs w:val="15"/>
                <w:color w:val="auto"/>
              </w:rPr>
              <w:t>Participant's Beneficiary shall have any rights</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against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a</w:t>
            </w:r>
          </w:p>
        </w:tc>
        <w:tc>
          <w:tcPr>
            <w:tcW w:w="1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Participating</w:t>
            </w:r>
          </w:p>
        </w:tc>
      </w:tr>
      <w:tr>
        <w:trPr>
          <w:trHeight w:val="355"/>
        </w:trPr>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Employer</w:t>
            </w:r>
          </w:p>
        </w:tc>
        <w:tc>
          <w:tcPr>
            <w:tcW w:w="2820" w:type="dxa"/>
            <w:vAlign w:val="bottom"/>
            <w:gridSpan w:val="8"/>
          </w:tcPr>
          <w:p>
            <w:pPr>
              <w:spacing w:after="0"/>
              <w:rPr>
                <w:sz w:val="20"/>
                <w:szCs w:val="20"/>
                <w:color w:val="auto"/>
              </w:rPr>
            </w:pPr>
            <w:r>
              <w:rPr>
                <w:rFonts w:ascii="Courier New" w:cs="Courier New" w:eastAsia="Courier New" w:hAnsi="Courier New"/>
                <w:sz w:val="15"/>
                <w:szCs w:val="15"/>
                <w:color w:val="auto"/>
              </w:rPr>
              <w:t>except  as  may  otherwise  be</w:t>
            </w:r>
          </w:p>
        </w:tc>
        <w:tc>
          <w:tcPr>
            <w:tcW w:w="134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specifically</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provided</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herein.</w:t>
            </w:r>
          </w:p>
        </w:tc>
      </w:tr>
      <w:tr>
        <w:trPr>
          <w:trHeight w:val="355"/>
        </w:trPr>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Moreover,</w:t>
            </w:r>
          </w:p>
        </w:tc>
        <w:tc>
          <w:tcPr>
            <w:tcW w:w="5540" w:type="dxa"/>
            <w:vAlign w:val="bottom"/>
            <w:gridSpan w:val="15"/>
          </w:tcPr>
          <w:p>
            <w:pPr>
              <w:spacing w:after="0"/>
              <w:rPr>
                <w:sz w:val="20"/>
                <w:szCs w:val="20"/>
                <w:color w:val="auto"/>
              </w:rPr>
            </w:pPr>
            <w:r>
              <w:rPr>
                <w:rFonts w:ascii="Courier New" w:cs="Courier New" w:eastAsia="Courier New" w:hAnsi="Courier New"/>
                <w:sz w:val="15"/>
                <w:szCs w:val="15"/>
                <w:color w:val="auto"/>
              </w:rPr>
              <w:t>nothing in this Plan shall be deemed to give a Participant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r>
      <w:tr>
        <w:trPr>
          <w:trHeight w:val="355"/>
        </w:trPr>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right</w:t>
            </w:r>
          </w:p>
        </w:tc>
        <w:tc>
          <w:tcPr>
            <w:tcW w:w="560" w:type="dxa"/>
            <w:vAlign w:val="bottom"/>
          </w:tcPr>
          <w:p>
            <w:pPr>
              <w:ind w:left="200"/>
              <w:spacing w:after="0"/>
              <w:rPr>
                <w:sz w:val="20"/>
                <w:szCs w:val="20"/>
                <w:color w:val="auto"/>
              </w:rPr>
            </w:pPr>
            <w:r>
              <w:rPr>
                <w:rFonts w:ascii="Courier New" w:cs="Courier New" w:eastAsia="Courier New" w:hAnsi="Courier New"/>
                <w:sz w:val="15"/>
                <w:szCs w:val="15"/>
                <w:color w:val="auto"/>
              </w:rPr>
              <w:t>to</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be</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retained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8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Courier New" w:cs="Courier New" w:eastAsia="Courier New" w:hAnsi="Courier New"/>
                <w:sz w:val="15"/>
                <w:szCs w:val="15"/>
                <w:color w:val="auto"/>
              </w:rPr>
              <w:t>the service of a Participating</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Employer or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355"/>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interfere with</w:t>
            </w:r>
          </w:p>
        </w:tc>
        <w:tc>
          <w:tcPr>
            <w:tcW w:w="1280" w:type="dxa"/>
            <w:vAlign w:val="bottom"/>
            <w:gridSpan w:val="4"/>
          </w:tcPr>
          <w:p>
            <w:pPr>
              <w:spacing w:after="0"/>
              <w:rPr>
                <w:sz w:val="20"/>
                <w:szCs w:val="20"/>
                <w:color w:val="auto"/>
              </w:rPr>
            </w:pPr>
            <w:r>
              <w:rPr>
                <w:rFonts w:ascii="Courier New" w:cs="Courier New" w:eastAsia="Courier New" w:hAnsi="Courier New"/>
                <w:sz w:val="15"/>
                <w:szCs w:val="15"/>
                <w:color w:val="auto"/>
                <w:w w:val="99"/>
              </w:rPr>
              <w:t>the right of a</w:t>
            </w:r>
          </w:p>
        </w:tc>
        <w:tc>
          <w:tcPr>
            <w:tcW w:w="1480" w:type="dxa"/>
            <w:vAlign w:val="bottom"/>
            <w:gridSpan w:val="4"/>
          </w:tcPr>
          <w:p>
            <w:pPr>
              <w:jc w:val="center"/>
              <w:ind w:left="3"/>
              <w:spacing w:after="0"/>
              <w:rPr>
                <w:sz w:val="20"/>
                <w:szCs w:val="20"/>
                <w:color w:val="auto"/>
              </w:rPr>
            </w:pPr>
            <w:r>
              <w:rPr>
                <w:rFonts w:ascii="Courier New" w:cs="Courier New" w:eastAsia="Courier New" w:hAnsi="Courier New"/>
                <w:sz w:val="15"/>
                <w:szCs w:val="15"/>
                <w:color w:val="auto"/>
              </w:rPr>
              <w:t>Participating</w:t>
            </w:r>
          </w:p>
        </w:tc>
        <w:tc>
          <w:tcPr>
            <w:tcW w:w="102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rPr>
              <w:t>Employer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10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w w:val="99"/>
              </w:rPr>
              <w:t>discipline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r>
      <w:tr>
        <w:trPr>
          <w:trHeight w:val="355"/>
        </w:trPr>
        <w:tc>
          <w:tcPr>
            <w:tcW w:w="3700" w:type="dxa"/>
            <w:vAlign w:val="bottom"/>
            <w:gridSpan w:val="9"/>
          </w:tcPr>
          <w:p>
            <w:pPr>
              <w:spacing w:after="0"/>
              <w:rPr>
                <w:sz w:val="20"/>
                <w:szCs w:val="20"/>
                <w:color w:val="auto"/>
              </w:rPr>
            </w:pPr>
            <w:r>
              <w:rPr>
                <w:rFonts w:ascii="Courier New" w:cs="Courier New" w:eastAsia="Courier New" w:hAnsi="Courier New"/>
                <w:sz w:val="15"/>
                <w:szCs w:val="15"/>
                <w:color w:val="auto"/>
              </w:rPr>
              <w:t>discharge a Participant at any time.</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5"/>
        </w:trPr>
        <w:tc>
          <w:tcPr>
            <w:tcW w:w="1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11.6</w:t>
            </w:r>
          </w:p>
        </w:tc>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rPr>
              <w:t>PROTECTIVE</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PROVISIONS.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A</w:t>
            </w:r>
          </w:p>
        </w:tc>
        <w:tc>
          <w:tcPr>
            <w:tcW w:w="1200" w:type="dxa"/>
            <w:vAlign w:val="bottom"/>
            <w:gridSpan w:val="4"/>
          </w:tcPr>
          <w:p>
            <w:pPr>
              <w:jc w:val="right"/>
              <w:ind w:right="103"/>
              <w:spacing w:after="0"/>
              <w:rPr>
                <w:sz w:val="20"/>
                <w:szCs w:val="20"/>
                <w:color w:val="auto"/>
              </w:rPr>
            </w:pPr>
            <w:r>
              <w:rPr>
                <w:rFonts w:ascii="Courier New" w:cs="Courier New" w:eastAsia="Courier New" w:hAnsi="Courier New"/>
                <w:sz w:val="15"/>
                <w:szCs w:val="15"/>
                <w:color w:val="auto"/>
              </w:rPr>
              <w:t>Participant</w:t>
            </w:r>
          </w:p>
        </w:tc>
        <w:tc>
          <w:tcPr>
            <w:tcW w:w="19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will cooperate with a</w:t>
            </w:r>
          </w:p>
        </w:tc>
      </w:tr>
      <w:tr>
        <w:trPr>
          <w:trHeight w:val="355"/>
        </w:trPr>
        <w:tc>
          <w:tcPr>
            <w:tcW w:w="5540" w:type="dxa"/>
            <w:vAlign w:val="bottom"/>
            <w:gridSpan w:val="15"/>
          </w:tcPr>
          <w:p>
            <w:pPr>
              <w:spacing w:after="0"/>
              <w:rPr>
                <w:sz w:val="20"/>
                <w:szCs w:val="20"/>
                <w:color w:val="auto"/>
              </w:rPr>
            </w:pPr>
            <w:r>
              <w:rPr>
                <w:rFonts w:ascii="Courier New" w:cs="Courier New" w:eastAsia="Courier New" w:hAnsi="Courier New"/>
                <w:sz w:val="15"/>
                <w:szCs w:val="15"/>
                <w:color w:val="auto"/>
              </w:rPr>
              <w:t>Participating Employer by furnishing any and all information</w:t>
            </w:r>
          </w:p>
        </w:tc>
        <w:tc>
          <w:tcPr>
            <w:tcW w:w="1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requested by</w:t>
            </w:r>
          </w:p>
        </w:tc>
      </w:tr>
      <w:tr>
        <w:trPr>
          <w:trHeight w:val="355"/>
        </w:trPr>
        <w:tc>
          <w:tcPr>
            <w:tcW w:w="6100" w:type="dxa"/>
            <w:vAlign w:val="bottom"/>
            <w:gridSpan w:val="16"/>
          </w:tcPr>
          <w:p>
            <w:pPr>
              <w:ind w:left="100"/>
              <w:spacing w:after="0"/>
              <w:rPr>
                <w:sz w:val="20"/>
                <w:szCs w:val="20"/>
                <w:color w:val="auto"/>
              </w:rPr>
            </w:pPr>
            <w:r>
              <w:rPr>
                <w:rFonts w:ascii="Courier New" w:cs="Courier New" w:eastAsia="Courier New" w:hAnsi="Courier New"/>
                <w:sz w:val="15"/>
                <w:szCs w:val="15"/>
                <w:color w:val="auto"/>
              </w:rPr>
              <w:t>a Participating Employer, in order to facilitate the payment of</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benefits</w:t>
            </w:r>
          </w:p>
        </w:tc>
      </w:tr>
      <w:tr>
        <w:trPr>
          <w:trHeight w:val="355"/>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hereunder,</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taking</w:t>
            </w:r>
          </w:p>
        </w:tc>
        <w:tc>
          <w:tcPr>
            <w:tcW w:w="1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36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physical examination as a Participating</w:t>
            </w:r>
          </w:p>
        </w:tc>
      </w:tr>
      <w:tr>
        <w:trPr>
          <w:trHeight w:val="355"/>
        </w:trPr>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Employer</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2300" w:type="dxa"/>
            <w:vAlign w:val="bottom"/>
            <w:gridSpan w:val="6"/>
          </w:tcPr>
          <w:p>
            <w:pPr>
              <w:spacing w:after="0"/>
              <w:rPr>
                <w:sz w:val="20"/>
                <w:szCs w:val="20"/>
                <w:color w:val="auto"/>
              </w:rPr>
            </w:pPr>
            <w:r>
              <w:rPr>
                <w:rFonts w:ascii="Courier New" w:cs="Courier New" w:eastAsia="Courier New" w:hAnsi="Courier New"/>
                <w:sz w:val="15"/>
                <w:szCs w:val="15"/>
                <w:color w:val="auto"/>
              </w:rPr>
              <w:t>deem necessary and taking</w:t>
            </w:r>
          </w:p>
        </w:tc>
        <w:tc>
          <w:tcPr>
            <w:tcW w:w="140" w:type="dxa"/>
            <w:vAlign w:val="bottom"/>
          </w:tcPr>
          <w:p>
            <w:pPr>
              <w:spacing w:after="0"/>
              <w:rPr>
                <w:sz w:val="24"/>
                <w:szCs w:val="24"/>
                <w:color w:val="auto"/>
              </w:rPr>
            </w:pPr>
          </w:p>
        </w:tc>
        <w:tc>
          <w:tcPr>
            <w:tcW w:w="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such</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20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action  as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may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r>
      <w:tr>
        <w:trPr>
          <w:trHeight w:val="355"/>
        </w:trPr>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requested by a</w:t>
            </w:r>
          </w:p>
        </w:tc>
        <w:tc>
          <w:tcPr>
            <w:tcW w:w="2300" w:type="dxa"/>
            <w:vAlign w:val="bottom"/>
            <w:gridSpan w:val="6"/>
          </w:tcPr>
          <w:p>
            <w:pPr>
              <w:spacing w:after="0"/>
              <w:rPr>
                <w:sz w:val="20"/>
                <w:szCs w:val="20"/>
                <w:color w:val="auto"/>
              </w:rPr>
            </w:pPr>
            <w:r>
              <w:rPr>
                <w:rFonts w:ascii="Courier New" w:cs="Courier New" w:eastAsia="Courier New" w:hAnsi="Courier New"/>
                <w:sz w:val="15"/>
                <w:szCs w:val="15"/>
                <w:color w:val="auto"/>
              </w:rPr>
              <w:t>Participating Employer.</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5"/>
        </w:trPr>
        <w:tc>
          <w:tcPr>
            <w:tcW w:w="1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11.7</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GOVERNING</w:t>
            </w:r>
          </w:p>
        </w:tc>
        <w:tc>
          <w:tcPr>
            <w:tcW w:w="6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LAW.</w:t>
            </w:r>
          </w:p>
        </w:tc>
        <w:tc>
          <w:tcPr>
            <w:tcW w:w="43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The provisions of this Plan shall be construed</w:t>
            </w:r>
          </w:p>
        </w:tc>
      </w:tr>
      <w:tr>
        <w:trPr>
          <w:trHeight w:val="355"/>
        </w:trPr>
        <w:tc>
          <w:tcPr>
            <w:tcW w:w="2500" w:type="dxa"/>
            <w:vAlign w:val="bottom"/>
            <w:gridSpan w:val="6"/>
          </w:tcPr>
          <w:p>
            <w:pPr>
              <w:spacing w:after="0"/>
              <w:rPr>
                <w:sz w:val="20"/>
                <w:szCs w:val="20"/>
                <w:color w:val="auto"/>
              </w:rPr>
            </w:pPr>
            <w:r>
              <w:rPr>
                <w:rFonts w:ascii="Courier New" w:cs="Courier New" w:eastAsia="Courier New" w:hAnsi="Courier New"/>
                <w:sz w:val="15"/>
                <w:szCs w:val="15"/>
                <w:color w:val="auto"/>
              </w:rPr>
              <w:t>and interpreted according</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to</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36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laws of the State of Oregon, except as</w:t>
            </w:r>
          </w:p>
        </w:tc>
      </w:tr>
      <w:tr>
        <w:trPr>
          <w:trHeight w:val="355"/>
        </w:trPr>
        <w:tc>
          <w:tcPr>
            <w:tcW w:w="2500" w:type="dxa"/>
            <w:vAlign w:val="bottom"/>
            <w:gridSpan w:val="6"/>
          </w:tcPr>
          <w:p>
            <w:pPr>
              <w:spacing w:after="0"/>
              <w:rPr>
                <w:sz w:val="20"/>
                <w:szCs w:val="20"/>
                <w:color w:val="auto"/>
              </w:rPr>
            </w:pPr>
            <w:r>
              <w:rPr>
                <w:rFonts w:ascii="Courier New" w:cs="Courier New" w:eastAsia="Courier New" w:hAnsi="Courier New"/>
                <w:sz w:val="15"/>
                <w:szCs w:val="15"/>
                <w:color w:val="auto"/>
              </w:rPr>
              <w:t>preempted by federal law.</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5"/>
        </w:trPr>
        <w:tc>
          <w:tcPr>
            <w:tcW w:w="10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11.8</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TERMS.</w:t>
            </w:r>
          </w:p>
        </w:tc>
        <w:tc>
          <w:tcPr>
            <w:tcW w:w="260" w:type="dxa"/>
            <w:vAlign w:val="bottom"/>
          </w:tcPr>
          <w:p>
            <w:pPr>
              <w:jc w:val="right"/>
              <w:ind w:right="3"/>
              <w:spacing w:after="0"/>
              <w:rPr>
                <w:sz w:val="20"/>
                <w:szCs w:val="20"/>
                <w:color w:val="auto"/>
              </w:rPr>
            </w:pPr>
            <w:r>
              <w:rPr>
                <w:rFonts w:ascii="Courier New" w:cs="Courier New" w:eastAsia="Courier New" w:hAnsi="Courier New"/>
                <w:sz w:val="15"/>
                <w:szCs w:val="15"/>
                <w:color w:val="auto"/>
                <w:w w:val="88"/>
              </w:rPr>
              <w:t>In</w:t>
            </w:r>
          </w:p>
        </w:tc>
        <w:tc>
          <w:tcPr>
            <w:tcW w:w="20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this Plan document,</w:t>
            </w:r>
          </w:p>
        </w:tc>
        <w:tc>
          <w:tcPr>
            <w:tcW w:w="7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9"/>
              </w:rPr>
              <w:t>unless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9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context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clearly</w:t>
            </w:r>
          </w:p>
        </w:tc>
      </w:tr>
    </w:tbl>
    <w:p>
      <w:pPr>
        <w:spacing w:after="0" w:line="183" w:lineRule="exact"/>
        <w:rPr>
          <w:sz w:val="20"/>
          <w:szCs w:val="20"/>
          <w:color w:val="auto"/>
        </w:rPr>
      </w:pPr>
    </w:p>
    <w:p>
      <w:pPr>
        <w:jc w:val="both"/>
        <w:ind w:right="3299"/>
        <w:spacing w:after="0" w:line="504" w:lineRule="auto"/>
        <w:rPr>
          <w:sz w:val="20"/>
          <w:szCs w:val="20"/>
          <w:color w:val="auto"/>
        </w:rPr>
      </w:pPr>
      <w:r>
        <w:rPr>
          <w:rFonts w:ascii="Courier New" w:cs="Courier New" w:eastAsia="Courier New" w:hAnsi="Courier New"/>
          <w:sz w:val="15"/>
          <w:szCs w:val="15"/>
          <w:color w:val="auto"/>
        </w:rPr>
        <w:t>indicates the contrary, the masculine gender will be deemed to include the female gender, and the singular shall include the plural.</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24 - MANAGEMENT DEFERRED COMPENSATION PLAN</w:t>
      </w:r>
    </w:p>
    <w:p>
      <w:pPr>
        <w:sectPr>
          <w:pgSz w:w="11900" w:h="16838" w:orient="portrait"/>
          <w:cols w:equalWidth="0" w:num="1">
            <w:col w:w="10139"/>
          </w:cols>
          <w:pgMar w:left="320" w:top="828" w:right="1440" w:bottom="1440" w:gutter="0" w:footer="0" w:header="0"/>
        </w:sectPr>
      </w:pPr>
    </w:p>
    <w:bookmarkStart w:id="110" w:name="page111"/>
    <w:bookmarkEnd w:id="110"/>
    <w:p>
      <w:pPr>
        <w:jc w:val="both"/>
        <w:ind w:right="3299" w:firstLine="369"/>
        <w:spacing w:after="0" w:line="501" w:lineRule="auto"/>
        <w:rPr>
          <w:sz w:val="20"/>
          <w:szCs w:val="20"/>
          <w:color w:val="auto"/>
        </w:rPr>
      </w:pPr>
      <w:r>
        <w:rPr>
          <w:rFonts w:ascii="Courier New" w:cs="Courier New" w:eastAsia="Courier New" w:hAnsi="Courier New"/>
          <w:sz w:val="15"/>
          <w:szCs w:val="15"/>
          <w:color w:val="auto"/>
        </w:rPr>
        <w:t>11.9 VALIDITY. In case any provisions of this Plan shall be held illegal or invalid for any reason, such illegality or invalidity shall not affect the remaining parts hereof, but this Plan shall be construed and enforced as if such illegal and invalid provision had never been inserted herein.</w:t>
      </w:r>
    </w:p>
    <w:p>
      <w:pPr>
        <w:spacing w:after="0" w:line="1" w:lineRule="exact"/>
        <w:rPr>
          <w:sz w:val="20"/>
          <w:szCs w:val="20"/>
          <w:color w:val="auto"/>
        </w:rPr>
      </w:pPr>
    </w:p>
    <w:p>
      <w:pPr>
        <w:jc w:val="right"/>
        <w:ind w:right="3299"/>
        <w:spacing w:after="0" w:line="501" w:lineRule="auto"/>
        <w:rPr>
          <w:sz w:val="20"/>
          <w:szCs w:val="20"/>
          <w:color w:val="auto"/>
        </w:rPr>
      </w:pPr>
      <w:r>
        <w:rPr>
          <w:rFonts w:ascii="Courier New" w:cs="Courier New" w:eastAsia="Courier New" w:hAnsi="Courier New"/>
          <w:sz w:val="15"/>
          <w:szCs w:val="15"/>
          <w:color w:val="auto"/>
        </w:rPr>
        <w:t>11.10  NOTICE.  Any notice or filing required or permitted to be given to the Senior Administrative Officer under the Plan shall be sufficient if in writing and hand delivered, or sent by registered or  certified mail to the  Senior  Administrative  Officer  or  to  Secretary  of Participating Employer.  Notice to the Senior Administrative Officer, if  mailed,  shall be addressed to the principal executive offices of Participating Employer. Notice mailed to the Participant shall be at such address as is given  in the  records of the Participating Employer.  Notices shall be deemed given as of the date of delivery or, if delivery is made by mail, as of the date</w:t>
      </w:r>
    </w:p>
    <w:p>
      <w:pPr>
        <w:spacing w:after="0" w:line="2" w:lineRule="exact"/>
        <w:rPr>
          <w:sz w:val="20"/>
          <w:szCs w:val="20"/>
          <w:color w:val="auto"/>
        </w:rPr>
      </w:pPr>
    </w:p>
    <w:p>
      <w:pPr>
        <w:jc w:val="both"/>
        <w:ind w:left="380" w:right="3299" w:hanging="368"/>
        <w:spacing w:after="0" w:line="501" w:lineRule="auto"/>
        <w:rPr>
          <w:sz w:val="20"/>
          <w:szCs w:val="20"/>
          <w:color w:val="auto"/>
        </w:rPr>
      </w:pPr>
      <w:r>
        <w:rPr>
          <w:rFonts w:ascii="Courier New" w:cs="Courier New" w:eastAsia="Courier New" w:hAnsi="Courier New"/>
          <w:sz w:val="15"/>
          <w:szCs w:val="15"/>
          <w:color w:val="auto"/>
        </w:rPr>
        <w:t>shown on the postmark on the receipt for registration or certification. 11.11 SUCCESSORS. The provisions of this Plan shall bind and inure</w:t>
      </w:r>
    </w:p>
    <w:p>
      <w:pPr>
        <w:jc w:val="center"/>
        <w:ind w:right="3299"/>
        <w:spacing w:after="0" w:line="501" w:lineRule="auto"/>
        <w:rPr>
          <w:sz w:val="20"/>
          <w:szCs w:val="20"/>
          <w:color w:val="auto"/>
        </w:rPr>
      </w:pPr>
      <w:r>
        <w:rPr>
          <w:rFonts w:ascii="Courier New" w:cs="Courier New" w:eastAsia="Courier New" w:hAnsi="Courier New"/>
          <w:sz w:val="15"/>
          <w:szCs w:val="15"/>
          <w:color w:val="auto"/>
        </w:rPr>
        <w:t>to the benefit of each Participating  Employer  and  its  successors  and assigns.   The  term successors as used herein shall include any corporate or other business  entity  which  shall, whether by merger, consolidation, purchase or otherwise, acquire all  or  substantially  all of the business and  assets  of  a  Participating  Employer, and successors of  any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or other business entity.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25 - MANAGEMENT DEFERRED COMPENSATION PLAN</w:t>
      </w:r>
    </w:p>
    <w:p>
      <w:pPr>
        <w:sectPr>
          <w:pgSz w:w="11900" w:h="16838" w:orient="portrait"/>
          <w:cols w:equalWidth="0" w:num="1">
            <w:col w:w="10139"/>
          </w:cols>
          <w:pgMar w:left="320" w:top="828" w:right="1440" w:bottom="1440" w:gutter="0" w:footer="0" w:header="0"/>
        </w:sectPr>
      </w:pPr>
    </w:p>
    <w:bookmarkStart w:id="111" w:name="page112"/>
    <w:bookmarkEnd w:id="111"/>
    <w:p>
      <w:pPr>
        <w:jc w:val="both"/>
        <w:ind w:right="3299" w:firstLine="369"/>
        <w:spacing w:after="0" w:line="251" w:lineRule="auto"/>
        <w:rPr>
          <w:sz w:val="20"/>
          <w:szCs w:val="20"/>
          <w:color w:val="auto"/>
        </w:rPr>
      </w:pPr>
      <w:r>
        <w:rPr>
          <w:rFonts w:ascii="Courier New" w:cs="Courier New" w:eastAsia="Courier New" w:hAnsi="Courier New"/>
          <w:sz w:val="15"/>
          <w:szCs w:val="15"/>
          <w:color w:val="auto"/>
        </w:rPr>
        <w:t>IN WITNESS WHEREOF, and pursuant to resolution of the Human Resources Committee of the Board of Directors of Portland General Corporation, the Company has caused this instrument to be executed by its duly authorized Senior Administrative Officer effective as of the 1st day of October 1994.</w:t>
      </w:r>
    </w:p>
    <w:p>
      <w:pPr>
        <w:spacing w:after="0" w:line="35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PORTLAND GENERAL CORPORATION</w:t>
      </w:r>
    </w:p>
    <w:p>
      <w:pPr>
        <w:spacing w:after="0" w:line="200" w:lineRule="exact"/>
        <w:rPr>
          <w:sz w:val="20"/>
          <w:szCs w:val="20"/>
          <w:color w:val="auto"/>
        </w:rPr>
      </w:pPr>
    </w:p>
    <w:p>
      <w:pPr>
        <w:spacing w:after="0" w:line="340"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DONALD F. KIELBLOCK</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Donald F. Kielblock</w:t>
      </w:r>
    </w:p>
    <w:p>
      <w:pPr>
        <w:spacing w:after="0" w:line="8" w:lineRule="exact"/>
        <w:rPr>
          <w:sz w:val="20"/>
          <w:szCs w:val="20"/>
          <w:color w:val="auto"/>
        </w:rPr>
      </w:pPr>
    </w:p>
    <w:p>
      <w:pPr>
        <w:ind w:left="1480"/>
        <w:spacing w:after="0"/>
        <w:tabs>
          <w:tab w:leader="none" w:pos="2020" w:val="left"/>
        </w:tabs>
        <w:rPr>
          <w:sz w:val="20"/>
          <w:szCs w:val="20"/>
          <w:color w:val="auto"/>
        </w:rPr>
      </w:pPr>
      <w:r>
        <w:rPr>
          <w:rFonts w:ascii="Courier New" w:cs="Courier New" w:eastAsia="Courier New" w:hAnsi="Courier New"/>
          <w:sz w:val="15"/>
          <w:szCs w:val="15"/>
          <w:color w:val="auto"/>
        </w:rPr>
        <w:t>Its:</w:t>
        <w:tab/>
        <w:t>Vice President of Human Resources and</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Senior Administrative Officer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26 - MANAGEMENT DEFERRED COMPENSATION PLAN</w:t>
      </w:r>
    </w:p>
    <w:p>
      <w:pPr>
        <w:sectPr>
          <w:pgSz w:w="11900" w:h="16838" w:orient="portrait"/>
          <w:cols w:equalWidth="0" w:num="1">
            <w:col w:w="10139"/>
          </w:cols>
          <w:pgMar w:left="320" w:top="828" w:right="1440" w:bottom="1440" w:gutter="0" w:footer="0" w:header="0"/>
        </w:sectPr>
      </w:pPr>
    </w:p>
    <w:bookmarkStart w:id="112" w:name="page113"/>
    <w:bookmarkEnd w:id="1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jc w:val="center"/>
        <w:ind w:right="4139"/>
        <w:spacing w:after="0"/>
        <w:rPr>
          <w:sz w:val="20"/>
          <w:szCs w:val="20"/>
          <w:color w:val="auto"/>
        </w:rPr>
      </w:pPr>
      <w:r>
        <w:rPr>
          <w:rFonts w:ascii="Courier New" w:cs="Courier New" w:eastAsia="Courier New" w:hAnsi="Courier New"/>
          <w:sz w:val="15"/>
          <w:szCs w:val="15"/>
          <w:color w:val="auto"/>
        </w:rPr>
        <w:t>AMENDMENT NO. 1</w:t>
      </w:r>
    </w:p>
    <w:p>
      <w:pPr>
        <w:spacing w:after="0" w:line="185"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TO PORTLAND GENERAL CORPORATION</w:t>
      </w:r>
    </w:p>
    <w:p>
      <w:pPr>
        <w:spacing w:after="0" w:line="185"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MANAGEMENT DEFERRED COMPENSATION PLAN</w:t>
      </w:r>
    </w:p>
    <w:p>
      <w:pPr>
        <w:spacing w:after="0" w:line="200" w:lineRule="exact"/>
        <w:rPr>
          <w:sz w:val="20"/>
          <w:szCs w:val="20"/>
          <w:color w:val="auto"/>
        </w:rPr>
      </w:pPr>
    </w:p>
    <w:p>
      <w:pPr>
        <w:spacing w:after="0" w:line="340" w:lineRule="exact"/>
        <w:rPr>
          <w:sz w:val="20"/>
          <w:szCs w:val="20"/>
          <w:color w:val="auto"/>
        </w:rPr>
      </w:pPr>
    </w:p>
    <w:p>
      <w:pPr>
        <w:ind w:right="3579"/>
        <w:spacing w:after="0" w:line="251" w:lineRule="auto"/>
        <w:rPr>
          <w:sz w:val="20"/>
          <w:szCs w:val="20"/>
          <w:color w:val="auto"/>
        </w:rPr>
      </w:pPr>
      <w:r>
        <w:rPr>
          <w:rFonts w:ascii="Courier New" w:cs="Courier New" w:eastAsia="Courier New" w:hAnsi="Courier New"/>
          <w:sz w:val="15"/>
          <w:szCs w:val="15"/>
          <w:color w:val="auto"/>
        </w:rPr>
        <w:t>THIS AMENDMENT to the Portland General Corporation Management Deferred Compensation Plan (the "Plan") is made and entered into this 1st day of April, 1995, by the Senior Administrative Officer of Portland General Corporation, an Oregon Corporation;</w:t>
      </w:r>
    </w:p>
    <w:p>
      <w:pPr>
        <w:spacing w:after="0" w:line="176"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WHEREAS, the Company has established the Plan as restated October 1, 1994; and</w:t>
      </w:r>
    </w:p>
    <w:p>
      <w:pPr>
        <w:spacing w:after="0" w:line="174" w:lineRule="exact"/>
        <w:rPr>
          <w:sz w:val="20"/>
          <w:szCs w:val="20"/>
          <w:color w:val="auto"/>
        </w:rPr>
      </w:pPr>
    </w:p>
    <w:p>
      <w:pPr>
        <w:ind w:right="3479"/>
        <w:spacing w:after="0" w:line="252" w:lineRule="auto"/>
        <w:rPr>
          <w:sz w:val="20"/>
          <w:szCs w:val="20"/>
          <w:color w:val="auto"/>
        </w:rPr>
      </w:pPr>
      <w:r>
        <w:rPr>
          <w:rFonts w:ascii="Courier New" w:cs="Courier New" w:eastAsia="Courier New" w:hAnsi="Courier New"/>
          <w:sz w:val="15"/>
          <w:szCs w:val="15"/>
          <w:color w:val="auto"/>
        </w:rPr>
        <w:t>WHEREAS, pursuant to Section 10.1 of the Plan, the Senior Administrative Officer may amend the Plan from time to time as may be necessary for administrative purposes and legal compliance;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 THEREFORE, Section 2.13(e) of the Plan is hereby amended as follows:</w:t>
      </w:r>
    </w:p>
    <w:p>
      <w:pPr>
        <w:spacing w:after="0" w:line="185"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5"/>
          <w:szCs w:val="15"/>
          <w:color w:val="auto"/>
        </w:rPr>
        <w:t>2.13</w:t>
        <w:tab/>
        <w:t>ELIGIBILE EMPLOYEE.</w:t>
      </w:r>
    </w:p>
    <w:p>
      <w:pPr>
        <w:spacing w:after="0" w:line="185" w:lineRule="exact"/>
        <w:rPr>
          <w:sz w:val="20"/>
          <w:szCs w:val="20"/>
          <w:color w:val="auto"/>
        </w:rPr>
      </w:pPr>
    </w:p>
    <w:p>
      <w:pPr>
        <w:ind w:right="3399" w:firstLine="7"/>
        <w:spacing w:after="0" w:line="251" w:lineRule="auto"/>
        <w:tabs>
          <w:tab w:leader="none" w:pos="46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threshold amount effective April 1, 1995 and any subsequent year shall be eighty-five thousand dollars ($85,000). Such amount may be adjusted by the Senior Administrative Officer each subsequent calendar year or at any other time as the Senior Administrative Officer deems necessary.</w:t>
      </w:r>
    </w:p>
    <w:p>
      <w:pPr>
        <w:spacing w:after="0" w:line="176"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IN WITNESS WHEREOF, the Company has caused this instrument to be executed as of the day and year first above written.</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PORTLAND GENERAL CORPORATION</w:t>
      </w:r>
    </w:p>
    <w:p>
      <w:pPr>
        <w:sectPr>
          <w:pgSz w:w="11900" w:h="16838" w:orient="portrait"/>
          <w:cols w:equalWidth="0" w:num="1">
            <w:col w:w="10139"/>
          </w:cols>
          <w:pgMar w:left="320" w:top="674" w:right="1440" w:bottom="1440" w:gutter="0" w:footer="0" w:header="0"/>
        </w:sectPr>
      </w:pPr>
    </w:p>
    <w:p>
      <w:pPr>
        <w:spacing w:after="0" w:line="36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 DONALD F. KIELBLOCK</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Donald F. Kielblock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Administrative Officer</w:t>
      </w:r>
    </w:p>
    <w:p>
      <w:pPr>
        <w:sectPr>
          <w:pgSz w:w="11900" w:h="16838" w:orient="portrait"/>
          <w:cols w:equalWidth="0" w:num="2">
            <w:col w:w="2960" w:space="360"/>
            <w:col w:w="6819"/>
          </w:cols>
          <w:pgMar w:left="320" w:top="674" w:right="1440" w:bottom="1440" w:gutter="0" w:footer="0" w:header="0"/>
          <w:type w:val="continuous"/>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WARNING: THE EDGAR SYSTEM ENCOUNTERED ERROR(S) WHILE PROCESSING THIS SCHEDULE.</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UT</w:t>
      </w:r>
    </w:p>
    <w:p>
      <w:pPr>
        <w:spacing w:after="0" w:line="185" w:lineRule="exact"/>
        <w:rPr>
          <w:sz w:val="20"/>
          <w:szCs w:val="20"/>
          <w:color w:val="auto"/>
        </w:rPr>
      </w:pPr>
    </w:p>
    <w:p>
      <w:pPr>
        <w:ind w:left="20" w:right="4199"/>
        <w:spacing w:after="0" w:line="251"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FINANCIAL STATEMENTS FILED ON FORM 10-K FOR THE PERIOD ENDED DECEMBER 31, 1995 AND 1994 FOR PORTLAND GENERAL CORPORATION AND IS QUALIFIED IN ITS ENTIRETY BY REFERENCE TO SUCH FINANCIAL STATEMENTS.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62"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194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YEAR</w:t>
            </w:r>
          </w:p>
        </w:tc>
        <w:tc>
          <w:tcPr>
            <w:tcW w:w="46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480" w:type="dxa"/>
            <w:vAlign w:val="bottom"/>
          </w:tcPr>
          <w:p>
            <w:pPr>
              <w:spacing w:after="0"/>
              <w:rPr>
                <w:sz w:val="14"/>
                <w:szCs w:val="14"/>
                <w:color w:val="auto"/>
              </w:rPr>
            </w:pPr>
          </w:p>
        </w:tc>
      </w:tr>
      <w:tr>
        <w:trPr>
          <w:trHeight w:val="177"/>
        </w:trPr>
        <w:tc>
          <w:tcPr>
            <w:tcW w:w="240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DEC-31-1995</w:t>
            </w:r>
          </w:p>
        </w:tc>
        <w:tc>
          <w:tcPr>
            <w:tcW w:w="26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DEC-31-1994</w:t>
            </w:r>
          </w:p>
        </w:tc>
      </w:tr>
      <w:tr>
        <w:trPr>
          <w:trHeight w:val="177"/>
        </w:trPr>
        <w:tc>
          <w:tcPr>
            <w:tcW w:w="3600" w:type="dxa"/>
            <w:vAlign w:val="bottom"/>
            <w:gridSpan w:val="3"/>
          </w:tcPr>
          <w:p>
            <w:pPr>
              <w:jc w:val="right"/>
              <w:ind w:right="1043"/>
              <w:spacing w:after="0"/>
              <w:rPr>
                <w:sz w:val="20"/>
                <w:szCs w:val="20"/>
                <w:color w:val="auto"/>
              </w:rPr>
            </w:pPr>
            <w:r>
              <w:rPr>
                <w:rFonts w:ascii="Courier New" w:cs="Courier New" w:eastAsia="Courier New" w:hAnsi="Courier New"/>
                <w:sz w:val="15"/>
                <w:szCs w:val="15"/>
                <w:color w:val="auto"/>
              </w:rPr>
              <w:t>DEC-31-1995</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DEC-31-1994</w:t>
            </w:r>
          </w:p>
        </w:tc>
      </w:tr>
      <w:tr>
        <w:trPr>
          <w:trHeight w:val="177"/>
        </w:trPr>
        <w:tc>
          <w:tcPr>
            <w:tcW w:w="3600" w:type="dxa"/>
            <w:vAlign w:val="bottom"/>
            <w:gridSpan w:val="3"/>
          </w:tcPr>
          <w:p>
            <w:pPr>
              <w:jc w:val="right"/>
              <w:ind w:right="1043"/>
              <w:spacing w:after="0"/>
              <w:rPr>
                <w:sz w:val="20"/>
                <w:szCs w:val="20"/>
                <w:color w:val="auto"/>
              </w:rPr>
            </w:pPr>
            <w:r>
              <w:rPr>
                <w:rFonts w:ascii="Courier New" w:cs="Courier New" w:eastAsia="Courier New" w:hAnsi="Courier New"/>
                <w:sz w:val="15"/>
                <w:szCs w:val="15"/>
                <w:color w:val="auto"/>
              </w:rPr>
              <w:t>PER-BOOK</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PER-BOOK</w:t>
            </w:r>
          </w:p>
        </w:tc>
      </w:tr>
      <w:tr>
        <w:trPr>
          <w:trHeight w:val="177"/>
        </w:trPr>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1,723,619</w:t>
            </w:r>
          </w:p>
        </w:tc>
        <w:tc>
          <w:tcPr>
            <w:tcW w:w="46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1,616,534</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324,617</w:t>
            </w:r>
          </w:p>
        </w:tc>
        <w:tc>
          <w:tcPr>
            <w:tcW w:w="4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317,692</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236,541</w:t>
            </w:r>
          </w:p>
        </w:tc>
        <w:tc>
          <w:tcPr>
            <w:tcW w:w="460" w:type="dxa"/>
            <w:vAlign w:val="bottom"/>
          </w:tcPr>
          <w:p>
            <w:pPr>
              <w:spacing w:after="0"/>
              <w:rPr>
                <w:sz w:val="15"/>
                <w:szCs w:val="15"/>
                <w:color w:val="auto"/>
              </w:rPr>
            </w:pPr>
          </w:p>
        </w:tc>
        <w:tc>
          <w:tcPr>
            <w:tcW w:w="26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336,715</w:t>
            </w:r>
          </w:p>
        </w:tc>
      </w:tr>
      <w:tr>
        <w:trPr>
          <w:trHeight w:val="177"/>
        </w:trPr>
        <w:tc>
          <w:tcPr>
            <w:tcW w:w="19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1,163,240</w:t>
            </w:r>
          </w:p>
        </w:tc>
        <w:tc>
          <w:tcPr>
            <w:tcW w:w="46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1,288,330</w:t>
            </w:r>
          </w:p>
        </w:tc>
        <w:tc>
          <w:tcPr>
            <w:tcW w:w="1480" w:type="dxa"/>
            <w:vAlign w:val="bottom"/>
          </w:tcPr>
          <w:p>
            <w:pPr>
              <w:spacing w:after="0"/>
              <w:rPr>
                <w:sz w:val="15"/>
                <w:szCs w:val="15"/>
                <w:color w:val="auto"/>
              </w:rPr>
            </w:pPr>
          </w:p>
        </w:tc>
      </w:tr>
      <w:tr>
        <w:trPr>
          <w:trHeight w:val="177"/>
        </w:trPr>
        <w:tc>
          <w:tcPr>
            <w:tcW w:w="194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spacing w:after="0"/>
              <w:rPr>
                <w:sz w:val="15"/>
                <w:szCs w:val="15"/>
                <w:color w:val="auto"/>
              </w:rPr>
            </w:pPr>
          </w:p>
        </w:tc>
        <w:tc>
          <w:tcPr>
            <w:tcW w:w="1480" w:type="dxa"/>
            <w:vAlign w:val="bottom"/>
          </w:tcPr>
          <w:p>
            <w:pPr>
              <w:ind w:left="820"/>
              <w:spacing w:after="0"/>
              <w:rPr>
                <w:sz w:val="20"/>
                <w:szCs w:val="20"/>
                <w:color w:val="auto"/>
              </w:rPr>
            </w:pPr>
            <w:r>
              <w:rPr>
                <w:rFonts w:ascii="Courier New" w:cs="Courier New" w:eastAsia="Courier New" w:hAnsi="Courier New"/>
                <w:sz w:val="15"/>
                <w:szCs w:val="15"/>
                <w:color w:val="auto"/>
              </w:rPr>
              <w:t>0</w:t>
            </w:r>
          </w:p>
        </w:tc>
      </w:tr>
      <w:tr>
        <w:trPr>
          <w:trHeight w:val="177"/>
        </w:trPr>
        <w:tc>
          <w:tcPr>
            <w:tcW w:w="2400" w:type="dxa"/>
            <w:vAlign w:val="bottom"/>
            <w:gridSpan w:val="2"/>
          </w:tcPr>
          <w:p>
            <w:pPr>
              <w:jc w:val="center"/>
              <w:ind w:left="1303"/>
              <w:spacing w:after="0"/>
              <w:rPr>
                <w:sz w:val="20"/>
                <w:szCs w:val="20"/>
                <w:color w:val="auto"/>
              </w:rPr>
            </w:pPr>
            <w:r>
              <w:rPr>
                <w:rFonts w:ascii="Courier New" w:cs="Courier New" w:eastAsia="Courier New" w:hAnsi="Courier New"/>
                <w:sz w:val="15"/>
                <w:szCs w:val="15"/>
                <w:color w:val="auto"/>
              </w:rPr>
              <w:t>3,448,017</w:t>
            </w:r>
          </w:p>
        </w:tc>
        <w:tc>
          <w:tcPr>
            <w:tcW w:w="1200" w:type="dxa"/>
            <w:vAlign w:val="bottom"/>
          </w:tcPr>
          <w:p>
            <w:pPr>
              <w:spacing w:after="0"/>
              <w:rPr>
                <w:sz w:val="15"/>
                <w:szCs w:val="15"/>
                <w:color w:val="auto"/>
              </w:rPr>
            </w:pPr>
          </w:p>
        </w:tc>
        <w:tc>
          <w:tcPr>
            <w:tcW w:w="1480" w:type="dxa"/>
            <w:vAlign w:val="bottom"/>
          </w:tcPr>
          <w:p>
            <w:pPr>
              <w:jc w:val="center"/>
              <w:ind w:right="403"/>
              <w:spacing w:after="0"/>
              <w:rPr>
                <w:sz w:val="20"/>
                <w:szCs w:val="20"/>
                <w:color w:val="auto"/>
              </w:rPr>
            </w:pPr>
            <w:r>
              <w:rPr>
                <w:rFonts w:ascii="Courier New" w:cs="Courier New" w:eastAsia="Courier New" w:hAnsi="Courier New"/>
                <w:sz w:val="15"/>
                <w:szCs w:val="15"/>
                <w:color w:val="auto"/>
              </w:rPr>
              <w:t>3,559,271</w:t>
            </w:r>
          </w:p>
        </w:tc>
      </w:tr>
      <w:tr>
        <w:trPr>
          <w:trHeight w:val="177"/>
        </w:trPr>
        <w:tc>
          <w:tcPr>
            <w:tcW w:w="19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191,301</w:t>
            </w:r>
          </w:p>
        </w:tc>
        <w:tc>
          <w:tcPr>
            <w:tcW w:w="1480" w:type="dxa"/>
            <w:vAlign w:val="bottom"/>
          </w:tcPr>
          <w:p>
            <w:pPr>
              <w:ind w:left="820"/>
              <w:spacing w:after="0"/>
              <w:rPr>
                <w:sz w:val="20"/>
                <w:szCs w:val="20"/>
                <w:color w:val="auto"/>
              </w:rPr>
            </w:pPr>
            <w:r>
              <w:rPr>
                <w:rFonts w:ascii="Courier New" w:cs="Courier New" w:eastAsia="Courier New" w:hAnsi="Courier New"/>
                <w:sz w:val="15"/>
                <w:szCs w:val="15"/>
                <w:color w:val="auto"/>
              </w:rPr>
              <w:t>189,358</w:t>
            </w:r>
          </w:p>
        </w:tc>
      </w:tr>
      <w:tr>
        <w:trPr>
          <w:trHeight w:val="177"/>
        </w:trPr>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574,468</w:t>
            </w:r>
          </w:p>
        </w:tc>
        <w:tc>
          <w:tcPr>
            <w:tcW w:w="46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563,915</w:t>
            </w:r>
          </w:p>
        </w:tc>
        <w:tc>
          <w:tcPr>
            <w:tcW w:w="1480" w:type="dxa"/>
            <w:vAlign w:val="bottom"/>
          </w:tcPr>
          <w:p>
            <w:pPr>
              <w:spacing w:after="0"/>
              <w:rPr>
                <w:sz w:val="15"/>
                <w:szCs w:val="15"/>
                <w:color w:val="auto"/>
              </w:rPr>
            </w:pPr>
          </w:p>
        </w:tc>
      </w:tr>
      <w:tr>
        <w:trPr>
          <w:trHeight w:val="177"/>
        </w:trPr>
        <w:tc>
          <w:tcPr>
            <w:tcW w:w="1940" w:type="dxa"/>
            <w:vAlign w:val="bottom"/>
          </w:tcPr>
          <w:p>
            <w:pPr>
              <w:ind w:left="1200"/>
              <w:spacing w:after="0"/>
              <w:rPr>
                <w:sz w:val="20"/>
                <w:szCs w:val="20"/>
                <w:color w:val="auto"/>
              </w:rPr>
            </w:pPr>
            <w:r>
              <w:rPr>
                <w:rFonts w:ascii="Courier New" w:cs="Courier New" w:eastAsia="Courier New" w:hAnsi="Courier New"/>
                <w:sz w:val="15"/>
                <w:szCs w:val="15"/>
                <w:color w:val="auto"/>
              </w:rPr>
              <w:t>135,885</w:t>
            </w:r>
          </w:p>
        </w:tc>
        <w:tc>
          <w:tcPr>
            <w:tcW w:w="460" w:type="dxa"/>
            <w:vAlign w:val="bottom"/>
          </w:tcPr>
          <w:p>
            <w:pPr>
              <w:spacing w:after="0"/>
              <w:rPr>
                <w:sz w:val="15"/>
                <w:szCs w:val="15"/>
                <w:color w:val="auto"/>
              </w:rPr>
            </w:pPr>
          </w:p>
        </w:tc>
        <w:tc>
          <w:tcPr>
            <w:tcW w:w="26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118,676</w:t>
            </w:r>
          </w:p>
        </w:tc>
      </w:tr>
      <w:tr>
        <w:trPr>
          <w:trHeight w:val="177"/>
        </w:trPr>
        <w:tc>
          <w:tcPr>
            <w:tcW w:w="194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893,148</w:t>
            </w:r>
          </w:p>
        </w:tc>
        <w:tc>
          <w:tcPr>
            <w:tcW w:w="460" w:type="dxa"/>
            <w:vAlign w:val="bottom"/>
          </w:tcPr>
          <w:p>
            <w:pPr>
              <w:spacing w:after="0"/>
              <w:rPr>
                <w:sz w:val="15"/>
                <w:szCs w:val="15"/>
                <w:color w:val="auto"/>
              </w:rPr>
            </w:pP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8"/>
              </w:rPr>
              <w:t>858,313</w:t>
            </w:r>
          </w:p>
        </w:tc>
        <w:tc>
          <w:tcPr>
            <w:tcW w:w="1480" w:type="dxa"/>
            <w:vAlign w:val="bottom"/>
          </w:tcPr>
          <w:p>
            <w:pPr>
              <w:spacing w:after="0"/>
              <w:rPr>
                <w:sz w:val="15"/>
                <w:szCs w:val="15"/>
                <w:color w:val="auto"/>
              </w:rPr>
            </w:pPr>
          </w:p>
        </w:tc>
      </w:tr>
      <w:tr>
        <w:trPr>
          <w:trHeight w:val="177"/>
        </w:trPr>
        <w:tc>
          <w:tcPr>
            <w:tcW w:w="1940" w:type="dxa"/>
            <w:vAlign w:val="bottom"/>
          </w:tcPr>
          <w:p>
            <w:pPr>
              <w:ind w:left="1100"/>
              <w:spacing w:after="0"/>
              <w:rPr>
                <w:sz w:val="20"/>
                <w:szCs w:val="20"/>
                <w:color w:val="auto"/>
              </w:rPr>
            </w:pPr>
            <w:r>
              <w:rPr>
                <w:rFonts w:ascii="Courier New" w:cs="Courier New" w:eastAsia="Courier New" w:hAnsi="Courier New"/>
                <w:sz w:val="15"/>
                <w:szCs w:val="15"/>
                <w:color w:val="auto"/>
              </w:rPr>
              <w:t>40,000</w:t>
            </w:r>
          </w:p>
        </w:tc>
        <w:tc>
          <w:tcPr>
            <w:tcW w:w="460" w:type="dxa"/>
            <w:vAlign w:val="bottom"/>
          </w:tcPr>
          <w:p>
            <w:pPr>
              <w:spacing w:after="0"/>
              <w:rPr>
                <w:sz w:val="15"/>
                <w:szCs w:val="15"/>
                <w:color w:val="auto"/>
              </w:rPr>
            </w:pPr>
          </w:p>
        </w:tc>
        <w:tc>
          <w:tcPr>
            <w:tcW w:w="268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1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69,704</w:t>
            </w:r>
          </w:p>
        </w:tc>
      </w:tr>
      <w:tr>
        <w:trPr>
          <w:trHeight w:val="177"/>
        </w:trPr>
        <w:tc>
          <w:tcPr>
            <w:tcW w:w="1940" w:type="dxa"/>
            <w:vAlign w:val="bottom"/>
          </w:tcPr>
          <w:p>
            <w:pPr>
              <w:ind w:left="1100"/>
              <w:spacing w:after="0"/>
              <w:rPr>
                <w:sz w:val="20"/>
                <w:szCs w:val="20"/>
                <w:color w:val="auto"/>
              </w:rPr>
            </w:pPr>
            <w:r>
              <w:rPr>
                <w:rFonts w:ascii="Courier New" w:cs="Courier New" w:eastAsia="Courier New" w:hAnsi="Courier New"/>
                <w:sz w:val="15"/>
                <w:szCs w:val="15"/>
                <w:color w:val="auto"/>
              </w:rPr>
              <w:t>883,656</w:t>
            </w:r>
          </w:p>
        </w:tc>
        <w:tc>
          <w:tcPr>
            <w:tcW w:w="460" w:type="dxa"/>
            <w:vAlign w:val="bottom"/>
          </w:tcPr>
          <w:p>
            <w:pPr>
              <w:spacing w:after="0"/>
              <w:rPr>
                <w:sz w:val="15"/>
                <w:szCs w:val="15"/>
                <w:color w:val="auto"/>
              </w:rPr>
            </w:pPr>
          </w:p>
        </w:tc>
        <w:tc>
          <w:tcPr>
            <w:tcW w:w="268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826,602</w:t>
            </w:r>
          </w:p>
        </w:tc>
      </w:tr>
      <w:tr>
        <w:trPr>
          <w:trHeight w:val="177"/>
        </w:trPr>
        <w:tc>
          <w:tcPr>
            <w:tcW w:w="1940" w:type="dxa"/>
            <w:vAlign w:val="bottom"/>
          </w:tcPr>
          <w:p>
            <w:pPr>
              <w:jc w:val="center"/>
              <w:ind w:left="1763"/>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170,248</w:t>
            </w:r>
          </w:p>
        </w:tc>
        <w:tc>
          <w:tcPr>
            <w:tcW w:w="460" w:type="dxa"/>
            <w:vAlign w:val="bottom"/>
          </w:tcPr>
          <w:p>
            <w:pPr>
              <w:spacing w:after="0"/>
              <w:rPr>
                <w:sz w:val="15"/>
                <w:szCs w:val="15"/>
                <w:color w:val="auto"/>
              </w:rPr>
            </w:pP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8"/>
              </w:rPr>
              <w:t>148,598</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92,661</w:t>
            </w:r>
          </w:p>
        </w:tc>
        <w:tc>
          <w:tcPr>
            <w:tcW w:w="46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69,195</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10,000</w:t>
            </w:r>
          </w:p>
        </w:tc>
        <w:tc>
          <w:tcPr>
            <w:tcW w:w="46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10,000</w:t>
            </w:r>
          </w:p>
        </w:tc>
        <w:tc>
          <w:tcPr>
            <w:tcW w:w="1480" w:type="dxa"/>
            <w:vAlign w:val="bottom"/>
          </w:tcPr>
          <w:p>
            <w:pPr>
              <w:spacing w:after="0"/>
              <w:rPr>
                <w:sz w:val="15"/>
                <w:szCs w:val="15"/>
                <w:color w:val="auto"/>
              </w:rPr>
            </w:pPr>
          </w:p>
        </w:tc>
      </w:tr>
      <w:tr>
        <w:trPr>
          <w:trHeight w:val="177"/>
        </w:trPr>
        <w:tc>
          <w:tcPr>
            <w:tcW w:w="194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6,900</w:t>
            </w:r>
          </w:p>
        </w:tc>
        <w:tc>
          <w:tcPr>
            <w:tcW w:w="4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9,212</w:t>
            </w:r>
          </w:p>
        </w:tc>
        <w:tc>
          <w:tcPr>
            <w:tcW w:w="1480" w:type="dxa"/>
            <w:vAlign w:val="bottom"/>
          </w:tcPr>
          <w:p>
            <w:pPr>
              <w:spacing w:after="0"/>
              <w:rPr>
                <w:sz w:val="15"/>
                <w:szCs w:val="15"/>
                <w:color w:val="auto"/>
              </w:rPr>
            </w:pPr>
          </w:p>
        </w:tc>
      </w:tr>
      <w:tr>
        <w:trPr>
          <w:trHeight w:val="177"/>
        </w:trPr>
        <w:tc>
          <w:tcPr>
            <w:tcW w:w="2400" w:type="dxa"/>
            <w:vAlign w:val="bottom"/>
            <w:gridSpan w:val="2"/>
          </w:tcPr>
          <w:p>
            <w:pPr>
              <w:jc w:val="center"/>
              <w:ind w:left="1303"/>
              <w:spacing w:after="0"/>
              <w:rPr>
                <w:sz w:val="20"/>
                <w:szCs w:val="20"/>
                <w:color w:val="auto"/>
              </w:rPr>
            </w:pPr>
            <w:r>
              <w:rPr>
                <w:rFonts w:ascii="Courier New" w:cs="Courier New" w:eastAsia="Courier New" w:hAnsi="Courier New"/>
                <w:sz w:val="15"/>
                <w:szCs w:val="15"/>
                <w:color w:val="auto"/>
              </w:rPr>
              <w:t>2,453</w:t>
            </w:r>
          </w:p>
        </w:tc>
        <w:tc>
          <w:tcPr>
            <w:tcW w:w="1200" w:type="dxa"/>
            <w:vAlign w:val="bottom"/>
          </w:tcPr>
          <w:p>
            <w:pPr>
              <w:spacing w:after="0"/>
              <w:rPr>
                <w:sz w:val="15"/>
                <w:szCs w:val="15"/>
                <w:color w:val="auto"/>
              </w:rPr>
            </w:pPr>
          </w:p>
        </w:tc>
        <w:tc>
          <w:tcPr>
            <w:tcW w:w="148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2,311</w:t>
            </w:r>
          </w:p>
        </w:tc>
      </w:tr>
      <w:tr>
        <w:trPr>
          <w:trHeight w:val="177"/>
        </w:trPr>
        <w:tc>
          <w:tcPr>
            <w:tcW w:w="1940" w:type="dxa"/>
            <w:vAlign w:val="bottom"/>
          </w:tcPr>
          <w:p>
            <w:pPr>
              <w:jc w:val="right"/>
              <w:ind w:right="1043"/>
              <w:spacing w:after="0"/>
              <w:rPr>
                <w:sz w:val="20"/>
                <w:szCs w:val="20"/>
                <w:color w:val="auto"/>
              </w:rPr>
            </w:pPr>
            <w:r>
              <w:rPr>
                <w:rFonts w:ascii="Courier New" w:cs="Courier New" w:eastAsia="Courier New" w:hAnsi="Courier New"/>
                <w:sz w:val="15"/>
                <w:szCs w:val="15"/>
                <w:color w:val="auto"/>
                <w:w w:val="98"/>
              </w:rPr>
              <w:t>1,348,951</w:t>
            </w:r>
          </w:p>
        </w:tc>
        <w:tc>
          <w:tcPr>
            <w:tcW w:w="16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1,515,336</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3,448,017</w:t>
            </w:r>
          </w:p>
        </w:tc>
        <w:tc>
          <w:tcPr>
            <w:tcW w:w="16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3,559,271</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983,582</w:t>
            </w:r>
          </w:p>
        </w:tc>
        <w:tc>
          <w:tcPr>
            <w:tcW w:w="46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959,409</w:t>
            </w:r>
          </w:p>
        </w:tc>
        <w:tc>
          <w:tcPr>
            <w:tcW w:w="1480" w:type="dxa"/>
            <w:vAlign w:val="bottom"/>
          </w:tcPr>
          <w:p>
            <w:pPr>
              <w:spacing w:after="0"/>
              <w:rPr>
                <w:sz w:val="15"/>
                <w:szCs w:val="15"/>
                <w:color w:val="auto"/>
              </w:rPr>
            </w:pPr>
          </w:p>
        </w:tc>
      </w:tr>
      <w:tr>
        <w:trPr>
          <w:trHeight w:val="177"/>
        </w:trPr>
        <w:tc>
          <w:tcPr>
            <w:tcW w:w="1940" w:type="dxa"/>
            <w:vAlign w:val="bottom"/>
          </w:tcPr>
          <w:p>
            <w:pPr>
              <w:ind w:left="1200"/>
              <w:spacing w:after="0"/>
              <w:rPr>
                <w:sz w:val="20"/>
                <w:szCs w:val="20"/>
                <w:color w:val="auto"/>
              </w:rPr>
            </w:pPr>
            <w:r>
              <w:rPr>
                <w:rFonts w:ascii="Courier New" w:cs="Courier New" w:eastAsia="Courier New" w:hAnsi="Courier New"/>
                <w:sz w:val="15"/>
                <w:szCs w:val="15"/>
                <w:color w:val="auto"/>
              </w:rPr>
              <w:t>89,064</w:t>
            </w:r>
          </w:p>
        </w:tc>
        <w:tc>
          <w:tcPr>
            <w:tcW w:w="460" w:type="dxa"/>
            <w:vAlign w:val="bottom"/>
          </w:tcPr>
          <w:p>
            <w:pPr>
              <w:spacing w:after="0"/>
              <w:rPr>
                <w:sz w:val="15"/>
                <w:szCs w:val="15"/>
                <w:color w:val="auto"/>
              </w:rPr>
            </w:pPr>
          </w:p>
        </w:tc>
        <w:tc>
          <w:tcPr>
            <w:tcW w:w="26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71,878</w:t>
            </w:r>
          </w:p>
        </w:tc>
      </w:tr>
      <w:tr>
        <w:trPr>
          <w:trHeight w:val="177"/>
        </w:trPr>
        <w:tc>
          <w:tcPr>
            <w:tcW w:w="194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698,942</w:t>
            </w:r>
          </w:p>
        </w:tc>
        <w:tc>
          <w:tcPr>
            <w:tcW w:w="46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733,235</w:t>
            </w:r>
          </w:p>
        </w:tc>
        <w:tc>
          <w:tcPr>
            <w:tcW w:w="1480" w:type="dxa"/>
            <w:vAlign w:val="bottom"/>
          </w:tcPr>
          <w:p>
            <w:pPr>
              <w:spacing w:after="0"/>
              <w:rPr>
                <w:sz w:val="15"/>
                <w:szCs w:val="15"/>
                <w:color w:val="auto"/>
              </w:rPr>
            </w:pPr>
          </w:p>
        </w:tc>
      </w:tr>
      <w:tr>
        <w:trPr>
          <w:trHeight w:val="177"/>
        </w:trPr>
        <w:tc>
          <w:tcPr>
            <w:tcW w:w="194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788,006</w:t>
            </w:r>
          </w:p>
        </w:tc>
        <w:tc>
          <w:tcPr>
            <w:tcW w:w="46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805,113</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195,576</w:t>
            </w:r>
          </w:p>
        </w:tc>
        <w:tc>
          <w:tcPr>
            <w:tcW w:w="460" w:type="dxa"/>
            <w:vAlign w:val="bottom"/>
          </w:tcPr>
          <w:p>
            <w:pPr>
              <w:spacing w:after="0"/>
              <w:rPr>
                <w:sz w:val="15"/>
                <w:szCs w:val="15"/>
                <w:color w:val="auto"/>
              </w:rPr>
            </w:pPr>
          </w:p>
        </w:tc>
        <w:tc>
          <w:tcPr>
            <w:tcW w:w="26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154,296</w:t>
            </w:r>
          </w:p>
        </w:tc>
      </w:tr>
      <w:tr>
        <w:trPr>
          <w:trHeight w:val="177"/>
        </w:trPr>
        <w:tc>
          <w:tcPr>
            <w:tcW w:w="1940" w:type="dxa"/>
            <w:vAlign w:val="bottom"/>
          </w:tcPr>
          <w:p>
            <w:pPr>
              <w:ind w:left="1200"/>
              <w:spacing w:after="0"/>
              <w:rPr>
                <w:sz w:val="20"/>
                <w:szCs w:val="20"/>
                <w:color w:val="auto"/>
              </w:rPr>
            </w:pPr>
            <w:r>
              <w:rPr>
                <w:rFonts w:ascii="Courier New" w:cs="Courier New" w:eastAsia="Courier New" w:hAnsi="Courier New"/>
                <w:sz w:val="15"/>
                <w:szCs w:val="15"/>
                <w:color w:val="auto"/>
                <w:w w:val="99"/>
              </w:rPr>
              <w:t>(33,576)</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jc w:val="right"/>
              <w:ind w:right="843"/>
              <w:spacing w:after="0"/>
              <w:rPr>
                <w:sz w:val="20"/>
                <w:szCs w:val="20"/>
                <w:color w:val="auto"/>
              </w:rPr>
            </w:pPr>
            <w:r>
              <w:rPr>
                <w:rFonts w:ascii="Courier New" w:cs="Courier New" w:eastAsia="Courier New" w:hAnsi="Courier New"/>
                <w:sz w:val="15"/>
                <w:szCs w:val="15"/>
                <w:color w:val="auto"/>
                <w:w w:val="99"/>
              </w:rPr>
              <w:t>17,172</w:t>
            </w:r>
          </w:p>
        </w:tc>
      </w:tr>
      <w:tr>
        <w:trPr>
          <w:trHeight w:val="177"/>
        </w:trPr>
        <w:tc>
          <w:tcPr>
            <w:tcW w:w="194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162,000</w:t>
            </w:r>
          </w:p>
        </w:tc>
        <w:tc>
          <w:tcPr>
            <w:tcW w:w="460" w:type="dxa"/>
            <w:vAlign w:val="bottom"/>
          </w:tcPr>
          <w:p>
            <w:pPr>
              <w:spacing w:after="0"/>
              <w:rPr>
                <w:sz w:val="15"/>
                <w:szCs w:val="15"/>
                <w:color w:val="auto"/>
              </w:rPr>
            </w:pP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8"/>
              </w:rPr>
              <w:t>171,468</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71,320</w:t>
            </w:r>
          </w:p>
        </w:tc>
        <w:tc>
          <w:tcPr>
            <w:tcW w:w="460" w:type="dxa"/>
            <w:vAlign w:val="bottom"/>
          </w:tcPr>
          <w:p>
            <w:pPr>
              <w:spacing w:after="0"/>
              <w:rPr>
                <w:sz w:val="15"/>
                <w:szCs w:val="15"/>
                <w:color w:val="auto"/>
              </w:rPr>
            </w:pPr>
          </w:p>
        </w:tc>
        <w:tc>
          <w:tcPr>
            <w:tcW w:w="1200" w:type="dxa"/>
            <w:vAlign w:val="bottom"/>
          </w:tcPr>
          <w:p>
            <w:pPr>
              <w:ind w:left="640"/>
              <w:spacing w:after="0"/>
              <w:rPr>
                <w:sz w:val="20"/>
                <w:szCs w:val="20"/>
                <w:color w:val="auto"/>
              </w:rPr>
            </w:pPr>
            <w:r>
              <w:rPr>
                <w:rFonts w:ascii="Courier New" w:cs="Courier New" w:eastAsia="Courier New" w:hAnsi="Courier New"/>
                <w:sz w:val="15"/>
                <w:szCs w:val="15"/>
                <w:color w:val="auto"/>
                <w:w w:val="99"/>
              </w:rPr>
              <w:t>67,610</w:t>
            </w:r>
          </w:p>
        </w:tc>
        <w:tc>
          <w:tcPr>
            <w:tcW w:w="1480" w:type="dxa"/>
            <w:vAlign w:val="bottom"/>
          </w:tcPr>
          <w:p>
            <w:pPr>
              <w:spacing w:after="0"/>
              <w:rPr>
                <w:sz w:val="15"/>
                <w:szCs w:val="15"/>
                <w:color w:val="auto"/>
              </w:rPr>
            </w:pPr>
          </w:p>
        </w:tc>
      </w:tr>
      <w:tr>
        <w:trPr>
          <w:trHeight w:val="177"/>
        </w:trPr>
        <w:tc>
          <w:tcPr>
            <w:tcW w:w="1940" w:type="dxa"/>
            <w:vAlign w:val="bottom"/>
          </w:tcPr>
          <w:p>
            <w:pPr>
              <w:spacing w:after="0"/>
              <w:rPr>
                <w:sz w:val="15"/>
                <w:szCs w:val="15"/>
                <w:color w:val="auto"/>
              </w:rPr>
            </w:pPr>
          </w:p>
        </w:tc>
        <w:tc>
          <w:tcPr>
            <w:tcW w:w="1660" w:type="dxa"/>
            <w:vAlign w:val="bottom"/>
            <w:gridSpan w:val="2"/>
          </w:tcPr>
          <w:p>
            <w:pPr>
              <w:jc w:val="center"/>
              <w:ind w:right="1043"/>
              <w:spacing w:after="0"/>
              <w:rPr>
                <w:sz w:val="20"/>
                <w:szCs w:val="20"/>
                <w:color w:val="auto"/>
              </w:rPr>
            </w:pPr>
            <w:r>
              <w:rPr>
                <w:rFonts w:ascii="Courier New" w:cs="Courier New" w:eastAsia="Courier New" w:hAnsi="Courier New"/>
                <w:sz w:val="15"/>
                <w:szCs w:val="15"/>
                <w:color w:val="auto"/>
                <w:w w:val="99"/>
              </w:rPr>
              <w:t>90,680</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110,330</w:t>
            </w:r>
          </w:p>
        </w:tc>
      </w:tr>
      <w:tr>
        <w:trPr>
          <w:trHeight w:val="177"/>
        </w:trPr>
        <w:tc>
          <w:tcPr>
            <w:tcW w:w="194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9,644</w:t>
            </w:r>
          </w:p>
        </w:tc>
        <w:tc>
          <w:tcPr>
            <w:tcW w:w="46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10,800</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81,036</w:t>
            </w:r>
          </w:p>
        </w:tc>
        <w:tc>
          <w:tcPr>
            <w:tcW w:w="46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99,530</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60,955</w:t>
            </w:r>
          </w:p>
        </w:tc>
        <w:tc>
          <w:tcPr>
            <w:tcW w:w="460" w:type="dxa"/>
            <w:vAlign w:val="bottom"/>
          </w:tcPr>
          <w:p>
            <w:pPr>
              <w:spacing w:after="0"/>
              <w:rPr>
                <w:sz w:val="15"/>
                <w:szCs w:val="15"/>
                <w:color w:val="auto"/>
              </w:rPr>
            </w:pPr>
          </w:p>
        </w:tc>
        <w:tc>
          <w:tcPr>
            <w:tcW w:w="1200" w:type="dxa"/>
            <w:vAlign w:val="bottom"/>
          </w:tcPr>
          <w:p>
            <w:pPr>
              <w:ind w:left="640"/>
              <w:spacing w:after="0"/>
              <w:rPr>
                <w:sz w:val="20"/>
                <w:szCs w:val="20"/>
                <w:color w:val="auto"/>
              </w:rPr>
            </w:pPr>
            <w:r>
              <w:rPr>
                <w:rFonts w:ascii="Courier New" w:cs="Courier New" w:eastAsia="Courier New" w:hAnsi="Courier New"/>
                <w:sz w:val="15"/>
                <w:szCs w:val="15"/>
                <w:color w:val="auto"/>
                <w:w w:val="99"/>
              </w:rPr>
              <w:t>60,308</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64,997</w:t>
            </w:r>
          </w:p>
        </w:tc>
        <w:tc>
          <w:tcPr>
            <w:tcW w:w="46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58,031</w:t>
            </w:r>
          </w:p>
        </w:tc>
        <w:tc>
          <w:tcPr>
            <w:tcW w:w="1480" w:type="dxa"/>
            <w:vAlign w:val="bottom"/>
          </w:tcPr>
          <w:p>
            <w:pPr>
              <w:spacing w:after="0"/>
              <w:rPr>
                <w:sz w:val="15"/>
                <w:szCs w:val="15"/>
                <w:color w:val="auto"/>
              </w:rPr>
            </w:pPr>
          </w:p>
        </w:tc>
      </w:tr>
      <w:tr>
        <w:trPr>
          <w:trHeight w:val="177"/>
        </w:trPr>
        <w:tc>
          <w:tcPr>
            <w:tcW w:w="1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256,542</w:t>
            </w:r>
          </w:p>
        </w:tc>
        <w:tc>
          <w:tcPr>
            <w:tcW w:w="460" w:type="dxa"/>
            <w:vAlign w:val="bottom"/>
          </w:tcPr>
          <w:p>
            <w:pPr>
              <w:spacing w:after="0"/>
              <w:rPr>
                <w:sz w:val="15"/>
                <w:szCs w:val="15"/>
                <w:color w:val="auto"/>
              </w:rPr>
            </w:pPr>
          </w:p>
        </w:tc>
        <w:tc>
          <w:tcPr>
            <w:tcW w:w="26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247,565</w:t>
            </w:r>
          </w:p>
        </w:tc>
      </w:tr>
      <w:tr>
        <w:trPr>
          <w:trHeight w:val="177"/>
        </w:trPr>
        <w:tc>
          <w:tcPr>
            <w:tcW w:w="1940" w:type="dxa"/>
            <w:vAlign w:val="bottom"/>
          </w:tcPr>
          <w:p>
            <w:pPr>
              <w:spacing w:after="0"/>
              <w:rPr>
                <w:sz w:val="15"/>
                <w:szCs w:val="15"/>
                <w:color w:val="auto"/>
              </w:rPr>
            </w:pPr>
          </w:p>
        </w:tc>
        <w:tc>
          <w:tcPr>
            <w:tcW w:w="460" w:type="dxa"/>
            <w:vAlign w:val="bottom"/>
          </w:tcPr>
          <w:p>
            <w:pPr>
              <w:jc w:val="center"/>
              <w:ind w:left="3"/>
              <w:spacing w:after="0"/>
              <w:rPr>
                <w:sz w:val="20"/>
                <w:szCs w:val="20"/>
                <w:color w:val="auto"/>
              </w:rPr>
            </w:pPr>
            <w:r>
              <w:rPr>
                <w:rFonts w:ascii="Courier New" w:cs="Courier New" w:eastAsia="Courier New" w:hAnsi="Courier New"/>
                <w:sz w:val="15"/>
                <w:szCs w:val="15"/>
                <w:color w:val="auto"/>
              </w:rPr>
              <w:t>1.60</w:t>
            </w:r>
          </w:p>
        </w:tc>
        <w:tc>
          <w:tcPr>
            <w:tcW w:w="1200" w:type="dxa"/>
            <w:vAlign w:val="bottom"/>
          </w:tcPr>
          <w:p>
            <w:pPr>
              <w:spacing w:after="0"/>
              <w:rPr>
                <w:sz w:val="15"/>
                <w:szCs w:val="15"/>
                <w:color w:val="auto"/>
              </w:rPr>
            </w:pP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1.99</w:t>
            </w:r>
          </w:p>
        </w:tc>
      </w:tr>
      <w:tr>
        <w:trPr>
          <w:trHeight w:val="177"/>
        </w:trPr>
        <w:tc>
          <w:tcPr>
            <w:tcW w:w="1940" w:type="dxa"/>
            <w:vAlign w:val="bottom"/>
          </w:tcPr>
          <w:p>
            <w:pPr>
              <w:spacing w:after="0"/>
              <w:rPr>
                <w:sz w:val="15"/>
                <w:szCs w:val="15"/>
                <w:color w:val="auto"/>
              </w:rPr>
            </w:pPr>
          </w:p>
        </w:tc>
        <w:tc>
          <w:tcPr>
            <w:tcW w:w="460" w:type="dxa"/>
            <w:vAlign w:val="bottom"/>
          </w:tcPr>
          <w:p>
            <w:pPr>
              <w:jc w:val="center"/>
              <w:ind w:left="3"/>
              <w:spacing w:after="0"/>
              <w:rPr>
                <w:sz w:val="20"/>
                <w:szCs w:val="20"/>
                <w:color w:val="auto"/>
              </w:rPr>
            </w:pPr>
            <w:r>
              <w:rPr>
                <w:rFonts w:ascii="Courier New" w:cs="Courier New" w:eastAsia="Courier New" w:hAnsi="Courier New"/>
                <w:sz w:val="15"/>
                <w:szCs w:val="15"/>
                <w:color w:val="auto"/>
              </w:rPr>
              <w:t>1.60</w:t>
            </w:r>
          </w:p>
        </w:tc>
        <w:tc>
          <w:tcPr>
            <w:tcW w:w="1200" w:type="dxa"/>
            <w:vAlign w:val="bottom"/>
          </w:tcPr>
          <w:p>
            <w:pPr>
              <w:spacing w:after="0"/>
              <w:rPr>
                <w:sz w:val="15"/>
                <w:szCs w:val="15"/>
                <w:color w:val="auto"/>
              </w:rPr>
            </w:pP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1.99</w:t>
            </w:r>
          </w:p>
        </w:tc>
      </w:tr>
    </w:tbl>
    <w:p>
      <w:pPr>
        <w:sectPr>
          <w:pgSz w:w="11900" w:h="16838" w:orient="portrait"/>
          <w:cols w:equalWidth="0" w:num="1">
            <w:col w:w="10219"/>
          </w:cols>
          <w:pgMar w:left="240" w:top="141" w:right="1440" w:bottom="1440" w:gutter="0" w:footer="0" w:header="0"/>
          <w:type w:val="continuous"/>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WARNING: THE EDGAR SYSTEM ENCOUNTERED ERROR(S) WHILE PROCESSING THIS SCHEDULE.</w:t>
      </w: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UT</w:t>
      </w:r>
    </w:p>
    <w:p>
      <w:pPr>
        <w:spacing w:after="0" w:line="185" w:lineRule="exact"/>
        <w:rPr>
          <w:sz w:val="20"/>
          <w:szCs w:val="20"/>
          <w:color w:val="auto"/>
        </w:rPr>
      </w:pPr>
    </w:p>
    <w:p>
      <w:pPr>
        <w:ind w:left="20" w:right="4479"/>
        <w:spacing w:after="0" w:line="251"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FINANCIAL STATEMENTS FILED ON FORM 10-K FOR THE PERIODS ENDED DECEMBER 31, 1995 AND 1994 FOR PORTLAND GENERAL ELECTRIC COMPANY AND IS QUALIFIED IN ITS ENTIRETY BY REFERENCE TO SUCH FINANCIAL STATEMENTS.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62"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2160" w:type="dxa"/>
            <w:vAlign w:val="bottom"/>
          </w:tcPr>
          <w:p>
            <w:pPr>
              <w:jc w:val="right"/>
              <w:ind w:right="1343"/>
              <w:spacing w:after="0"/>
              <w:rPr>
                <w:sz w:val="20"/>
                <w:szCs w:val="20"/>
                <w:color w:val="auto"/>
              </w:rPr>
            </w:pPr>
            <w:r>
              <w:rPr>
                <w:rFonts w:ascii="Courier New" w:cs="Courier New" w:eastAsia="Courier New" w:hAnsi="Courier New"/>
                <w:sz w:val="15"/>
                <w:szCs w:val="15"/>
                <w:color w:val="auto"/>
              </w:rPr>
              <w:t>YEAR</w:t>
            </w:r>
          </w:p>
        </w:tc>
        <w:tc>
          <w:tcPr>
            <w:tcW w:w="24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480" w:type="dxa"/>
            <w:vAlign w:val="bottom"/>
          </w:tcPr>
          <w:p>
            <w:pPr>
              <w:spacing w:after="0"/>
              <w:rPr>
                <w:sz w:val="14"/>
                <w:szCs w:val="14"/>
                <w:color w:val="auto"/>
              </w:rPr>
            </w:pPr>
          </w:p>
        </w:tc>
      </w:tr>
      <w:tr>
        <w:trPr>
          <w:trHeight w:val="177"/>
        </w:trPr>
        <w:tc>
          <w:tcPr>
            <w:tcW w:w="2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DEC-31-1995</w:t>
            </w:r>
          </w:p>
        </w:tc>
        <w:tc>
          <w:tcPr>
            <w:tcW w:w="240" w:type="dxa"/>
            <w:vAlign w:val="bottom"/>
          </w:tcPr>
          <w:p>
            <w:pPr>
              <w:spacing w:after="0"/>
              <w:rPr>
                <w:sz w:val="15"/>
                <w:szCs w:val="15"/>
                <w:color w:val="auto"/>
              </w:rPr>
            </w:pPr>
          </w:p>
        </w:tc>
        <w:tc>
          <w:tcPr>
            <w:tcW w:w="26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DEC-31-1994</w:t>
            </w:r>
          </w:p>
        </w:tc>
      </w:tr>
      <w:tr>
        <w:trPr>
          <w:trHeight w:val="177"/>
        </w:trPr>
        <w:tc>
          <w:tcPr>
            <w:tcW w:w="3600" w:type="dxa"/>
            <w:vAlign w:val="bottom"/>
            <w:gridSpan w:val="3"/>
          </w:tcPr>
          <w:p>
            <w:pPr>
              <w:jc w:val="right"/>
              <w:ind w:right="1043"/>
              <w:spacing w:after="0"/>
              <w:rPr>
                <w:sz w:val="20"/>
                <w:szCs w:val="20"/>
                <w:color w:val="auto"/>
              </w:rPr>
            </w:pPr>
            <w:r>
              <w:rPr>
                <w:rFonts w:ascii="Courier New" w:cs="Courier New" w:eastAsia="Courier New" w:hAnsi="Courier New"/>
                <w:sz w:val="15"/>
                <w:szCs w:val="15"/>
                <w:color w:val="auto"/>
              </w:rPr>
              <w:t>DEC-31-1995</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DEC-31-1994</w:t>
            </w:r>
          </w:p>
        </w:tc>
      </w:tr>
      <w:tr>
        <w:trPr>
          <w:trHeight w:val="177"/>
        </w:trPr>
        <w:tc>
          <w:tcPr>
            <w:tcW w:w="3600" w:type="dxa"/>
            <w:vAlign w:val="bottom"/>
            <w:gridSpan w:val="3"/>
          </w:tcPr>
          <w:p>
            <w:pPr>
              <w:jc w:val="right"/>
              <w:ind w:right="1043"/>
              <w:spacing w:after="0"/>
              <w:rPr>
                <w:sz w:val="20"/>
                <w:szCs w:val="20"/>
                <w:color w:val="auto"/>
              </w:rPr>
            </w:pPr>
            <w:r>
              <w:rPr>
                <w:rFonts w:ascii="Courier New" w:cs="Courier New" w:eastAsia="Courier New" w:hAnsi="Courier New"/>
                <w:sz w:val="15"/>
                <w:szCs w:val="15"/>
                <w:color w:val="auto"/>
              </w:rPr>
              <w:t>PER-BOOK</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PER-BOOK</w:t>
            </w:r>
          </w:p>
        </w:tc>
      </w:tr>
      <w:tr>
        <w:trPr>
          <w:trHeight w:val="177"/>
        </w:trPr>
        <w:tc>
          <w:tcPr>
            <w:tcW w:w="216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1,723,619</w:t>
            </w:r>
          </w:p>
        </w:tc>
        <w:tc>
          <w:tcPr>
            <w:tcW w:w="24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1,616,534</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138,352</w:t>
            </w:r>
          </w:p>
        </w:tc>
        <w:tc>
          <w:tcPr>
            <w:tcW w:w="2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124,593</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223,306</w:t>
            </w:r>
          </w:p>
        </w:tc>
        <w:tc>
          <w:tcPr>
            <w:tcW w:w="240" w:type="dxa"/>
            <w:vAlign w:val="bottom"/>
          </w:tcPr>
          <w:p>
            <w:pPr>
              <w:spacing w:after="0"/>
              <w:rPr>
                <w:sz w:val="15"/>
                <w:szCs w:val="15"/>
                <w:color w:val="auto"/>
              </w:rPr>
            </w:pPr>
          </w:p>
        </w:tc>
        <w:tc>
          <w:tcPr>
            <w:tcW w:w="26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327,710</w:t>
            </w:r>
          </w:p>
        </w:tc>
      </w:tr>
      <w:tr>
        <w:trPr>
          <w:trHeight w:val="177"/>
        </w:trPr>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1,160,320</w:t>
            </w:r>
          </w:p>
        </w:tc>
        <w:tc>
          <w:tcPr>
            <w:tcW w:w="24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1,285,314</w:t>
            </w:r>
          </w:p>
        </w:tc>
        <w:tc>
          <w:tcPr>
            <w:tcW w:w="1480" w:type="dxa"/>
            <w:vAlign w:val="bottom"/>
          </w:tcPr>
          <w:p>
            <w:pPr>
              <w:spacing w:after="0"/>
              <w:rPr>
                <w:sz w:val="15"/>
                <w:szCs w:val="15"/>
                <w:color w:val="auto"/>
              </w:rPr>
            </w:pPr>
          </w:p>
        </w:tc>
      </w:tr>
      <w:tr>
        <w:trPr>
          <w:trHeight w:val="177"/>
        </w:trPr>
        <w:tc>
          <w:tcPr>
            <w:tcW w:w="2160" w:type="dxa"/>
            <w:vAlign w:val="bottom"/>
          </w:tcPr>
          <w:p>
            <w:pPr>
              <w:spacing w:after="0"/>
              <w:rPr>
                <w:sz w:val="15"/>
                <w:szCs w:val="15"/>
                <w:color w:val="auto"/>
              </w:rPr>
            </w:pP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spacing w:after="0"/>
              <w:rPr>
                <w:sz w:val="15"/>
                <w:szCs w:val="15"/>
                <w:color w:val="auto"/>
              </w:rPr>
            </w:pPr>
          </w:p>
        </w:tc>
        <w:tc>
          <w:tcPr>
            <w:tcW w:w="1480" w:type="dxa"/>
            <w:vAlign w:val="bottom"/>
          </w:tcPr>
          <w:p>
            <w:pPr>
              <w:ind w:left="820"/>
              <w:spacing w:after="0"/>
              <w:rPr>
                <w:sz w:val="20"/>
                <w:szCs w:val="20"/>
                <w:color w:val="auto"/>
              </w:rPr>
            </w:pPr>
            <w:r>
              <w:rPr>
                <w:rFonts w:ascii="Courier New" w:cs="Courier New" w:eastAsia="Courier New" w:hAnsi="Courier New"/>
                <w:sz w:val="15"/>
                <w:szCs w:val="15"/>
                <w:color w:val="auto"/>
              </w:rPr>
              <w:t>0</w:t>
            </w:r>
          </w:p>
        </w:tc>
      </w:tr>
      <w:tr>
        <w:trPr>
          <w:trHeight w:val="177"/>
        </w:trPr>
        <w:tc>
          <w:tcPr>
            <w:tcW w:w="2400" w:type="dxa"/>
            <w:vAlign w:val="bottom"/>
            <w:gridSpan w:val="2"/>
          </w:tcPr>
          <w:p>
            <w:pPr>
              <w:jc w:val="center"/>
              <w:ind w:left="1303"/>
              <w:spacing w:after="0"/>
              <w:rPr>
                <w:sz w:val="20"/>
                <w:szCs w:val="20"/>
                <w:color w:val="auto"/>
              </w:rPr>
            </w:pPr>
            <w:r>
              <w:rPr>
                <w:rFonts w:ascii="Courier New" w:cs="Courier New" w:eastAsia="Courier New" w:hAnsi="Courier New"/>
                <w:sz w:val="15"/>
                <w:szCs w:val="15"/>
                <w:color w:val="auto"/>
              </w:rPr>
              <w:t>3,245,597</w:t>
            </w:r>
          </w:p>
        </w:tc>
        <w:tc>
          <w:tcPr>
            <w:tcW w:w="1200" w:type="dxa"/>
            <w:vAlign w:val="bottom"/>
          </w:tcPr>
          <w:p>
            <w:pPr>
              <w:spacing w:after="0"/>
              <w:rPr>
                <w:sz w:val="15"/>
                <w:szCs w:val="15"/>
                <w:color w:val="auto"/>
              </w:rPr>
            </w:pPr>
          </w:p>
        </w:tc>
        <w:tc>
          <w:tcPr>
            <w:tcW w:w="1480" w:type="dxa"/>
            <w:vAlign w:val="bottom"/>
          </w:tcPr>
          <w:p>
            <w:pPr>
              <w:jc w:val="center"/>
              <w:ind w:right="403"/>
              <w:spacing w:after="0"/>
              <w:rPr>
                <w:sz w:val="20"/>
                <w:szCs w:val="20"/>
                <w:color w:val="auto"/>
              </w:rPr>
            </w:pPr>
            <w:r>
              <w:rPr>
                <w:rFonts w:ascii="Courier New" w:cs="Courier New" w:eastAsia="Courier New" w:hAnsi="Courier New"/>
                <w:sz w:val="15"/>
                <w:szCs w:val="15"/>
                <w:color w:val="auto"/>
              </w:rPr>
              <w:t>3,354,151</w:t>
            </w:r>
          </w:p>
        </w:tc>
      </w:tr>
      <w:tr>
        <w:trPr>
          <w:trHeight w:val="177"/>
        </w:trPr>
        <w:tc>
          <w:tcPr>
            <w:tcW w:w="21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160,346</w:t>
            </w:r>
          </w:p>
        </w:tc>
        <w:tc>
          <w:tcPr>
            <w:tcW w:w="1480" w:type="dxa"/>
            <w:vAlign w:val="bottom"/>
          </w:tcPr>
          <w:p>
            <w:pPr>
              <w:ind w:left="820"/>
              <w:spacing w:after="0"/>
              <w:rPr>
                <w:sz w:val="20"/>
                <w:szCs w:val="20"/>
                <w:color w:val="auto"/>
              </w:rPr>
            </w:pPr>
            <w:r>
              <w:rPr>
                <w:rFonts w:ascii="Courier New" w:cs="Courier New" w:eastAsia="Courier New" w:hAnsi="Courier New"/>
                <w:sz w:val="15"/>
                <w:szCs w:val="15"/>
                <w:color w:val="auto"/>
              </w:rPr>
              <w:t>160,346</w:t>
            </w:r>
          </w:p>
        </w:tc>
      </w:tr>
      <w:tr>
        <w:trPr>
          <w:trHeight w:val="177"/>
        </w:trPr>
        <w:tc>
          <w:tcPr>
            <w:tcW w:w="216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473,439</w:t>
            </w:r>
          </w:p>
        </w:tc>
        <w:tc>
          <w:tcPr>
            <w:tcW w:w="24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470,008</w:t>
            </w:r>
          </w:p>
        </w:tc>
        <w:tc>
          <w:tcPr>
            <w:tcW w:w="1480" w:type="dxa"/>
            <w:vAlign w:val="bottom"/>
          </w:tcPr>
          <w:p>
            <w:pPr>
              <w:spacing w:after="0"/>
              <w:rPr>
                <w:sz w:val="15"/>
                <w:szCs w:val="15"/>
                <w:color w:val="auto"/>
              </w:rPr>
            </w:pPr>
          </w:p>
        </w:tc>
      </w:tr>
      <w:tr>
        <w:trPr>
          <w:trHeight w:val="177"/>
        </w:trPr>
        <w:tc>
          <w:tcPr>
            <w:tcW w:w="2160" w:type="dxa"/>
            <w:vAlign w:val="bottom"/>
          </w:tcPr>
          <w:p>
            <w:pPr>
              <w:ind w:left="1200"/>
              <w:spacing w:after="0"/>
              <w:rPr>
                <w:sz w:val="20"/>
                <w:szCs w:val="20"/>
                <w:color w:val="auto"/>
              </w:rPr>
            </w:pPr>
            <w:r>
              <w:rPr>
                <w:rFonts w:ascii="Courier New" w:cs="Courier New" w:eastAsia="Courier New" w:hAnsi="Courier New"/>
                <w:sz w:val="15"/>
                <w:szCs w:val="15"/>
                <w:color w:val="auto"/>
              </w:rPr>
              <w:t>246,282</w:t>
            </w:r>
          </w:p>
        </w:tc>
        <w:tc>
          <w:tcPr>
            <w:tcW w:w="240" w:type="dxa"/>
            <w:vAlign w:val="bottom"/>
          </w:tcPr>
          <w:p>
            <w:pPr>
              <w:spacing w:after="0"/>
              <w:rPr>
                <w:sz w:val="15"/>
                <w:szCs w:val="15"/>
                <w:color w:val="auto"/>
              </w:rPr>
            </w:pPr>
          </w:p>
        </w:tc>
        <w:tc>
          <w:tcPr>
            <w:tcW w:w="26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216,468</w:t>
            </w:r>
          </w:p>
        </w:tc>
      </w:tr>
      <w:tr>
        <w:trPr>
          <w:trHeight w:val="177"/>
        </w:trPr>
        <w:tc>
          <w:tcPr>
            <w:tcW w:w="2160" w:type="dxa"/>
            <w:vAlign w:val="bottom"/>
          </w:tcPr>
          <w:p>
            <w:pPr>
              <w:jc w:val="right"/>
              <w:ind w:right="1263"/>
              <w:spacing w:after="0"/>
              <w:rPr>
                <w:sz w:val="20"/>
                <w:szCs w:val="20"/>
                <w:color w:val="auto"/>
              </w:rPr>
            </w:pPr>
            <w:r>
              <w:rPr>
                <w:rFonts w:ascii="Courier New" w:cs="Courier New" w:eastAsia="Courier New" w:hAnsi="Courier New"/>
                <w:sz w:val="15"/>
                <w:szCs w:val="15"/>
                <w:color w:val="auto"/>
              </w:rPr>
              <w:t>880,067</w:t>
            </w:r>
          </w:p>
        </w:tc>
        <w:tc>
          <w:tcPr>
            <w:tcW w:w="240" w:type="dxa"/>
            <w:vAlign w:val="bottom"/>
          </w:tcPr>
          <w:p>
            <w:pPr>
              <w:spacing w:after="0"/>
              <w:rPr>
                <w:sz w:val="15"/>
                <w:szCs w:val="15"/>
                <w:color w:val="auto"/>
              </w:rPr>
            </w:pP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8"/>
              </w:rPr>
              <w:t>834,226</w:t>
            </w:r>
          </w:p>
        </w:tc>
        <w:tc>
          <w:tcPr>
            <w:tcW w:w="1480" w:type="dxa"/>
            <w:vAlign w:val="bottom"/>
          </w:tcPr>
          <w:p>
            <w:pPr>
              <w:spacing w:after="0"/>
              <w:rPr>
                <w:sz w:val="15"/>
                <w:szCs w:val="15"/>
                <w:color w:val="auto"/>
              </w:rPr>
            </w:pPr>
          </w:p>
        </w:tc>
      </w:tr>
      <w:tr>
        <w:trPr>
          <w:trHeight w:val="177"/>
        </w:trPr>
        <w:tc>
          <w:tcPr>
            <w:tcW w:w="2160" w:type="dxa"/>
            <w:vAlign w:val="bottom"/>
          </w:tcPr>
          <w:p>
            <w:pPr>
              <w:ind w:left="1100"/>
              <w:spacing w:after="0"/>
              <w:rPr>
                <w:sz w:val="20"/>
                <w:szCs w:val="20"/>
                <w:color w:val="auto"/>
              </w:rPr>
            </w:pPr>
            <w:r>
              <w:rPr>
                <w:rFonts w:ascii="Courier New" w:cs="Courier New" w:eastAsia="Courier New" w:hAnsi="Courier New"/>
                <w:sz w:val="15"/>
                <w:szCs w:val="15"/>
                <w:color w:val="auto"/>
              </w:rPr>
              <w:t>40,000</w:t>
            </w:r>
          </w:p>
        </w:tc>
        <w:tc>
          <w:tcPr>
            <w:tcW w:w="240" w:type="dxa"/>
            <w:vAlign w:val="bottom"/>
          </w:tcPr>
          <w:p>
            <w:pPr>
              <w:spacing w:after="0"/>
              <w:rPr>
                <w:sz w:val="15"/>
                <w:szCs w:val="15"/>
                <w:color w:val="auto"/>
              </w:rPr>
            </w:pPr>
          </w:p>
        </w:tc>
        <w:tc>
          <w:tcPr>
            <w:tcW w:w="268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69,704</w:t>
            </w:r>
          </w:p>
        </w:tc>
      </w:tr>
      <w:tr>
        <w:trPr>
          <w:trHeight w:val="177"/>
        </w:trPr>
        <w:tc>
          <w:tcPr>
            <w:tcW w:w="2160" w:type="dxa"/>
            <w:vAlign w:val="bottom"/>
          </w:tcPr>
          <w:p>
            <w:pPr>
              <w:ind w:left="1100"/>
              <w:spacing w:after="0"/>
              <w:rPr>
                <w:sz w:val="20"/>
                <w:szCs w:val="20"/>
                <w:color w:val="auto"/>
              </w:rPr>
            </w:pPr>
            <w:r>
              <w:rPr>
                <w:rFonts w:ascii="Courier New" w:cs="Courier New" w:eastAsia="Courier New" w:hAnsi="Courier New"/>
                <w:sz w:val="15"/>
                <w:szCs w:val="15"/>
                <w:color w:val="auto"/>
              </w:rPr>
              <w:t>883,656</w:t>
            </w:r>
          </w:p>
        </w:tc>
        <w:tc>
          <w:tcPr>
            <w:tcW w:w="240" w:type="dxa"/>
            <w:vAlign w:val="bottom"/>
          </w:tcPr>
          <w:p>
            <w:pPr>
              <w:spacing w:after="0"/>
              <w:rPr>
                <w:sz w:val="15"/>
                <w:szCs w:val="15"/>
                <w:color w:val="auto"/>
              </w:rPr>
            </w:pPr>
          </w:p>
        </w:tc>
        <w:tc>
          <w:tcPr>
            <w:tcW w:w="268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796,602</w:t>
            </w:r>
          </w:p>
        </w:tc>
      </w:tr>
      <w:tr>
        <w:trPr>
          <w:trHeight w:val="177"/>
        </w:trPr>
        <w:tc>
          <w:tcPr>
            <w:tcW w:w="2160" w:type="dxa"/>
            <w:vAlign w:val="bottom"/>
          </w:tcPr>
          <w:p>
            <w:pPr>
              <w:jc w:val="center"/>
              <w:ind w:left="1543"/>
              <w:spacing w:after="0"/>
              <w:rPr>
                <w:sz w:val="20"/>
                <w:szCs w:val="20"/>
                <w:color w:val="auto"/>
              </w:rPr>
            </w:pPr>
            <w:r>
              <w:rPr>
                <w:rFonts w:ascii="Courier New" w:cs="Courier New" w:eastAsia="Courier New" w:hAnsi="Courier New"/>
                <w:sz w:val="15"/>
                <w:szCs w:val="15"/>
                <w:color w:val="auto"/>
              </w:rPr>
              <w:t>0</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16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0</w:t>
            </w:r>
          </w:p>
        </w:tc>
        <w:tc>
          <w:tcPr>
            <w:tcW w:w="24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1263"/>
              <w:spacing w:after="0"/>
              <w:rPr>
                <w:sz w:val="20"/>
                <w:szCs w:val="20"/>
                <w:color w:val="auto"/>
              </w:rPr>
            </w:pPr>
            <w:r>
              <w:rPr>
                <w:rFonts w:ascii="Courier New" w:cs="Courier New" w:eastAsia="Courier New" w:hAnsi="Courier New"/>
                <w:sz w:val="15"/>
                <w:szCs w:val="15"/>
                <w:color w:val="auto"/>
              </w:rPr>
              <w:t>170,248</w:t>
            </w:r>
          </w:p>
        </w:tc>
        <w:tc>
          <w:tcPr>
            <w:tcW w:w="240" w:type="dxa"/>
            <w:vAlign w:val="bottom"/>
          </w:tcPr>
          <w:p>
            <w:pPr>
              <w:spacing w:after="0"/>
              <w:rPr>
                <w:sz w:val="15"/>
                <w:szCs w:val="15"/>
                <w:color w:val="auto"/>
              </w:rPr>
            </w:pP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8"/>
              </w:rPr>
              <w:t>148,598</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62,661</w:t>
            </w:r>
          </w:p>
        </w:tc>
        <w:tc>
          <w:tcPr>
            <w:tcW w:w="24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69,195</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10,000</w:t>
            </w:r>
          </w:p>
        </w:tc>
        <w:tc>
          <w:tcPr>
            <w:tcW w:w="24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10,000</w:t>
            </w:r>
          </w:p>
        </w:tc>
        <w:tc>
          <w:tcPr>
            <w:tcW w:w="1480" w:type="dxa"/>
            <w:vAlign w:val="bottom"/>
          </w:tcPr>
          <w:p>
            <w:pPr>
              <w:spacing w:after="0"/>
              <w:rPr>
                <w:sz w:val="15"/>
                <w:szCs w:val="15"/>
                <w:color w:val="auto"/>
              </w:rPr>
            </w:pPr>
          </w:p>
        </w:tc>
      </w:tr>
      <w:tr>
        <w:trPr>
          <w:trHeight w:val="177"/>
        </w:trPr>
        <w:tc>
          <w:tcPr>
            <w:tcW w:w="216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6,900</w:t>
            </w:r>
          </w:p>
        </w:tc>
        <w:tc>
          <w:tcPr>
            <w:tcW w:w="24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9,212</w:t>
            </w:r>
          </w:p>
        </w:tc>
        <w:tc>
          <w:tcPr>
            <w:tcW w:w="1480" w:type="dxa"/>
            <w:vAlign w:val="bottom"/>
          </w:tcPr>
          <w:p>
            <w:pPr>
              <w:spacing w:after="0"/>
              <w:rPr>
                <w:sz w:val="15"/>
                <w:szCs w:val="15"/>
                <w:color w:val="auto"/>
              </w:rPr>
            </w:pPr>
          </w:p>
        </w:tc>
      </w:tr>
      <w:tr>
        <w:trPr>
          <w:trHeight w:val="177"/>
        </w:trPr>
        <w:tc>
          <w:tcPr>
            <w:tcW w:w="2160" w:type="dxa"/>
            <w:vAlign w:val="bottom"/>
          </w:tcPr>
          <w:p>
            <w:pPr>
              <w:jc w:val="center"/>
              <w:ind w:left="1543"/>
              <w:spacing w:after="0"/>
              <w:rPr>
                <w:sz w:val="20"/>
                <w:szCs w:val="20"/>
                <w:color w:val="auto"/>
              </w:rPr>
            </w:pPr>
            <w:r>
              <w:rPr>
                <w:rFonts w:ascii="Courier New" w:cs="Courier New" w:eastAsia="Courier New" w:hAnsi="Courier New"/>
                <w:sz w:val="15"/>
                <w:szCs w:val="15"/>
                <w:color w:val="auto"/>
              </w:rPr>
              <w:t>2,453</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2,311</w:t>
            </w:r>
          </w:p>
        </w:tc>
      </w:tr>
      <w:tr>
        <w:trPr>
          <w:trHeight w:val="177"/>
        </w:trPr>
        <w:tc>
          <w:tcPr>
            <w:tcW w:w="2160" w:type="dxa"/>
            <w:vAlign w:val="bottom"/>
          </w:tcPr>
          <w:p>
            <w:pPr>
              <w:jc w:val="right"/>
              <w:ind w:right="1263"/>
              <w:spacing w:after="0"/>
              <w:rPr>
                <w:sz w:val="20"/>
                <w:szCs w:val="20"/>
                <w:color w:val="auto"/>
              </w:rPr>
            </w:pPr>
            <w:r>
              <w:rPr>
                <w:rFonts w:ascii="Courier New" w:cs="Courier New" w:eastAsia="Courier New" w:hAnsi="Courier New"/>
                <w:sz w:val="15"/>
                <w:szCs w:val="15"/>
                <w:color w:val="auto"/>
                <w:w w:val="98"/>
              </w:rPr>
              <w:t>1,189,612</w:t>
            </w:r>
          </w:p>
        </w:tc>
        <w:tc>
          <w:tcPr>
            <w:tcW w:w="14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1,364,303</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3,245,597</w:t>
            </w:r>
          </w:p>
        </w:tc>
        <w:tc>
          <w:tcPr>
            <w:tcW w:w="144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3,354,151</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981,628</w:t>
            </w:r>
          </w:p>
        </w:tc>
        <w:tc>
          <w:tcPr>
            <w:tcW w:w="24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958,955</w:t>
            </w:r>
          </w:p>
        </w:tc>
        <w:tc>
          <w:tcPr>
            <w:tcW w:w="1480" w:type="dxa"/>
            <w:vAlign w:val="bottom"/>
          </w:tcPr>
          <w:p>
            <w:pPr>
              <w:spacing w:after="0"/>
              <w:rPr>
                <w:sz w:val="15"/>
                <w:szCs w:val="15"/>
                <w:color w:val="auto"/>
              </w:rPr>
            </w:pPr>
          </w:p>
        </w:tc>
      </w:tr>
      <w:tr>
        <w:trPr>
          <w:trHeight w:val="177"/>
        </w:trPr>
        <w:tc>
          <w:tcPr>
            <w:tcW w:w="2160" w:type="dxa"/>
            <w:vAlign w:val="bottom"/>
          </w:tcPr>
          <w:p>
            <w:pPr>
              <w:ind w:left="1200"/>
              <w:spacing w:after="0"/>
              <w:rPr>
                <w:sz w:val="20"/>
                <w:szCs w:val="20"/>
                <w:color w:val="auto"/>
              </w:rPr>
            </w:pPr>
            <w:r>
              <w:rPr>
                <w:rFonts w:ascii="Courier New" w:cs="Courier New" w:eastAsia="Courier New" w:hAnsi="Courier New"/>
                <w:sz w:val="15"/>
                <w:szCs w:val="15"/>
                <w:color w:val="auto"/>
              </w:rPr>
              <w:t>89,523</w:t>
            </w:r>
          </w:p>
        </w:tc>
        <w:tc>
          <w:tcPr>
            <w:tcW w:w="240" w:type="dxa"/>
            <w:vAlign w:val="bottom"/>
          </w:tcPr>
          <w:p>
            <w:pPr>
              <w:spacing w:after="0"/>
              <w:rPr>
                <w:sz w:val="15"/>
                <w:szCs w:val="15"/>
                <w:color w:val="auto"/>
              </w:rPr>
            </w:pPr>
          </w:p>
        </w:tc>
        <w:tc>
          <w:tcPr>
            <w:tcW w:w="26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75,314</w:t>
            </w:r>
          </w:p>
        </w:tc>
      </w:tr>
      <w:tr>
        <w:trPr>
          <w:trHeight w:val="177"/>
        </w:trPr>
        <w:tc>
          <w:tcPr>
            <w:tcW w:w="2160" w:type="dxa"/>
            <w:vAlign w:val="bottom"/>
          </w:tcPr>
          <w:p>
            <w:pPr>
              <w:jc w:val="center"/>
              <w:ind w:right="323"/>
              <w:spacing w:after="0"/>
              <w:rPr>
                <w:sz w:val="20"/>
                <w:szCs w:val="20"/>
                <w:color w:val="auto"/>
              </w:rPr>
            </w:pPr>
            <w:r>
              <w:rPr>
                <w:rFonts w:ascii="Courier New" w:cs="Courier New" w:eastAsia="Courier New" w:hAnsi="Courier New"/>
                <w:sz w:val="15"/>
                <w:szCs w:val="15"/>
                <w:color w:val="auto"/>
              </w:rPr>
              <w:t>696,919</w:t>
            </w:r>
          </w:p>
        </w:tc>
        <w:tc>
          <w:tcPr>
            <w:tcW w:w="24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730,433</w:t>
            </w:r>
          </w:p>
        </w:tc>
        <w:tc>
          <w:tcPr>
            <w:tcW w:w="1480" w:type="dxa"/>
            <w:vAlign w:val="bottom"/>
          </w:tcPr>
          <w:p>
            <w:pPr>
              <w:spacing w:after="0"/>
              <w:rPr>
                <w:sz w:val="15"/>
                <w:szCs w:val="15"/>
                <w:color w:val="auto"/>
              </w:rPr>
            </w:pPr>
          </w:p>
        </w:tc>
      </w:tr>
      <w:tr>
        <w:trPr>
          <w:trHeight w:val="177"/>
        </w:trPr>
        <w:tc>
          <w:tcPr>
            <w:tcW w:w="2160" w:type="dxa"/>
            <w:vAlign w:val="bottom"/>
          </w:tcPr>
          <w:p>
            <w:pPr>
              <w:jc w:val="center"/>
              <w:ind w:right="323"/>
              <w:spacing w:after="0"/>
              <w:rPr>
                <w:sz w:val="20"/>
                <w:szCs w:val="20"/>
                <w:color w:val="auto"/>
              </w:rPr>
            </w:pPr>
            <w:r>
              <w:rPr>
                <w:rFonts w:ascii="Courier New" w:cs="Courier New" w:eastAsia="Courier New" w:hAnsi="Courier New"/>
                <w:sz w:val="15"/>
                <w:szCs w:val="15"/>
                <w:color w:val="auto"/>
              </w:rPr>
              <w:t>786,442</w:t>
            </w:r>
          </w:p>
        </w:tc>
        <w:tc>
          <w:tcPr>
            <w:tcW w:w="24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805,747</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195,186</w:t>
            </w:r>
          </w:p>
        </w:tc>
        <w:tc>
          <w:tcPr>
            <w:tcW w:w="240" w:type="dxa"/>
            <w:vAlign w:val="bottom"/>
          </w:tcPr>
          <w:p>
            <w:pPr>
              <w:spacing w:after="0"/>
              <w:rPr>
                <w:sz w:val="15"/>
                <w:szCs w:val="15"/>
                <w:color w:val="auto"/>
              </w:rPr>
            </w:pPr>
          </w:p>
        </w:tc>
        <w:tc>
          <w:tcPr>
            <w:tcW w:w="26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153,208</w:t>
            </w:r>
          </w:p>
        </w:tc>
      </w:tr>
      <w:tr>
        <w:trPr>
          <w:trHeight w:val="177"/>
        </w:trPr>
        <w:tc>
          <w:tcPr>
            <w:tcW w:w="2160" w:type="dxa"/>
            <w:vAlign w:val="bottom"/>
          </w:tcPr>
          <w:p>
            <w:pPr>
              <w:ind w:left="1200"/>
              <w:spacing w:after="0"/>
              <w:rPr>
                <w:sz w:val="20"/>
                <w:szCs w:val="20"/>
                <w:color w:val="auto"/>
              </w:rPr>
            </w:pPr>
            <w:r>
              <w:rPr>
                <w:rFonts w:ascii="Courier New" w:cs="Courier New" w:eastAsia="Courier New" w:hAnsi="Courier New"/>
                <w:sz w:val="15"/>
                <w:szCs w:val="15"/>
                <w:color w:val="auto"/>
              </w:rPr>
              <w:t>(33,623)</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jc w:val="right"/>
              <w:ind w:right="843"/>
              <w:spacing w:after="0"/>
              <w:rPr>
                <w:sz w:val="20"/>
                <w:szCs w:val="20"/>
                <w:color w:val="auto"/>
              </w:rPr>
            </w:pPr>
            <w:r>
              <w:rPr>
                <w:rFonts w:ascii="Courier New" w:cs="Courier New" w:eastAsia="Courier New" w:hAnsi="Courier New"/>
                <w:sz w:val="15"/>
                <w:szCs w:val="15"/>
                <w:color w:val="auto"/>
                <w:w w:val="99"/>
              </w:rPr>
              <w:t>16,148</w:t>
            </w:r>
          </w:p>
        </w:tc>
      </w:tr>
      <w:tr>
        <w:trPr>
          <w:trHeight w:val="177"/>
        </w:trPr>
        <w:tc>
          <w:tcPr>
            <w:tcW w:w="2160" w:type="dxa"/>
            <w:vAlign w:val="bottom"/>
          </w:tcPr>
          <w:p>
            <w:pPr>
              <w:jc w:val="right"/>
              <w:ind w:right="1263"/>
              <w:spacing w:after="0"/>
              <w:rPr>
                <w:sz w:val="20"/>
                <w:szCs w:val="20"/>
                <w:color w:val="auto"/>
              </w:rPr>
            </w:pPr>
            <w:r>
              <w:rPr>
                <w:rFonts w:ascii="Courier New" w:cs="Courier New" w:eastAsia="Courier New" w:hAnsi="Courier New"/>
                <w:sz w:val="15"/>
                <w:szCs w:val="15"/>
                <w:color w:val="auto"/>
              </w:rPr>
              <w:t>161,563</w:t>
            </w:r>
          </w:p>
        </w:tc>
        <w:tc>
          <w:tcPr>
            <w:tcW w:w="240" w:type="dxa"/>
            <w:vAlign w:val="bottom"/>
          </w:tcPr>
          <w:p>
            <w:pPr>
              <w:spacing w:after="0"/>
              <w:rPr>
                <w:sz w:val="15"/>
                <w:szCs w:val="15"/>
                <w:color w:val="auto"/>
              </w:rPr>
            </w:pP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8"/>
              </w:rPr>
              <w:t>169,356</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68,776</w:t>
            </w:r>
          </w:p>
        </w:tc>
        <w:tc>
          <w:tcPr>
            <w:tcW w:w="240" w:type="dxa"/>
            <w:vAlign w:val="bottom"/>
          </w:tcPr>
          <w:p>
            <w:pPr>
              <w:spacing w:after="0"/>
              <w:rPr>
                <w:sz w:val="15"/>
                <w:szCs w:val="15"/>
                <w:color w:val="auto"/>
              </w:rPr>
            </w:pPr>
          </w:p>
        </w:tc>
        <w:tc>
          <w:tcPr>
            <w:tcW w:w="1200" w:type="dxa"/>
            <w:vAlign w:val="bottom"/>
          </w:tcPr>
          <w:p>
            <w:pPr>
              <w:ind w:left="640"/>
              <w:spacing w:after="0"/>
              <w:rPr>
                <w:sz w:val="20"/>
                <w:szCs w:val="20"/>
                <w:color w:val="auto"/>
              </w:rPr>
            </w:pPr>
            <w:r>
              <w:rPr>
                <w:rFonts w:ascii="Courier New" w:cs="Courier New" w:eastAsia="Courier New" w:hAnsi="Courier New"/>
                <w:sz w:val="15"/>
                <w:szCs w:val="15"/>
                <w:color w:val="auto"/>
                <w:w w:val="99"/>
              </w:rPr>
              <w:t>63,238</w:t>
            </w:r>
          </w:p>
        </w:tc>
        <w:tc>
          <w:tcPr>
            <w:tcW w:w="1480" w:type="dxa"/>
            <w:vAlign w:val="bottom"/>
          </w:tcPr>
          <w:p>
            <w:pPr>
              <w:spacing w:after="0"/>
              <w:rPr>
                <w:sz w:val="15"/>
                <w:szCs w:val="15"/>
                <w:color w:val="auto"/>
              </w:rPr>
            </w:pPr>
          </w:p>
        </w:tc>
      </w:tr>
      <w:tr>
        <w:trPr>
          <w:trHeight w:val="177"/>
        </w:trPr>
        <w:tc>
          <w:tcPr>
            <w:tcW w:w="3600" w:type="dxa"/>
            <w:vAlign w:val="bottom"/>
            <w:gridSpan w:val="3"/>
          </w:tcPr>
          <w:p>
            <w:pPr>
              <w:jc w:val="right"/>
              <w:ind w:right="1043"/>
              <w:spacing w:after="0"/>
              <w:rPr>
                <w:sz w:val="20"/>
                <w:szCs w:val="20"/>
                <w:color w:val="auto"/>
              </w:rPr>
            </w:pPr>
            <w:r>
              <w:rPr>
                <w:rFonts w:ascii="Courier New" w:cs="Courier New" w:eastAsia="Courier New" w:hAnsi="Courier New"/>
                <w:sz w:val="15"/>
                <w:szCs w:val="15"/>
                <w:color w:val="auto"/>
              </w:rPr>
              <w:t>92,787</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106,118</w:t>
            </w:r>
          </w:p>
        </w:tc>
      </w:tr>
      <w:tr>
        <w:trPr>
          <w:trHeight w:val="177"/>
        </w:trPr>
        <w:tc>
          <w:tcPr>
            <w:tcW w:w="216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9,644</w:t>
            </w:r>
          </w:p>
        </w:tc>
        <w:tc>
          <w:tcPr>
            <w:tcW w:w="24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10,800</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83,143</w:t>
            </w:r>
          </w:p>
        </w:tc>
        <w:tc>
          <w:tcPr>
            <w:tcW w:w="24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95,318</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50,456</w:t>
            </w:r>
          </w:p>
        </w:tc>
        <w:tc>
          <w:tcPr>
            <w:tcW w:w="240" w:type="dxa"/>
            <w:vAlign w:val="bottom"/>
          </w:tcPr>
          <w:p>
            <w:pPr>
              <w:spacing w:after="0"/>
              <w:rPr>
                <w:sz w:val="15"/>
                <w:szCs w:val="15"/>
                <w:color w:val="auto"/>
              </w:rPr>
            </w:pPr>
          </w:p>
        </w:tc>
        <w:tc>
          <w:tcPr>
            <w:tcW w:w="1200" w:type="dxa"/>
            <w:vAlign w:val="bottom"/>
          </w:tcPr>
          <w:p>
            <w:pPr>
              <w:ind w:left="640"/>
              <w:spacing w:after="0"/>
              <w:rPr>
                <w:sz w:val="20"/>
                <w:szCs w:val="20"/>
                <w:color w:val="auto"/>
              </w:rPr>
            </w:pPr>
            <w:r>
              <w:rPr>
                <w:rFonts w:ascii="Courier New" w:cs="Courier New" w:eastAsia="Courier New" w:hAnsi="Courier New"/>
                <w:sz w:val="15"/>
                <w:szCs w:val="15"/>
                <w:color w:val="auto"/>
                <w:w w:val="99"/>
              </w:rPr>
              <w:t>56,442</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62,570</w:t>
            </w:r>
          </w:p>
        </w:tc>
        <w:tc>
          <w:tcPr>
            <w:tcW w:w="24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54,732</w:t>
            </w:r>
          </w:p>
        </w:tc>
        <w:tc>
          <w:tcPr>
            <w:tcW w:w="1480" w:type="dxa"/>
            <w:vAlign w:val="bottom"/>
          </w:tcPr>
          <w:p>
            <w:pPr>
              <w:spacing w:after="0"/>
              <w:rPr>
                <w:sz w:val="15"/>
                <w:szCs w:val="15"/>
                <w:color w:val="auto"/>
              </w:rPr>
            </w:pPr>
          </w:p>
        </w:tc>
      </w:tr>
      <w:tr>
        <w:trPr>
          <w:trHeight w:val="177"/>
        </w:trPr>
        <w:tc>
          <w:tcPr>
            <w:tcW w:w="2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272,490</w:t>
            </w:r>
          </w:p>
        </w:tc>
        <w:tc>
          <w:tcPr>
            <w:tcW w:w="240" w:type="dxa"/>
            <w:vAlign w:val="bottom"/>
          </w:tcPr>
          <w:p>
            <w:pPr>
              <w:spacing w:after="0"/>
              <w:rPr>
                <w:sz w:val="15"/>
                <w:szCs w:val="15"/>
                <w:color w:val="auto"/>
              </w:rPr>
            </w:pPr>
          </w:p>
        </w:tc>
        <w:tc>
          <w:tcPr>
            <w:tcW w:w="268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238,435</w:t>
            </w:r>
          </w:p>
        </w:tc>
      </w:tr>
      <w:tr>
        <w:trPr>
          <w:trHeight w:val="177"/>
        </w:trPr>
        <w:tc>
          <w:tcPr>
            <w:tcW w:w="2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spacing w:after="0"/>
              <w:rPr>
                <w:sz w:val="15"/>
                <w:szCs w:val="15"/>
                <w:color w:val="auto"/>
              </w:rPr>
            </w:pP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GENERAL ELECTRIC COMPANY IS A WHOLLY OWNED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PORTLAND GENERAL CORPORATION AND DOES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REPORT EARNINGS PER SHARE INFORMATION.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A"/>
      <w:numFmt w:val="bullet"/>
      <w:start w:val="1"/>
    </w:lvl>
  </w:abstractNum>
  <w:abstractNum w:abstractNumId="3">
    <w:nsid w:val="2443A858"/>
    <w:multiLevelType w:val="hybridMultilevel"/>
    <w:lvl w:ilvl="0">
      <w:lvlJc w:val="left"/>
      <w:lvlText w:val="a"/>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a"/>
      <w:numFmt w:val="bullet"/>
      <w:start w:val="1"/>
    </w:lvl>
  </w:abstractNum>
  <w:abstractNum w:abstractNumId="6">
    <w:nsid w:val="75A2A8D4"/>
    <w:multiLevelType w:val="hybridMultilevel"/>
    <w:lvl w:ilvl="0">
      <w:lvlJc w:val="left"/>
      <w:lvlText w:val="(%1)"/>
      <w:numFmt w:val="decimal"/>
      <w:start w:val="3"/>
    </w:lvl>
    <w:lvl w:ilvl="1">
      <w:lvlJc w:val="left"/>
      <w:lvlText w:val="*"/>
      <w:numFmt w:val="bullet"/>
      <w:start w:val="1"/>
    </w:lvl>
  </w:abstractNum>
  <w:abstractNum w:abstractNumId="7">
    <w:nsid w:val="8EDBDAB"/>
    <w:multiLevelType w:val="hybridMultilevel"/>
    <w:lvl w:ilvl="0">
      <w:lvlJc w:val="left"/>
      <w:lvlText w:val="(%1)"/>
      <w:numFmt w:val="decimal"/>
      <w:start w:val="3"/>
    </w:lvl>
    <w:lvl w:ilvl="1">
      <w:lvlJc w:val="left"/>
      <w:lvlText w:val="*"/>
      <w:numFmt w:val="bullet"/>
      <w:start w:val="1"/>
    </w:lvl>
  </w:abstractNum>
  <w:abstractNum w:abstractNumId="8">
    <w:nsid w:val="79838CB2"/>
    <w:multiLevelType w:val="hybridMultilevel"/>
    <w:lvl w:ilvl="0">
      <w:lvlJc w:val="left"/>
      <w:lvlText w:val="(%1)"/>
      <w:numFmt w:val="decimal"/>
      <w:start w:val="4"/>
    </w:lvl>
  </w:abstractNum>
  <w:abstractNum w:abstractNumId="9">
    <w:nsid w:val="4353D0CD"/>
    <w:multiLevelType w:val="hybridMultilevel"/>
    <w:lvl w:ilvl="0">
      <w:lvlJc w:val="left"/>
      <w:lvlText w:val="(%1)"/>
      <w:numFmt w:val="decimal"/>
      <w:start w:val="9"/>
    </w:lvl>
    <w:lvl w:ilvl="1">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0"/>
    </w:lvl>
    <w:lvl w:ilvl="1">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0"/>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23"/>
    </w:lvl>
  </w:abstractNum>
  <w:abstractNum w:abstractNumId="18">
    <w:nsid w:val="8138641"/>
    <w:multiLevelType w:val="hybridMultilevel"/>
    <w:lvl w:ilvl="0">
      <w:lvlJc w:val="left"/>
      <w:lvlText w:val="(%1)"/>
      <w:numFmt w:val="decimal"/>
      <w:start w:val="24"/>
    </w:lvl>
  </w:abstractNum>
  <w:abstractNum w:abstractNumId="19">
    <w:nsid w:val="1E7FF521"/>
    <w:multiLevelType w:val="hybridMultilevel"/>
    <w:lvl w:ilvl="0">
      <w:lvlJc w:val="left"/>
      <w:lvlText w:val="[%1]"/>
      <w:numFmt w:val="upperLetter"/>
      <w:start w:val="24"/>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2"/>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4"/>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4"/>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lvl w:ilvl="1">
      <w:lvlJc w:val="left"/>
      <w:lvlText w:val="(%2)"/>
      <w:numFmt w:val="lowerRoman"/>
      <w:start w:val="1"/>
    </w:lvl>
  </w:abstractNum>
  <w:abstractNum w:abstractNumId="33">
    <w:nsid w:val="7724C67E"/>
    <w:multiLevelType w:val="hybridMultilevel"/>
    <w:lvl w:ilvl="0">
      <w:lvlJc w:val="left"/>
      <w:lvlText w:val="(%1)"/>
      <w:numFmt w:val="lowerLetter"/>
      <w:start w:val="1"/>
    </w:lvl>
    <w:lvl w:ilvl="1">
      <w:lvlJc w:val="left"/>
      <w:lvlText w:val="(%2)"/>
      <w:numFmt w:val="lowerRoman"/>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84"/>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2"/>
    </w:lvl>
  </w:abstractNum>
  <w:abstractNum w:abstractNumId="40">
    <w:nsid w:val="153EA43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2019-12-12T06:57:13Z</dcterms:created>
  <dcterms:modified xsi:type="dcterms:W3CDTF">2019-12-12T06:57:13Z</dcterms:modified>
</cp:coreProperties>
</file>