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PORTLAND GENERAL ELECTRIC CO /OR/</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Clearbridge Investments,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196,691.00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196,902.00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196,902.00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ClearBridge Investments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5,440,815.00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5,512,975.00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5,512,975.00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ClearBridge Investments (North America) Pty Ltd</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653,269.00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653,269.00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653,269.00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PORTLAND GENERAL ELECTRIC CO /OR/</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 SW Salmon Street, Portland, OR 97204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ClearBridge Investments, LLC (ii): ClearBridge Investments Limited (iii): ClearBridge Investments (North America) Pty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(i):One Madison Ave. New York, NY 10010 (ii) and (iii): Level 13, 35 Clarence Street Sydney, Australia 2000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(i):Delaware (ii) and (iii): Australian Corporation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6,363,146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ClearBridge Investments, LLC: 196,691 ClearBridge Investments Limited: 5,440,815 ClearBridge Investments (North America) Pty Ltd: 653,269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ClearBridge Investments, LLC: 196,902 ClearBridge Investments Limited: 5,512,975 ClearBridge Investments (North America) Pty Ltd: 653,269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Clearbridge Investments, LLC</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/s/BRIAN R. MURPHY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Brian R. Murphy, Chief Compliance Officer of ClearBridge Investments, LLC</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ClearBridge Investments Ltd</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/s/ANNETTE GOLDEN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Annette Golden, Head of Legal, Risk and Compliance &amp; Company Secretary of ClearBridge Investments Limited</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10118" w:type="dxa"/>
        <w:jc w:val="left"/>
        <w:tblInd w:w="0" w:type="dxa"/>
        <w:tblLayout w:type="fixed"/>
        <w:tblCellMar>
          <w:top w:w="28" w:type="dxa"/>
          <w:left w:w="28" w:type="dxa"/>
          <w:bottom w:w="28" w:type="dxa"/>
          <w:right w:w="28" w:type="dxa"/>
        </w:tblCellMar>
      </w:tblPr>
      <w:tblGrid>
        <w:gridCol w:w="5059"/>
        <w:gridCol w:w="5059"/>
      </w:tblGrid>
      <w:tr>
        <w:trPr/>
        <w:tc>
          <w:tcPr>
            <w:tcW w:w="5059" w:type="dxa"/>
            <w:tcBorders/>
            <w:vAlign w:val="center"/>
          </w:tcPr>
          <w:p>
            <w:pPr>
              <w:pStyle w:val="TableContents"/>
              <w:bidi w:val="0"/>
              <w:spacing w:before="0" w:after="0"/>
              <w:jc w:val="left"/>
              <w:rPr/>
            </w:pPr>
            <w:r>
              <w:rPr/>
              <w:t> </w:t>
            </w:r>
          </w:p>
          <w:tbl>
            <w:tblPr>
              <w:tblW w:w="4906" w:type="dxa"/>
              <w:jc w:val="left"/>
              <w:tblInd w:w="0" w:type="dxa"/>
              <w:tblLayout w:type="fixed"/>
              <w:tblCellMar>
                <w:top w:w="28" w:type="dxa"/>
                <w:left w:w="28" w:type="dxa"/>
                <w:bottom w:w="28" w:type="dxa"/>
                <w:right w:w="28" w:type="dxa"/>
              </w:tblCellMar>
            </w:tblPr>
            <w:tblGrid>
              <w:gridCol w:w="4906"/>
            </w:tblGrid>
            <w:tr>
              <w:trPr/>
              <w:tc>
                <w:tcPr>
                  <w:tcW w:w="4906" w:type="dxa"/>
                  <w:tcBorders/>
                  <w:vAlign w:val="center"/>
                </w:tcPr>
                <w:p>
                  <w:pPr>
                    <w:pStyle w:val="TableContents"/>
                    <w:bidi w:val="0"/>
                    <w:spacing w:before="0" w:after="0"/>
                    <w:jc w:val="left"/>
                    <w:rPr/>
                  </w:pPr>
                  <w:r>
                    <w:rPr/>
                    <w:t>ClearBridge Investments (North America) Pty Ltd</w:t>
                  </w:r>
                </w:p>
              </w:tc>
            </w:tr>
          </w:tbl>
          <w:p>
            <w:pPr>
              <w:pStyle w:val="TableContents"/>
              <w:bidi w:val="0"/>
              <w:spacing w:before="0" w:after="283"/>
              <w:jc w:val="left"/>
              <w:rPr/>
            </w:pPr>
            <w:r>
              <w:rPr/>
            </w:r>
          </w:p>
        </w:tc>
        <w:tc>
          <w:tcPr>
            <w:tcW w:w="5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9"/>
        <w:gridCol w:w="4256"/>
      </w:tblGrid>
      <w:tr>
        <w:trPr/>
        <w:tc>
          <w:tcPr>
            <w:tcW w:w="59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/s/ANNETTE GOLDEN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Annette Golden, Head of Legal, Risk and Compliance &amp; Company Secretary of ClearBridge Investments (North America) Pty Ltd</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2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Joint Filing Agreement Exhibit B: Item 4 Ownership Exhibit C: Item 8 Identification and Classification of Members of the Group Exhibit A: JOINT FILING AGREEMENT 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 IN WITNESS WHEREOF, the undersigned have executed this agreement on the date of the signing of this filing. ClearBridge Investments, LLC By: /s/BRIAN R. MURPHY Brian R. Murphy Chief Compliance Officer of ClearBridge Investments, LLC ClearBridge Investments Limited By: /s/ANNETTE GOLDEN Annette Golden Head of Legal, Risk and Compliance &amp; Company Secretary of ClearBridge Investments Limited ClearBridge Investments (North America) Pty Ltd By: /s/ANNETTE GOLDEN Annette Golden Head of Legal, Risk and Compliance &amp; Company Secretary of ClearBridge Investments (North America) Pty Ltd Exhibit B: Item 4 Ownership The securities reported herein are beneficially owned by one or more open end investment companies or other managed accounts that are investment management clients of ClearBridge Investments, LLC, ClearBridge Investments Limited, and ClearBridge Investments (North America) Pty Ltd. (collectively,"CIL"), indirect wholly owned subsidiaries of Franklin Resources, Inc. ("FRI"). When an investment management contract (including a sub advisory agreement) delegates to CIL investment discretion or voting power over the securities held in the investment advisory accounts that are subject to that agreement, FRI treats CIL as having sole investment discretion or voting authority, as the case may be, unless the agreement specifies otherwise. Accordingly, CIL reports on Schedule 13G that it has sole investment discretion and voting authority over the securities covered by any such investment management agreement, unless otherwise noted in this Item 4. As a result, for purposes of Rule 13d-3 under the Act, CIL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CIL are exercised independently from FRI (CIL's parent holding company) and from all other investment management subsidiaries of FRI (FRI, its affiliates and investment management subsidiaries other than CIL are, collectively, "FRI affiliates"). Furthermore, internal policies and procedures of CIL and FRI affiliates establish informational barriers that prevent the flow between CIL and the FRI affiliates of information that relates to the voting and investment powers over the securities owned by their respective investment management clients. Consequently, CIL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CIL exercises voting and investment powers on behalf of its investment management clients independently of FRI affiliates, beneficial ownership of the securities reported by CIL is not attributed to the Principal Shareholders. CIL disclaims any pecuniary interest in any of the securities reported in this Schedule 13G. In addition, the filing of this Schedule 13G on behalf of CIL should not be construed as an admission that it is, and it disclaims that it is, the beneficial owner, as defined in Rule 13d-3, of any of such securities. Furthermore, CIL believes that it is not a "group" with FRI affiliates, the Principal Shareholders, or their respective affiliates within the meaning of Rule 13d-5 under the Act and that none of them is otherwise required to attribute to any other the beneficial ownership of the securities held by such person or by any persons or entities for whom or for which CIL or the FRI affiliates provide investment management services. EXHIBIT C ClearBridge Investments, LLC Item 3 Classification: 3(e) ClearBridge Investments Limited Item 3 Classification: 3(j) ClearBridge Investments (North America) Pty Ltd Item 3 Classification: 3(j)</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1803</Words>
  <Characters>9845</Characters>
  <CharactersWithSpaces>11598</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