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885190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902335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39"/>
        <w:spacing w:after="0"/>
        <w:rPr>
          <w:sz w:val="20"/>
          <w:szCs w:val="20"/>
          <w:color w:val="auto"/>
        </w:rPr>
      </w:pPr>
      <w:r>
        <w:rPr>
          <w:rFonts w:ascii="Arial" w:cs="Arial" w:eastAsia="Arial" w:hAnsi="Arial"/>
          <w:sz w:val="23"/>
          <w:szCs w:val="23"/>
          <w:color w:val="auto"/>
        </w:rPr>
        <w:t>UNITED STATES</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23"/>
          <w:szCs w:val="23"/>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23"/>
          <w:szCs w:val="23"/>
          <w:color w:val="auto"/>
        </w:rPr>
        <w:t>Washington, D.C. 20549</w:t>
      </w:r>
    </w:p>
    <w:p>
      <w:pPr>
        <w:spacing w:after="0" w:line="25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357" w:lineRule="exact"/>
        <w:rPr>
          <w:sz w:val="24"/>
          <w:szCs w:val="24"/>
          <w:color w:val="auto"/>
        </w:rPr>
      </w:pPr>
    </w:p>
    <w:p>
      <w:pPr>
        <w:ind w:left="4100" w:right="880" w:hanging="4065"/>
        <w:spacing w:after="0" w:line="519" w:lineRule="auto"/>
        <w:tabs>
          <w:tab w:leader="none" w:pos="136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June 30, 2019</w:t>
      </w:r>
    </w:p>
    <w:p>
      <w:pPr>
        <w:ind w:left="564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ectPr>
          <w:pgSz w:w="11900" w:h="16838" w:orient="portrait"/>
          <w:cols w:equalWidth="0" w:num="1">
            <w:col w:w="11380"/>
          </w:cols>
          <w:pgMar w:left="240" w:top="231" w:right="279" w:bottom="1440" w:gutter="0" w:footer="0" w:header="0"/>
        </w:sectPr>
      </w:pPr>
    </w:p>
    <w:p>
      <w:pPr>
        <w:spacing w:after="0" w:line="200" w:lineRule="exact"/>
        <w:rPr>
          <w:sz w:val="24"/>
          <w:szCs w:val="24"/>
          <w:color w:val="auto"/>
        </w:rPr>
      </w:pPr>
    </w:p>
    <w:p>
      <w:pPr>
        <w:spacing w:after="0" w:line="371" w:lineRule="exact"/>
        <w:rPr>
          <w:sz w:val="24"/>
          <w:szCs w:val="24"/>
          <w:color w:val="auto"/>
        </w:rPr>
      </w:pPr>
    </w:p>
    <w:p>
      <w:pPr>
        <w:ind w:left="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63" w:lineRule="exact"/>
        <w:rPr>
          <w:sz w:val="24"/>
          <w:szCs w:val="24"/>
          <w:color w:val="auto"/>
        </w:rPr>
      </w:pPr>
    </w:p>
    <w:p>
      <w:pPr>
        <w:jc w:val="center"/>
        <w:ind w:right="2740"/>
        <w:spacing w:after="0"/>
        <w:rPr>
          <w:sz w:val="20"/>
          <w:szCs w:val="20"/>
          <w:color w:val="auto"/>
        </w:rPr>
      </w:pPr>
      <w:r>
        <w:rPr>
          <w:rFonts w:ascii="Arial" w:cs="Arial" w:eastAsia="Arial" w:hAnsi="Arial"/>
          <w:sz w:val="17"/>
          <w:szCs w:val="17"/>
          <w:b w:val="1"/>
          <w:bCs w:val="1"/>
          <w:color w:val="auto"/>
        </w:rPr>
        <w:t>TRANSITION REPORT PURSUANT TO SECTION 13 OR 15(d) OF</w:t>
      </w:r>
    </w:p>
    <w:p>
      <w:pPr>
        <w:spacing w:after="0" w:line="39" w:lineRule="exact"/>
        <w:rPr>
          <w:sz w:val="24"/>
          <w:szCs w:val="24"/>
          <w:color w:val="auto"/>
        </w:rPr>
      </w:pPr>
    </w:p>
    <w:p>
      <w:pPr>
        <w:jc w:val="center"/>
        <w:ind w:right="274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0" w:lineRule="exact"/>
        <w:rPr>
          <w:sz w:val="24"/>
          <w:szCs w:val="24"/>
          <w:color w:val="auto"/>
        </w:rPr>
      </w:pPr>
    </w:p>
    <w:p>
      <w:pPr>
        <w:sectPr>
          <w:pgSz w:w="11900" w:h="16838" w:orient="portrait"/>
          <w:cols w:equalWidth="0" w:num="2">
            <w:col w:w="2520" w:space="720"/>
            <w:col w:w="8140"/>
          </w:cols>
          <w:pgMar w:left="240" w:top="231" w:right="279" w:bottom="1440" w:gutter="0" w:footer="0" w:header="0"/>
          <w:type w:val="continuous"/>
        </w:sectPr>
      </w:pPr>
    </w:p>
    <w:p>
      <w:pPr>
        <w:spacing w:after="0" w:line="38" w:lineRule="exact"/>
        <w:rPr>
          <w:sz w:val="24"/>
          <w:szCs w:val="24"/>
          <w:color w:val="auto"/>
        </w:rPr>
      </w:pPr>
    </w:p>
    <w:p>
      <w:pPr>
        <w:ind w:left="2700"/>
        <w:spacing w:after="0"/>
        <w:rPr>
          <w:sz w:val="20"/>
          <w:szCs w:val="20"/>
          <w:color w:val="auto"/>
        </w:rPr>
      </w:pPr>
      <w:r>
        <w:rPr>
          <w:rFonts w:ascii="Arial" w:cs="Arial" w:eastAsia="Arial" w:hAnsi="Arial"/>
          <w:sz w:val="17"/>
          <w:szCs w:val="17"/>
          <w:color w:val="auto"/>
        </w:rPr>
        <w:t>For the transition period from ____________________ to ____________________</w:t>
      </w:r>
    </w:p>
    <w:p>
      <w:pPr>
        <w:spacing w:after="0" w:line="23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001-5532-99</w:t>
      </w:r>
    </w:p>
    <w:p>
      <w:pPr>
        <w:spacing w:after="0" w:line="21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PORTLAND GENERAL ELECTRIC COMPANY</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231" w:right="279" w:bottom="1440" w:gutter="0" w:footer="0" w:header="0"/>
          <w:type w:val="continuous"/>
        </w:sectPr>
      </w:pPr>
    </w:p>
    <w:p>
      <w:pPr>
        <w:spacing w:after="0" w:line="367" w:lineRule="exact"/>
        <w:rPr>
          <w:sz w:val="24"/>
          <w:szCs w:val="24"/>
          <w:color w:val="auto"/>
        </w:rPr>
      </w:pPr>
    </w:p>
    <w:p>
      <w:pPr>
        <w:ind w:left="2580"/>
        <w:spacing w:after="0"/>
        <w:rPr>
          <w:sz w:val="20"/>
          <w:szCs w:val="20"/>
          <w:color w:val="auto"/>
        </w:rPr>
      </w:pPr>
      <w:r>
        <w:rPr>
          <w:rFonts w:ascii="Arial" w:cs="Arial" w:eastAsia="Arial" w:hAnsi="Arial"/>
          <w:sz w:val="16"/>
          <w:szCs w:val="16"/>
          <w:b w:val="1"/>
          <w:bCs w:val="1"/>
          <w:color w:val="auto"/>
        </w:rPr>
        <w:t>Oregon</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93-0256820</w:t>
      </w:r>
    </w:p>
    <w:p>
      <w:pPr>
        <w:spacing w:after="0" w:line="90" w:lineRule="exact"/>
        <w:rPr>
          <w:sz w:val="24"/>
          <w:szCs w:val="24"/>
          <w:color w:val="auto"/>
        </w:rPr>
      </w:pPr>
    </w:p>
    <w:p>
      <w:pPr>
        <w:sectPr>
          <w:pgSz w:w="11900" w:h="16838" w:orient="portrait"/>
          <w:cols w:equalWidth="0" w:num="2">
            <w:col w:w="7280" w:space="720"/>
            <w:col w:w="3380"/>
          </w:cols>
          <w:pgMar w:left="240" w:top="231" w:right="279" w:bottom="1440" w:gutter="0" w:footer="0" w:header="0"/>
          <w:type w:val="continuous"/>
        </w:sectPr>
      </w:pPr>
    </w:p>
    <w:p>
      <w:pPr>
        <w:ind w:left="184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ind w:left="180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7"/>
          <w:szCs w:val="17"/>
          <w:color w:val="auto"/>
        </w:rPr>
        <w:t>(I.R.S. Employer</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2">
            <w:col w:w="7040" w:space="720"/>
            <w:col w:w="3620"/>
          </w:cols>
          <w:pgMar w:left="240" w:top="231" w:right="279" w:bottom="1440" w:gutter="0" w:footer="0" w:header="0"/>
          <w:type w:val="continuous"/>
        </w:sectPr>
      </w:pPr>
    </w:p>
    <w:p>
      <w:pPr>
        <w:spacing w:after="0" w:line="18"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121 SW Salmon Street</w:t>
      </w:r>
    </w:p>
    <w:p>
      <w:pPr>
        <w:spacing w:after="0" w:line="27"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Portland, Oregon 97204</w:t>
      </w:r>
    </w:p>
    <w:p>
      <w:pPr>
        <w:spacing w:after="0" w:line="9"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(503) 464-8000</w:t>
      </w:r>
    </w:p>
    <w:p>
      <w:pPr>
        <w:spacing w:after="0" w:line="9" w:lineRule="exact"/>
        <w:rPr>
          <w:sz w:val="24"/>
          <w:szCs w:val="24"/>
          <w:color w:val="auto"/>
        </w:rPr>
      </w:pPr>
    </w:p>
    <w:p>
      <w:pPr>
        <w:ind w:left="3580"/>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32" w:lineRule="exact"/>
        <w:rPr>
          <w:sz w:val="24"/>
          <w:szCs w:val="24"/>
          <w:color w:val="auto"/>
        </w:rPr>
      </w:pPr>
    </w:p>
    <w:p>
      <w:pPr>
        <w:ind w:left="3700"/>
        <w:spacing w:after="0"/>
        <w:rPr>
          <w:sz w:val="20"/>
          <w:szCs w:val="20"/>
          <w:color w:val="auto"/>
        </w:rPr>
      </w:pPr>
      <w:r>
        <w:rPr>
          <w:rFonts w:ascii="Arial" w:cs="Arial" w:eastAsia="Arial" w:hAnsi="Arial"/>
          <w:sz w:val="16"/>
          <w:szCs w:val="16"/>
          <w:color w:val="auto"/>
        </w:rPr>
        <w:t>and registrant’s telephone number, including area code)</w:t>
      </w:r>
    </w:p>
    <w:p>
      <w:pPr>
        <w:spacing w:after="0" w:line="342"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380"/>
          </w:cols>
          <w:pgMar w:left="240" w:top="231" w:right="279" w:bottom="1440" w:gutter="0" w:footer="0" w:header="0"/>
          <w:type w:val="continuous"/>
        </w:sectPr>
      </w:pPr>
    </w:p>
    <w:p>
      <w:pPr>
        <w:spacing w:after="0" w:line="302" w:lineRule="exact"/>
        <w:rPr>
          <w:sz w:val="24"/>
          <w:szCs w:val="24"/>
          <w:color w:val="auto"/>
        </w:rPr>
      </w:pPr>
    </w:p>
    <w:p>
      <w:pPr>
        <w:ind w:left="1400"/>
        <w:spacing w:after="0"/>
        <w:rPr>
          <w:sz w:val="20"/>
          <w:szCs w:val="20"/>
          <w:color w:val="auto"/>
        </w:rPr>
      </w:pPr>
      <w:r>
        <w:rPr>
          <w:rFonts w:ascii="Arial" w:cs="Arial" w:eastAsia="Arial" w:hAnsi="Arial"/>
          <w:sz w:val="16"/>
          <w:szCs w:val="16"/>
          <w:color w:val="auto"/>
        </w:rPr>
        <w:t>(Title of class)</w:t>
      </w:r>
    </w:p>
    <w:p>
      <w:pPr>
        <w:spacing w:after="0" w:line="20" w:lineRule="exact"/>
        <w:rPr>
          <w:sz w:val="24"/>
          <w:szCs w:val="24"/>
          <w:color w:val="auto"/>
        </w:rPr>
      </w:pPr>
      <w:r>
        <w:rPr>
          <w:sz w:val="24"/>
          <w:szCs w:val="24"/>
          <w:color w:val="auto"/>
        </w:rPr>
        <w:br w:type="column"/>
      </w:r>
    </w:p>
    <w:p>
      <w:pPr>
        <w:spacing w:after="0" w:line="282" w:lineRule="exact"/>
        <w:rPr>
          <w:sz w:val="24"/>
          <w:szCs w:val="24"/>
          <w:color w:val="auto"/>
        </w:rPr>
      </w:pPr>
    </w:p>
    <w:p>
      <w:pPr>
        <w:spacing w:after="0"/>
        <w:rPr>
          <w:sz w:val="20"/>
          <w:szCs w:val="20"/>
          <w:color w:val="auto"/>
        </w:rPr>
      </w:pPr>
      <w:r>
        <w:rPr>
          <w:rFonts w:ascii="Arial" w:cs="Arial" w:eastAsia="Arial" w:hAnsi="Arial"/>
          <w:sz w:val="16"/>
          <w:szCs w:val="16"/>
          <w:color w:val="auto"/>
        </w:rPr>
        <w:t>(Trading Symbol)</w:t>
      </w:r>
    </w:p>
    <w:p>
      <w:pPr>
        <w:spacing w:after="0" w:line="20" w:lineRule="exact"/>
        <w:rPr>
          <w:sz w:val="24"/>
          <w:szCs w:val="24"/>
          <w:color w:val="auto"/>
        </w:rPr>
      </w:pPr>
      <w:r>
        <w:rPr>
          <w:sz w:val="24"/>
          <w:szCs w:val="24"/>
          <w:color w:val="auto"/>
        </w:rPr>
        <w:br w:type="column"/>
      </w:r>
    </w:p>
    <w:p>
      <w:pPr>
        <w:spacing w:after="0" w:line="282" w:lineRule="exact"/>
        <w:rPr>
          <w:sz w:val="24"/>
          <w:szCs w:val="24"/>
          <w:color w:val="auto"/>
        </w:rPr>
      </w:pPr>
    </w:p>
    <w:p>
      <w:pPr>
        <w:spacing w:after="0"/>
        <w:rPr>
          <w:sz w:val="20"/>
          <w:szCs w:val="20"/>
          <w:color w:val="auto"/>
        </w:rPr>
      </w:pPr>
      <w:r>
        <w:rPr>
          <w:rFonts w:ascii="Arial" w:cs="Arial" w:eastAsia="Arial" w:hAnsi="Arial"/>
          <w:sz w:val="16"/>
          <w:szCs w:val="16"/>
          <w:color w:val="auto"/>
        </w:rPr>
        <w:t>(Name of exchange on which registered)</w:t>
      </w:r>
    </w:p>
    <w:p>
      <w:pPr>
        <w:spacing w:after="0" w:line="86" w:lineRule="exact"/>
        <w:rPr>
          <w:sz w:val="24"/>
          <w:szCs w:val="24"/>
          <w:color w:val="auto"/>
        </w:rPr>
      </w:pPr>
    </w:p>
    <w:p>
      <w:pPr>
        <w:sectPr>
          <w:pgSz w:w="11900" w:h="16838" w:orient="portrait"/>
          <w:cols w:equalWidth="0" w:num="3">
            <w:col w:w="4300" w:space="720"/>
            <w:col w:w="2260" w:space="720"/>
            <w:col w:w="3380"/>
          </w:cols>
          <w:pgMar w:left="240" w:top="231" w:right="279" w:bottom="1440" w:gutter="0" w:footer="0" w:header="0"/>
          <w:type w:val="continuous"/>
        </w:sectPr>
      </w:pPr>
    </w:p>
    <w:p>
      <w:pPr>
        <w:ind w:left="860"/>
        <w:spacing w:after="0"/>
        <w:rPr>
          <w:sz w:val="20"/>
          <w:szCs w:val="20"/>
          <w:color w:val="auto"/>
        </w:rPr>
      </w:pPr>
      <w:r>
        <w:rPr>
          <w:rFonts w:ascii="Arial" w:cs="Arial" w:eastAsia="Arial" w:hAnsi="Arial"/>
          <w:sz w:val="16"/>
          <w:szCs w:val="16"/>
          <w:color w:val="auto"/>
        </w:rPr>
        <w:t>Common Stock, no par value</w:t>
      </w:r>
    </w:p>
    <w:p>
      <w:pPr>
        <w:spacing w:after="0" w:line="20" w:lineRule="exact"/>
        <w:rPr>
          <w:sz w:val="24"/>
          <w:szCs w:val="24"/>
          <w:color w:val="auto"/>
        </w:rPr>
      </w:pPr>
      <w:r>
        <w:rPr>
          <w:sz w:val="24"/>
          <w:szCs w:val="24"/>
          <w:color w:val="auto"/>
        </w:rPr>
        <w:br w:type="column"/>
      </w:r>
    </w:p>
    <w:p>
      <w:pPr>
        <w:jc w:val="center"/>
        <w:ind w:right="1920"/>
        <w:spacing w:after="0"/>
        <w:rPr>
          <w:sz w:val="20"/>
          <w:szCs w:val="20"/>
          <w:color w:val="auto"/>
        </w:rPr>
      </w:pPr>
      <w:r>
        <w:rPr>
          <w:rFonts w:ascii="Arial" w:cs="Arial" w:eastAsia="Arial" w:hAnsi="Arial"/>
          <w:sz w:val="15"/>
          <w:szCs w:val="15"/>
          <w:color w:val="auto"/>
        </w:rPr>
        <w:t>POR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00" w:lineRule="exact"/>
        <w:rPr>
          <w:sz w:val="24"/>
          <w:szCs w:val="24"/>
          <w:color w:val="auto"/>
        </w:rPr>
      </w:pPr>
    </w:p>
    <w:p>
      <w:pPr>
        <w:sectPr>
          <w:pgSz w:w="11900" w:h="16838" w:orient="portrait"/>
          <w:cols w:equalWidth="0" w:num="3">
            <w:col w:w="4780" w:space="720"/>
            <w:col w:w="2260" w:space="720"/>
            <w:col w:w="2900"/>
          </w:cols>
          <w:pgMar w:left="240" w:top="231" w:right="279" w:bottom="1440" w:gutter="0" w:footer="0" w:header="0"/>
          <w:type w:val="continuous"/>
        </w:sectPr>
      </w:pPr>
    </w:p>
    <w:p>
      <w:pPr>
        <w:spacing w:after="0" w:line="75" w:lineRule="exact"/>
        <w:rPr>
          <w:sz w:val="24"/>
          <w:szCs w:val="24"/>
          <w:color w:val="auto"/>
        </w:rPr>
      </w:pPr>
    </w:p>
    <w:p>
      <w:pPr>
        <w:ind w:right="44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 ] No</w:t>
      </w:r>
    </w:p>
    <w:p>
      <w:pPr>
        <w:spacing w:after="0" w:line="87" w:lineRule="exact"/>
        <w:rPr>
          <w:sz w:val="24"/>
          <w:szCs w:val="24"/>
          <w:color w:val="auto"/>
        </w:rPr>
      </w:pPr>
    </w:p>
    <w:p>
      <w:pPr>
        <w:ind w:right="260"/>
        <w:spacing w:after="0" w:line="264" w:lineRule="auto"/>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[x] Yes </w:t>
      </w:r>
      <w:r>
        <w:rPr>
          <w:rFonts w:ascii="Arial" w:cs="Arial" w:eastAsia="Arial" w:hAnsi="Arial"/>
          <w:sz w:val="18"/>
          <w:szCs w:val="18"/>
          <w:color w:val="FFFFFF"/>
        </w:rPr>
        <w:t>x</w:t>
      </w:r>
      <w:r>
        <w:rPr>
          <w:rFonts w:ascii="Arial" w:cs="Arial" w:eastAsia="Arial" w:hAnsi="Arial"/>
          <w:sz w:val="18"/>
          <w:szCs w:val="18"/>
          <w:color w:val="auto"/>
        </w:rPr>
        <w:t xml:space="preserve"> [ ] No</w:t>
      </w:r>
    </w:p>
    <w:p>
      <w:pPr>
        <w:spacing w:after="0" w:line="87"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231" w:right="279" w:bottom="1440" w:gutter="0" w:footer="0" w:header="0"/>
          <w:type w:val="continuous"/>
        </w:sectPr>
      </w:pPr>
    </w:p>
    <w:bookmarkStart w:id="1" w:name="page2"/>
    <w:bookmarkEnd w:id="1"/>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1880" w:type="dxa"/>
        <w:tblCellMar>
          <w:top w:w="0" w:type="dxa"/>
          <w:left w:w="0" w:type="dxa"/>
          <w:bottom w:w="0" w:type="dxa"/>
          <w:right w:w="0" w:type="dxa"/>
        </w:tblCellMar>
      </w:tblPr>
      <w:tr>
        <w:trPr>
          <w:trHeight w:val="311"/>
        </w:trPr>
        <w:tc>
          <w:tcPr>
            <w:tcW w:w="2600" w:type="dxa"/>
            <w:vAlign w:val="bottom"/>
          </w:tcPr>
          <w:p>
            <w:pPr>
              <w:jc w:val="center"/>
              <w:ind w:right="890"/>
              <w:spacing w:after="0"/>
              <w:rPr>
                <w:sz w:val="20"/>
                <w:szCs w:val="20"/>
                <w:color w:val="auto"/>
              </w:rPr>
            </w:pPr>
            <w:r>
              <w:rPr>
                <w:rFonts w:ascii="Arial" w:cs="Arial" w:eastAsia="Arial" w:hAnsi="Arial"/>
                <w:sz w:val="18"/>
                <w:szCs w:val="18"/>
                <w:color w:val="auto"/>
                <w:w w:val="90"/>
              </w:rPr>
              <w:t>Large accelerated filer</w:t>
            </w:r>
          </w:p>
        </w:tc>
        <w:tc>
          <w:tcPr>
            <w:tcW w:w="2060" w:type="dxa"/>
            <w:vAlign w:val="bottom"/>
          </w:tcPr>
          <w:p>
            <w:pPr>
              <w:ind w:left="980"/>
              <w:spacing w:after="0" w:line="221" w:lineRule="exact"/>
              <w:rPr>
                <w:sz w:val="20"/>
                <w:szCs w:val="20"/>
                <w:color w:val="auto"/>
              </w:rPr>
            </w:pPr>
            <w:r>
              <w:rPr>
                <w:rFonts w:ascii="MS PGothic" w:cs="MS PGothic" w:eastAsia="MS PGothic" w:hAnsi="MS PGothic"/>
                <w:sz w:val="22"/>
                <w:szCs w:val="22"/>
                <w:color w:val="auto"/>
              </w:rPr>
              <w:t>☒</w:t>
            </w:r>
          </w:p>
        </w:tc>
        <w:tc>
          <w:tcPr>
            <w:tcW w:w="3740" w:type="dxa"/>
            <w:vAlign w:val="bottom"/>
          </w:tcPr>
          <w:p>
            <w:pPr>
              <w:jc w:val="center"/>
              <w:spacing w:after="0"/>
              <w:rPr>
                <w:sz w:val="20"/>
                <w:szCs w:val="20"/>
                <w:color w:val="auto"/>
              </w:rPr>
            </w:pPr>
            <w:r>
              <w:rPr>
                <w:rFonts w:ascii="Arial" w:cs="Arial" w:eastAsia="Arial" w:hAnsi="Arial"/>
                <w:sz w:val="18"/>
                <w:szCs w:val="18"/>
                <w:color w:val="auto"/>
                <w:w w:val="92"/>
              </w:rPr>
              <w:t>Accelerated filer</w:t>
            </w:r>
          </w:p>
        </w:tc>
        <w:tc>
          <w:tcPr>
            <w:tcW w:w="1080" w:type="dxa"/>
            <w:vAlign w:val="bottom"/>
          </w:tcPr>
          <w:p>
            <w:pPr>
              <w:ind w:left="88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11"/>
        </w:trPr>
        <w:tc>
          <w:tcPr>
            <w:tcW w:w="2600" w:type="dxa"/>
            <w:vAlign w:val="bottom"/>
          </w:tcPr>
          <w:p>
            <w:pPr>
              <w:jc w:val="center"/>
              <w:ind w:right="870"/>
              <w:spacing w:after="0"/>
              <w:rPr>
                <w:sz w:val="20"/>
                <w:szCs w:val="20"/>
                <w:color w:val="auto"/>
              </w:rPr>
            </w:pPr>
            <w:r>
              <w:rPr>
                <w:rFonts w:ascii="Arial" w:cs="Arial" w:eastAsia="Arial" w:hAnsi="Arial"/>
                <w:sz w:val="18"/>
                <w:szCs w:val="18"/>
                <w:color w:val="auto"/>
                <w:w w:val="91"/>
              </w:rPr>
              <w:t>Non-accelerated filer</w:t>
            </w:r>
          </w:p>
        </w:tc>
        <w:tc>
          <w:tcPr>
            <w:tcW w:w="2060" w:type="dxa"/>
            <w:vAlign w:val="bottom"/>
          </w:tcPr>
          <w:p>
            <w:pPr>
              <w:ind w:left="980"/>
              <w:spacing w:after="0" w:line="221" w:lineRule="exact"/>
              <w:rPr>
                <w:sz w:val="20"/>
                <w:szCs w:val="20"/>
                <w:color w:val="auto"/>
              </w:rPr>
            </w:pPr>
            <w:r>
              <w:rPr>
                <w:rFonts w:ascii="MS PGothic" w:cs="MS PGothic" w:eastAsia="MS PGothic" w:hAnsi="MS PGothic"/>
                <w:sz w:val="22"/>
                <w:szCs w:val="22"/>
                <w:color w:val="auto"/>
              </w:rPr>
              <w:t>☐</w:t>
            </w:r>
          </w:p>
        </w:tc>
        <w:tc>
          <w:tcPr>
            <w:tcW w:w="3740" w:type="dxa"/>
            <w:vAlign w:val="bottom"/>
          </w:tcPr>
          <w:p>
            <w:pPr>
              <w:jc w:val="center"/>
              <w:spacing w:after="0"/>
              <w:rPr>
                <w:sz w:val="20"/>
                <w:szCs w:val="20"/>
                <w:color w:val="auto"/>
              </w:rPr>
            </w:pPr>
            <w:r>
              <w:rPr>
                <w:rFonts w:ascii="Arial" w:cs="Arial" w:eastAsia="Arial" w:hAnsi="Arial"/>
                <w:sz w:val="18"/>
                <w:szCs w:val="18"/>
                <w:color w:val="auto"/>
                <w:w w:val="91"/>
              </w:rPr>
              <w:t>Smaller reporting company</w:t>
            </w:r>
          </w:p>
        </w:tc>
        <w:tc>
          <w:tcPr>
            <w:tcW w:w="1080" w:type="dxa"/>
            <w:vAlign w:val="bottom"/>
          </w:tcPr>
          <w:p>
            <w:pPr>
              <w:ind w:left="88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39"/>
        </w:trPr>
        <w:tc>
          <w:tcPr>
            <w:tcW w:w="26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91"/>
              </w:rPr>
              <w:t>Emerging growth company</w:t>
            </w:r>
          </w:p>
        </w:tc>
        <w:tc>
          <w:tcPr>
            <w:tcW w:w="1080" w:type="dxa"/>
            <w:vAlign w:val="bottom"/>
          </w:tcPr>
          <w:p>
            <w:pPr>
              <w:ind w:left="88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10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 provided pursuant to Section 13(a) of the Exchange Act. [ ]</w:t>
      </w:r>
    </w:p>
    <w:p>
      <w:pPr>
        <w:spacing w:after="0" w:line="219" w:lineRule="exact"/>
        <w:rPr>
          <w:sz w:val="20"/>
          <w:szCs w:val="20"/>
          <w:color w:val="auto"/>
        </w:rPr>
      </w:pPr>
    </w:p>
    <w:p>
      <w:pPr>
        <w:ind w:right="2140"/>
        <w:spacing w:after="0" w:line="301"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[x] No Number of shares of common stock outstanding as of July 26, 2019 is 89,371,751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29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1180" w:type="dxa"/>
            <w:vAlign w:val="bottom"/>
            <w:gridSpan w:val="23"/>
          </w:tcPr>
          <w:p>
            <w:pPr>
              <w:spacing w:after="0"/>
              <w:rPr>
                <w:rFonts w:ascii="Arial" w:cs="Arial" w:eastAsia="Arial" w:hAnsi="Arial"/>
                <w:sz w:val="20"/>
                <w:szCs w:val="20"/>
                <w:color w:val="0000EE"/>
              </w:rPr>
            </w:pPr>
            <w:hyperlink w:anchor="page3">
              <w:r>
                <w:rPr>
                  <w:rFonts w:ascii="Arial" w:cs="Arial" w:eastAsia="Arial" w:hAnsi="Arial"/>
                  <w:sz w:val="20"/>
                  <w:szCs w:val="20"/>
                  <w:color w:val="0000EE"/>
                </w:rPr>
                <w:t>Table of Contents</w:t>
              </w:r>
            </w:hyperlink>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733"/>
        </w:trPr>
        <w:tc>
          <w:tcPr>
            <w:tcW w:w="4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40" w:type="dxa"/>
            <w:vAlign w:val="bottom"/>
            <w:gridSpan w:val="14"/>
          </w:tcPr>
          <w:p>
            <w:pPr>
              <w:jc w:val="center"/>
              <w:ind w:right="2880"/>
              <w:spacing w:after="0"/>
              <w:rPr>
                <w:sz w:val="20"/>
                <w:szCs w:val="20"/>
                <w:color w:val="auto"/>
              </w:rPr>
            </w:pPr>
            <w:r>
              <w:rPr>
                <w:rFonts w:ascii="Arial" w:cs="Arial" w:eastAsia="Arial" w:hAnsi="Arial"/>
                <w:sz w:val="20"/>
                <w:szCs w:val="20"/>
                <w:color w:val="auto"/>
                <w:w w:val="95"/>
              </w:rPr>
              <w:t>PORTLAND GENERAL ELECTRIC COMPANY</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500" w:type="dxa"/>
            <w:vAlign w:val="bottom"/>
            <w:gridSpan w:val="9"/>
          </w:tcPr>
          <w:p>
            <w:pPr>
              <w:jc w:val="center"/>
              <w:ind w:right="4440"/>
              <w:spacing w:after="0"/>
              <w:rPr>
                <w:sz w:val="20"/>
                <w:szCs w:val="20"/>
                <w:color w:val="auto"/>
              </w:rPr>
            </w:pPr>
            <w:r>
              <w:rPr>
                <w:rFonts w:ascii="Arial" w:cs="Arial" w:eastAsia="Arial" w:hAnsi="Arial"/>
                <w:sz w:val="20"/>
                <w:szCs w:val="20"/>
                <w:color w:val="auto"/>
                <w:w w:val="93"/>
              </w:rPr>
              <w:t>FORM 10-Q</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40" w:type="dxa"/>
            <w:vAlign w:val="bottom"/>
            <w:gridSpan w:val="14"/>
          </w:tcPr>
          <w:p>
            <w:pPr>
              <w:jc w:val="center"/>
              <w:ind w:right="2880"/>
              <w:spacing w:after="0"/>
              <w:rPr>
                <w:sz w:val="20"/>
                <w:szCs w:val="20"/>
                <w:color w:val="auto"/>
              </w:rPr>
            </w:pPr>
            <w:r>
              <w:rPr>
                <w:rFonts w:ascii="Arial" w:cs="Arial" w:eastAsia="Arial" w:hAnsi="Arial"/>
                <w:sz w:val="20"/>
                <w:szCs w:val="20"/>
                <w:color w:val="auto"/>
                <w:w w:val="93"/>
              </w:rPr>
              <w:t>FOR THE QUARTERLY PERIOD ENDED JUNE 30, 2019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46"/>
        </w:trPr>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500" w:type="dxa"/>
            <w:vAlign w:val="bottom"/>
            <w:gridSpan w:val="9"/>
          </w:tcPr>
          <w:p>
            <w:pPr>
              <w:jc w:val="center"/>
              <w:ind w:right="4420"/>
              <w:spacing w:after="0"/>
              <w:rPr>
                <w:sz w:val="20"/>
                <w:szCs w:val="20"/>
                <w:color w:val="auto"/>
              </w:rPr>
            </w:pPr>
            <w:r>
              <w:rPr>
                <w:rFonts w:ascii="Arial" w:cs="Arial" w:eastAsia="Arial" w:hAnsi="Arial"/>
                <w:sz w:val="20"/>
                <w:szCs w:val="20"/>
                <w:color w:val="auto"/>
                <w:w w:val="94"/>
              </w:rPr>
              <w:t>TABLE OF CONTENTS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77"/>
        </w:trPr>
        <w:tc>
          <w:tcPr>
            <w:tcW w:w="4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20"/>
                <w:szCs w:val="20"/>
                <w:color w:val="0000FF"/>
              </w:rPr>
            </w:pPr>
            <w:hyperlink w:anchor="page4">
              <w:r>
                <w:rPr>
                  <w:rFonts w:ascii="Arial" w:cs="Arial" w:eastAsia="Arial" w:hAnsi="Arial"/>
                  <w:sz w:val="20"/>
                  <w:szCs w:val="20"/>
                  <w:color w:val="0000FF"/>
                </w:rPr>
                <w:t>Definitions</w:t>
              </w:r>
            </w:hyperlink>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0" w:type="dxa"/>
            <w:vAlign w:val="bottom"/>
            <w:gridSpan w:val="2"/>
          </w:tcPr>
          <w:p>
            <w:pPr>
              <w:jc w:val="right"/>
              <w:spacing w:after="0"/>
              <w:rPr>
                <w:rFonts w:ascii="Arial" w:cs="Arial" w:eastAsia="Arial" w:hAnsi="Arial"/>
                <w:sz w:val="20"/>
                <w:szCs w:val="20"/>
                <w:color w:val="0000FF"/>
              </w:rPr>
            </w:pPr>
            <w:hyperlink w:anchor="page4">
              <w:r>
                <w:rPr>
                  <w:rFonts w:ascii="Arial" w:cs="Arial" w:eastAsia="Arial" w:hAnsi="Arial"/>
                  <w:sz w:val="20"/>
                  <w:szCs w:val="20"/>
                  <w:color w:val="0000FF"/>
                </w:rPr>
                <w:t>3</w:t>
              </w:r>
            </w:hyperlink>
          </w:p>
        </w:tc>
      </w:tr>
      <w:tr>
        <w:trPr>
          <w:trHeight w:val="453"/>
        </w:trPr>
        <w:tc>
          <w:tcPr>
            <w:tcW w:w="40" w:type="dxa"/>
            <w:vAlign w:val="bottom"/>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80" w:type="dxa"/>
            <w:vAlign w:val="bottom"/>
            <w:tcBorders>
              <w:bottom w:val="single" w:sz="8" w:color="0000FF"/>
            </w:tcBorders>
            <w:gridSpan w:val="10"/>
          </w:tcPr>
          <w:p>
            <w:pPr>
              <w:jc w:val="center"/>
              <w:spacing w:after="0"/>
              <w:rPr>
                <w:rFonts w:ascii="Arial" w:cs="Arial" w:eastAsia="Arial" w:hAnsi="Arial"/>
                <w:sz w:val="20"/>
                <w:szCs w:val="20"/>
                <w:b w:val="1"/>
                <w:bCs w:val="1"/>
                <w:color w:val="0000FF"/>
              </w:rPr>
            </w:pPr>
            <w:hyperlink w:anchor="page5">
              <w:r>
                <w:rPr>
                  <w:rFonts w:ascii="Arial" w:cs="Arial" w:eastAsia="Arial" w:hAnsi="Arial"/>
                  <w:sz w:val="20"/>
                  <w:szCs w:val="20"/>
                  <w:b w:val="1"/>
                  <w:bCs w:val="1"/>
                  <w:color w:val="0000FF"/>
                </w:rPr>
                <w:t>PART I — FINANCIAL INFORMATION</w:t>
              </w:r>
            </w:hyperlink>
          </w:p>
        </w:tc>
        <w:tc>
          <w:tcPr>
            <w:tcW w:w="358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453"/>
        </w:trPr>
        <w:tc>
          <w:tcPr>
            <w:tcW w:w="4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20"/>
                <w:szCs w:val="20"/>
                <w:color w:val="auto"/>
              </w:rPr>
              <w:t>Item 1.</w:t>
            </w:r>
          </w:p>
        </w:tc>
        <w:tc>
          <w:tcPr>
            <w:tcW w:w="9980" w:type="dxa"/>
            <w:vAlign w:val="bottom"/>
            <w:gridSpan w:val="20"/>
          </w:tcPr>
          <w:p>
            <w:pPr>
              <w:spacing w:after="0"/>
              <w:rPr>
                <w:rFonts w:ascii="Arial" w:cs="Arial" w:eastAsia="Arial" w:hAnsi="Arial"/>
                <w:sz w:val="20"/>
                <w:szCs w:val="20"/>
                <w:color w:val="0000EE"/>
              </w:rPr>
            </w:pPr>
            <w:hyperlink w:anchor="page5">
              <w:r>
                <w:rPr>
                  <w:rFonts w:ascii="Arial" w:cs="Arial" w:eastAsia="Arial" w:hAnsi="Arial"/>
                  <w:sz w:val="20"/>
                  <w:szCs w:val="20"/>
                  <w:color w:val="0000EE"/>
                </w:rPr>
                <w:t xml:space="preserve">Financial Statements </w:t>
              </w:r>
            </w:hyperlink>
            <w:r>
              <w:rPr>
                <w:rFonts w:ascii="Arial" w:cs="Arial" w:eastAsia="Arial" w:hAnsi="Arial"/>
                <w:sz w:val="20"/>
                <w:szCs w:val="20"/>
                <w:color w:val="0000FF"/>
              </w:rPr>
              <w:t>(Unaudited)</w:t>
            </w:r>
          </w:p>
        </w:tc>
        <w:tc>
          <w:tcPr>
            <w:tcW w:w="200" w:type="dxa"/>
            <w:vAlign w:val="bottom"/>
            <w:gridSpan w:val="2"/>
          </w:tcPr>
          <w:p>
            <w:pPr>
              <w:jc w:val="right"/>
              <w:spacing w:after="0"/>
              <w:rPr>
                <w:rFonts w:ascii="Arial" w:cs="Arial" w:eastAsia="Arial" w:hAnsi="Arial"/>
                <w:sz w:val="20"/>
                <w:szCs w:val="20"/>
                <w:color w:val="0000FF"/>
              </w:rPr>
            </w:pPr>
            <w:hyperlink w:anchor="page5">
              <w:r>
                <w:rPr>
                  <w:rFonts w:ascii="Arial" w:cs="Arial" w:eastAsia="Arial" w:hAnsi="Arial"/>
                  <w:sz w:val="20"/>
                  <w:szCs w:val="20"/>
                  <w:color w:val="0000FF"/>
                </w:rPr>
                <w:t>4</w:t>
              </w:r>
            </w:hyperlink>
          </w:p>
        </w:tc>
      </w:tr>
      <w:tr>
        <w:trPr>
          <w:trHeight w:val="20"/>
        </w:trPr>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53"/>
        </w:trPr>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20" w:type="dxa"/>
            <w:vAlign w:val="bottom"/>
            <w:tcBorders>
              <w:bottom w:val="single" w:sz="8" w:color="0033FF"/>
            </w:tcBorders>
            <w:gridSpan w:val="16"/>
          </w:tcPr>
          <w:p>
            <w:pPr>
              <w:spacing w:after="0"/>
              <w:rPr>
                <w:rFonts w:ascii="Arial" w:cs="Arial" w:eastAsia="Arial" w:hAnsi="Arial"/>
                <w:sz w:val="20"/>
                <w:szCs w:val="20"/>
                <w:color w:val="0033FF"/>
                <w:w w:val="88"/>
              </w:rPr>
            </w:pPr>
            <w:hyperlink w:anchor="page5">
              <w:r>
                <w:rPr>
                  <w:rFonts w:ascii="Arial" w:cs="Arial" w:eastAsia="Arial" w:hAnsi="Arial"/>
                  <w:sz w:val="20"/>
                  <w:szCs w:val="20"/>
                  <w:color w:val="0033FF"/>
                  <w:w w:val="88"/>
                </w:rPr>
                <w:t>Condensed Consolidated Statements of Income and Comprehensive Income</w:t>
              </w:r>
            </w:hyperlink>
          </w:p>
        </w:tc>
        <w:tc>
          <w:tcPr>
            <w:tcW w:w="396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20"/>
                <w:szCs w:val="20"/>
                <w:color w:val="0000FF"/>
                <w:w w:val="71"/>
              </w:rPr>
            </w:pPr>
            <w:hyperlink w:anchor="page5">
              <w:r>
                <w:rPr>
                  <w:rFonts w:ascii="Arial" w:cs="Arial" w:eastAsia="Arial" w:hAnsi="Arial"/>
                  <w:sz w:val="20"/>
                  <w:szCs w:val="20"/>
                  <w:color w:val="0000FF"/>
                  <w:w w:val="71"/>
                </w:rPr>
                <w:t>4</w:t>
              </w:r>
            </w:hyperlink>
          </w:p>
        </w:tc>
      </w:tr>
      <w:tr>
        <w:trPr>
          <w:trHeight w:val="453"/>
        </w:trPr>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980" w:type="dxa"/>
            <w:vAlign w:val="bottom"/>
            <w:gridSpan w:val="20"/>
          </w:tcPr>
          <w:p>
            <w:pPr>
              <w:spacing w:after="0"/>
              <w:rPr>
                <w:rFonts w:ascii="Arial" w:cs="Arial" w:eastAsia="Arial" w:hAnsi="Arial"/>
                <w:sz w:val="20"/>
                <w:szCs w:val="20"/>
                <w:color w:val="0000FF"/>
              </w:rPr>
            </w:pPr>
            <w:hyperlink w:anchor="page6">
              <w:r>
                <w:rPr>
                  <w:rFonts w:ascii="Arial" w:cs="Arial" w:eastAsia="Arial" w:hAnsi="Arial"/>
                  <w:sz w:val="20"/>
                  <w:szCs w:val="20"/>
                  <w:color w:val="0000FF"/>
                </w:rPr>
                <w:t>Condensed Consolidated Balance Sheets</w:t>
              </w:r>
            </w:hyperlink>
          </w:p>
        </w:tc>
        <w:tc>
          <w:tcPr>
            <w:tcW w:w="200" w:type="dxa"/>
            <w:vAlign w:val="bottom"/>
            <w:gridSpan w:val="2"/>
          </w:tcPr>
          <w:p>
            <w:pPr>
              <w:jc w:val="right"/>
              <w:spacing w:after="0"/>
              <w:rPr>
                <w:rFonts w:ascii="Arial" w:cs="Arial" w:eastAsia="Arial" w:hAnsi="Arial"/>
                <w:sz w:val="20"/>
                <w:szCs w:val="20"/>
                <w:color w:val="0000FF"/>
              </w:rPr>
            </w:pPr>
            <w:hyperlink w:anchor="page6">
              <w:r>
                <w:rPr>
                  <w:rFonts w:ascii="Arial" w:cs="Arial" w:eastAsia="Arial" w:hAnsi="Arial"/>
                  <w:sz w:val="20"/>
                  <w:szCs w:val="20"/>
                  <w:color w:val="0000FF"/>
                </w:rPr>
                <w:t>5</w:t>
              </w:r>
            </w:hyperlink>
          </w:p>
        </w:tc>
      </w:tr>
      <w:tr>
        <w:trPr>
          <w:trHeight w:val="20"/>
        </w:trPr>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53"/>
        </w:trPr>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980" w:type="dxa"/>
            <w:vAlign w:val="bottom"/>
            <w:gridSpan w:val="20"/>
          </w:tcPr>
          <w:p>
            <w:pPr>
              <w:spacing w:after="0"/>
              <w:rPr>
                <w:rFonts w:ascii="Arial" w:cs="Arial" w:eastAsia="Arial" w:hAnsi="Arial"/>
                <w:sz w:val="20"/>
                <w:szCs w:val="20"/>
                <w:color w:val="0000FF"/>
              </w:rPr>
            </w:pPr>
            <w:hyperlink w:anchor="page8">
              <w:r>
                <w:rPr>
                  <w:rFonts w:ascii="Arial" w:cs="Arial" w:eastAsia="Arial" w:hAnsi="Arial"/>
                  <w:sz w:val="20"/>
                  <w:szCs w:val="20"/>
                  <w:color w:val="0000FF"/>
                </w:rPr>
                <w:t>Condensed Consolidated Statements of Cash Flows</w:t>
              </w:r>
            </w:hyperlink>
          </w:p>
        </w:tc>
        <w:tc>
          <w:tcPr>
            <w:tcW w:w="200" w:type="dxa"/>
            <w:vAlign w:val="bottom"/>
            <w:gridSpan w:val="2"/>
          </w:tcPr>
          <w:p>
            <w:pPr>
              <w:jc w:val="right"/>
              <w:spacing w:after="0"/>
              <w:rPr>
                <w:rFonts w:ascii="Arial" w:cs="Arial" w:eastAsia="Arial" w:hAnsi="Arial"/>
                <w:sz w:val="20"/>
                <w:szCs w:val="20"/>
                <w:color w:val="0000FF"/>
              </w:rPr>
            </w:pPr>
            <w:hyperlink w:anchor="page8">
              <w:r>
                <w:rPr>
                  <w:rFonts w:ascii="Arial" w:cs="Arial" w:eastAsia="Arial" w:hAnsi="Arial"/>
                  <w:sz w:val="20"/>
                  <w:szCs w:val="20"/>
                  <w:color w:val="0000FF"/>
                </w:rPr>
                <w:t>7</w:t>
              </w:r>
            </w:hyperlink>
          </w:p>
        </w:tc>
      </w:tr>
      <w:tr>
        <w:trPr>
          <w:trHeight w:val="20"/>
        </w:trPr>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53"/>
        </w:trPr>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980" w:type="dxa"/>
            <w:vAlign w:val="bottom"/>
            <w:gridSpan w:val="20"/>
          </w:tcPr>
          <w:p>
            <w:pPr>
              <w:spacing w:after="0"/>
              <w:rPr>
                <w:rFonts w:ascii="Arial" w:cs="Arial" w:eastAsia="Arial" w:hAnsi="Arial"/>
                <w:sz w:val="20"/>
                <w:szCs w:val="20"/>
                <w:color w:val="0000FF"/>
              </w:rPr>
            </w:pPr>
            <w:hyperlink w:anchor="page9">
              <w:r>
                <w:rPr>
                  <w:rFonts w:ascii="Arial" w:cs="Arial" w:eastAsia="Arial" w:hAnsi="Arial"/>
                  <w:sz w:val="20"/>
                  <w:szCs w:val="20"/>
                  <w:color w:val="0000FF"/>
                </w:rPr>
                <w:t>Notes to Condensed Consolidated Financial Statements</w:t>
              </w:r>
            </w:hyperlink>
          </w:p>
        </w:tc>
        <w:tc>
          <w:tcPr>
            <w:tcW w:w="200" w:type="dxa"/>
            <w:vAlign w:val="bottom"/>
            <w:gridSpan w:val="2"/>
          </w:tcPr>
          <w:p>
            <w:pPr>
              <w:jc w:val="right"/>
              <w:spacing w:after="0"/>
              <w:rPr>
                <w:rFonts w:ascii="Arial" w:cs="Arial" w:eastAsia="Arial" w:hAnsi="Arial"/>
                <w:sz w:val="20"/>
                <w:szCs w:val="20"/>
                <w:color w:val="0000FF"/>
              </w:rPr>
            </w:pPr>
            <w:hyperlink w:anchor="page9">
              <w:r>
                <w:rPr>
                  <w:rFonts w:ascii="Arial" w:cs="Arial" w:eastAsia="Arial" w:hAnsi="Arial"/>
                  <w:sz w:val="20"/>
                  <w:szCs w:val="20"/>
                  <w:color w:val="0000FF"/>
                </w:rPr>
                <w:t>8</w:t>
              </w:r>
            </w:hyperlink>
          </w:p>
        </w:tc>
      </w:tr>
      <w:tr>
        <w:trPr>
          <w:trHeight w:val="20"/>
        </w:trPr>
        <w:tc>
          <w:tcPr>
            <w:tcW w:w="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53"/>
        </w:trPr>
        <w:tc>
          <w:tcPr>
            <w:tcW w:w="4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20"/>
                <w:szCs w:val="20"/>
                <w:color w:val="auto"/>
              </w:rPr>
              <w:t>Item 2.</w:t>
            </w:r>
          </w:p>
        </w:tc>
        <w:tc>
          <w:tcPr>
            <w:tcW w:w="7100" w:type="dxa"/>
            <w:vAlign w:val="bottom"/>
            <w:tcBorders>
              <w:bottom w:val="single" w:sz="8" w:color="0000FF"/>
            </w:tcBorders>
            <w:gridSpan w:val="19"/>
          </w:tcPr>
          <w:p>
            <w:pPr>
              <w:spacing w:after="0"/>
              <w:rPr>
                <w:rFonts w:ascii="Arial" w:cs="Arial" w:eastAsia="Arial" w:hAnsi="Arial"/>
                <w:sz w:val="20"/>
                <w:szCs w:val="20"/>
                <w:color w:val="0000FF"/>
                <w:w w:val="89"/>
              </w:rPr>
            </w:pPr>
            <w:hyperlink w:anchor="page37">
              <w:r>
                <w:rPr>
                  <w:rFonts w:ascii="Arial" w:cs="Arial" w:eastAsia="Arial" w:hAnsi="Arial"/>
                  <w:sz w:val="20"/>
                  <w:szCs w:val="20"/>
                  <w:color w:val="0000FF"/>
                  <w:w w:val="89"/>
                </w:rPr>
                <w:t>Management’s Discussion and Analysis of Financial Condition and Results of Operations</w:t>
              </w:r>
            </w:hyperlink>
          </w:p>
        </w:tc>
        <w:tc>
          <w:tcPr>
            <w:tcW w:w="288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rFonts w:ascii="Arial" w:cs="Arial" w:eastAsia="Arial" w:hAnsi="Arial"/>
                <w:sz w:val="20"/>
                <w:szCs w:val="20"/>
                <w:color w:val="0000FF"/>
                <w:w w:val="80"/>
              </w:rPr>
            </w:pPr>
            <w:hyperlink w:anchor="page37">
              <w:r>
                <w:rPr>
                  <w:rFonts w:ascii="Arial" w:cs="Arial" w:eastAsia="Arial" w:hAnsi="Arial"/>
                  <w:sz w:val="20"/>
                  <w:szCs w:val="20"/>
                  <w:color w:val="0000FF"/>
                  <w:w w:val="80"/>
                </w:rPr>
                <w:t>36</w:t>
              </w:r>
            </w:hyperlink>
          </w:p>
        </w:tc>
      </w:tr>
      <w:tr>
        <w:trPr>
          <w:trHeight w:val="453"/>
        </w:trPr>
        <w:tc>
          <w:tcPr>
            <w:tcW w:w="4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20"/>
                <w:szCs w:val="20"/>
                <w:color w:val="auto"/>
              </w:rPr>
              <w:t>Item 3.</w:t>
            </w:r>
          </w:p>
        </w:tc>
        <w:tc>
          <w:tcPr>
            <w:tcW w:w="9980" w:type="dxa"/>
            <w:vAlign w:val="bottom"/>
            <w:gridSpan w:val="20"/>
          </w:tcPr>
          <w:p>
            <w:pPr>
              <w:spacing w:after="0"/>
              <w:rPr>
                <w:rFonts w:ascii="Arial" w:cs="Arial" w:eastAsia="Arial" w:hAnsi="Arial"/>
                <w:sz w:val="20"/>
                <w:szCs w:val="20"/>
                <w:color w:val="0000FF"/>
              </w:rPr>
            </w:pPr>
            <w:hyperlink w:anchor="page60">
              <w:r>
                <w:rPr>
                  <w:rFonts w:ascii="Arial" w:cs="Arial" w:eastAsia="Arial" w:hAnsi="Arial"/>
                  <w:sz w:val="20"/>
                  <w:szCs w:val="20"/>
                  <w:color w:val="0000FF"/>
                </w:rPr>
                <w:t>Quantitative and Qualitative Disclosures About Market Risk</w:t>
              </w:r>
            </w:hyperlink>
          </w:p>
        </w:tc>
        <w:tc>
          <w:tcPr>
            <w:tcW w:w="200" w:type="dxa"/>
            <w:vAlign w:val="bottom"/>
            <w:gridSpan w:val="2"/>
          </w:tcPr>
          <w:p>
            <w:pPr>
              <w:jc w:val="right"/>
              <w:spacing w:after="0"/>
              <w:rPr>
                <w:rFonts w:ascii="Arial" w:cs="Arial" w:eastAsia="Arial" w:hAnsi="Arial"/>
                <w:sz w:val="20"/>
                <w:szCs w:val="20"/>
                <w:color w:val="0000FF"/>
                <w:w w:val="80"/>
              </w:rPr>
            </w:pPr>
            <w:hyperlink w:anchor="page60">
              <w:r>
                <w:rPr>
                  <w:rFonts w:ascii="Arial" w:cs="Arial" w:eastAsia="Arial" w:hAnsi="Arial"/>
                  <w:sz w:val="20"/>
                  <w:szCs w:val="20"/>
                  <w:color w:val="0000FF"/>
                  <w:w w:val="80"/>
                </w:rPr>
                <w:t>58</w:t>
              </w:r>
            </w:hyperlink>
          </w:p>
        </w:tc>
      </w:tr>
      <w:tr>
        <w:trPr>
          <w:trHeight w:val="453"/>
        </w:trPr>
        <w:tc>
          <w:tcPr>
            <w:tcW w:w="4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20"/>
                <w:szCs w:val="20"/>
                <w:color w:val="auto"/>
              </w:rPr>
              <w:t>Item 4.</w:t>
            </w:r>
          </w:p>
        </w:tc>
        <w:tc>
          <w:tcPr>
            <w:tcW w:w="4780" w:type="dxa"/>
            <w:vAlign w:val="bottom"/>
            <w:tcBorders>
              <w:top w:val="single" w:sz="8" w:color="0000FF"/>
            </w:tcBorders>
            <w:gridSpan w:val="15"/>
          </w:tcPr>
          <w:p>
            <w:pPr>
              <w:spacing w:after="0"/>
              <w:rPr>
                <w:rFonts w:ascii="Arial" w:cs="Arial" w:eastAsia="Arial" w:hAnsi="Arial"/>
                <w:sz w:val="20"/>
                <w:szCs w:val="20"/>
                <w:color w:val="0000FF"/>
              </w:rPr>
            </w:pPr>
            <w:hyperlink w:anchor="page60">
              <w:r>
                <w:rPr>
                  <w:rFonts w:ascii="Arial" w:cs="Arial" w:eastAsia="Arial" w:hAnsi="Arial"/>
                  <w:sz w:val="20"/>
                  <w:szCs w:val="20"/>
                  <w:color w:val="0000FF"/>
                </w:rPr>
                <w:t>Controls and Procedures</w:t>
              </w:r>
            </w:hyperlink>
          </w:p>
        </w:tc>
        <w:tc>
          <w:tcPr>
            <w:tcW w:w="5200" w:type="dxa"/>
            <w:vAlign w:val="bottom"/>
            <w:gridSpan w:val="5"/>
          </w:tcPr>
          <w:p>
            <w:pPr>
              <w:spacing w:after="0"/>
              <w:rPr>
                <w:sz w:val="24"/>
                <w:szCs w:val="24"/>
                <w:color w:val="auto"/>
              </w:rPr>
            </w:pPr>
          </w:p>
        </w:tc>
        <w:tc>
          <w:tcPr>
            <w:tcW w:w="200" w:type="dxa"/>
            <w:vAlign w:val="bottom"/>
            <w:tcBorders>
              <w:top w:val="single" w:sz="8" w:color="0000FF"/>
            </w:tcBorders>
            <w:gridSpan w:val="2"/>
          </w:tcPr>
          <w:p>
            <w:pPr>
              <w:jc w:val="right"/>
              <w:spacing w:after="0"/>
              <w:rPr>
                <w:rFonts w:ascii="Arial" w:cs="Arial" w:eastAsia="Arial" w:hAnsi="Arial"/>
                <w:sz w:val="20"/>
                <w:szCs w:val="20"/>
                <w:color w:val="0000FF"/>
                <w:w w:val="80"/>
              </w:rPr>
            </w:pPr>
            <w:hyperlink w:anchor="page60">
              <w:r>
                <w:rPr>
                  <w:rFonts w:ascii="Arial" w:cs="Arial" w:eastAsia="Arial" w:hAnsi="Arial"/>
                  <w:sz w:val="20"/>
                  <w:szCs w:val="20"/>
                  <w:color w:val="0000FF"/>
                  <w:w w:val="80"/>
                </w:rPr>
                <w:t>58</w:t>
              </w:r>
            </w:hyperlink>
          </w:p>
        </w:tc>
      </w:tr>
      <w:tr>
        <w:trPr>
          <w:trHeight w:val="453"/>
        </w:trPr>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gridSpan w:val="11"/>
          </w:tcPr>
          <w:p>
            <w:pPr>
              <w:jc w:val="center"/>
              <w:ind w:right="3760"/>
              <w:spacing w:after="0"/>
              <w:rPr>
                <w:rFonts w:ascii="Arial" w:cs="Arial" w:eastAsia="Arial" w:hAnsi="Arial"/>
                <w:sz w:val="20"/>
                <w:szCs w:val="20"/>
                <w:b w:val="1"/>
                <w:bCs w:val="1"/>
                <w:color w:val="0000FF"/>
              </w:rPr>
            </w:pPr>
            <w:hyperlink w:anchor="page61">
              <w:r>
                <w:rPr>
                  <w:rFonts w:ascii="Arial" w:cs="Arial" w:eastAsia="Arial" w:hAnsi="Arial"/>
                  <w:sz w:val="20"/>
                  <w:szCs w:val="20"/>
                  <w:b w:val="1"/>
                  <w:bCs w:val="1"/>
                  <w:color w:val="0000FF"/>
                </w:rPr>
                <w:t>PART II — OTHER INFORMATION</w:t>
              </w:r>
            </w:hyperlink>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453"/>
        </w:trPr>
        <w:tc>
          <w:tcPr>
            <w:tcW w:w="4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20"/>
                <w:szCs w:val="20"/>
                <w:color w:val="auto"/>
              </w:rPr>
              <w:t>Item 1.</w:t>
            </w:r>
          </w:p>
        </w:tc>
        <w:tc>
          <w:tcPr>
            <w:tcW w:w="2980" w:type="dxa"/>
            <w:vAlign w:val="bottom"/>
            <w:gridSpan w:val="9"/>
          </w:tcPr>
          <w:p>
            <w:pPr>
              <w:spacing w:after="0"/>
              <w:rPr>
                <w:rFonts w:ascii="Arial" w:cs="Arial" w:eastAsia="Arial" w:hAnsi="Arial"/>
                <w:sz w:val="20"/>
                <w:szCs w:val="20"/>
                <w:color w:val="0000FF"/>
              </w:rPr>
            </w:pPr>
            <w:hyperlink w:anchor="page61">
              <w:r>
                <w:rPr>
                  <w:rFonts w:ascii="Arial" w:cs="Arial" w:eastAsia="Arial" w:hAnsi="Arial"/>
                  <w:sz w:val="20"/>
                  <w:szCs w:val="20"/>
                  <w:color w:val="0000FF"/>
                </w:rPr>
                <w:t>Legal Proceedings</w:t>
              </w:r>
            </w:hyperlink>
          </w:p>
        </w:tc>
        <w:tc>
          <w:tcPr>
            <w:tcW w:w="3240" w:type="dxa"/>
            <w:vAlign w:val="bottom"/>
            <w:tcBorders>
              <w:top w:val="single" w:sz="8" w:color="0000FF"/>
            </w:tcBorders>
            <w:gridSpan w:val="8"/>
          </w:tcPr>
          <w:p>
            <w:pPr>
              <w:spacing w:after="0"/>
              <w:rPr>
                <w:sz w:val="24"/>
                <w:szCs w:val="24"/>
                <w:color w:val="auto"/>
              </w:rPr>
            </w:pPr>
          </w:p>
        </w:tc>
        <w:tc>
          <w:tcPr>
            <w:tcW w:w="3760" w:type="dxa"/>
            <w:vAlign w:val="bottom"/>
            <w:gridSpan w:val="3"/>
          </w:tcPr>
          <w:p>
            <w:pPr>
              <w:spacing w:after="0"/>
              <w:rPr>
                <w:sz w:val="24"/>
                <w:szCs w:val="24"/>
                <w:color w:val="auto"/>
              </w:rPr>
            </w:pPr>
          </w:p>
        </w:tc>
        <w:tc>
          <w:tcPr>
            <w:tcW w:w="200" w:type="dxa"/>
            <w:vAlign w:val="bottom"/>
            <w:gridSpan w:val="2"/>
          </w:tcPr>
          <w:p>
            <w:pPr>
              <w:jc w:val="right"/>
              <w:spacing w:after="0"/>
              <w:rPr>
                <w:rFonts w:ascii="Arial" w:cs="Arial" w:eastAsia="Arial" w:hAnsi="Arial"/>
                <w:sz w:val="20"/>
                <w:szCs w:val="20"/>
                <w:color w:val="0000FF"/>
                <w:w w:val="80"/>
              </w:rPr>
            </w:pPr>
            <w:hyperlink w:anchor="page61">
              <w:r>
                <w:rPr>
                  <w:rFonts w:ascii="Arial" w:cs="Arial" w:eastAsia="Arial" w:hAnsi="Arial"/>
                  <w:sz w:val="20"/>
                  <w:szCs w:val="20"/>
                  <w:color w:val="0000FF"/>
                  <w:w w:val="80"/>
                </w:rPr>
                <w:t>59</w:t>
              </w:r>
            </w:hyperlink>
          </w:p>
        </w:tc>
      </w:tr>
      <w:tr>
        <w:trPr>
          <w:trHeight w:val="453"/>
        </w:trPr>
        <w:tc>
          <w:tcPr>
            <w:tcW w:w="4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20"/>
                <w:szCs w:val="20"/>
                <w:color w:val="auto"/>
              </w:rPr>
              <w:t>Item 1A.</w:t>
            </w:r>
          </w:p>
        </w:tc>
        <w:tc>
          <w:tcPr>
            <w:tcW w:w="1000" w:type="dxa"/>
            <w:vAlign w:val="bottom"/>
            <w:tcBorders>
              <w:top w:val="single" w:sz="8" w:color="0000FF"/>
              <w:bottom w:val="single" w:sz="8" w:color="0000FF"/>
            </w:tcBorders>
            <w:gridSpan w:val="3"/>
          </w:tcPr>
          <w:p>
            <w:pPr>
              <w:spacing w:after="0"/>
              <w:rPr>
                <w:rFonts w:ascii="Arial" w:cs="Arial" w:eastAsia="Arial" w:hAnsi="Arial"/>
                <w:sz w:val="20"/>
                <w:szCs w:val="20"/>
                <w:color w:val="0000FF"/>
                <w:w w:val="88"/>
              </w:rPr>
            </w:pPr>
            <w:hyperlink w:anchor="page61">
              <w:r>
                <w:rPr>
                  <w:rFonts w:ascii="Arial" w:cs="Arial" w:eastAsia="Arial" w:hAnsi="Arial"/>
                  <w:sz w:val="20"/>
                  <w:szCs w:val="20"/>
                  <w:color w:val="0000FF"/>
                  <w:w w:val="88"/>
                </w:rPr>
                <w:t>Risk Factors</w:t>
              </w:r>
            </w:hyperlink>
          </w:p>
        </w:tc>
        <w:tc>
          <w:tcPr>
            <w:tcW w:w="460" w:type="dxa"/>
            <w:vAlign w:val="bottom"/>
            <w:tcBorders>
              <w:top w:val="single" w:sz="8" w:color="0000FF"/>
            </w:tcBorders>
          </w:tcPr>
          <w:p>
            <w:pPr>
              <w:spacing w:after="0"/>
              <w:rPr>
                <w:sz w:val="24"/>
                <w:szCs w:val="24"/>
                <w:color w:val="auto"/>
              </w:rPr>
            </w:pPr>
          </w:p>
        </w:tc>
        <w:tc>
          <w:tcPr>
            <w:tcW w:w="8520" w:type="dxa"/>
            <w:vAlign w:val="bottom"/>
            <w:gridSpan w:val="16"/>
          </w:tcPr>
          <w:p>
            <w:pPr>
              <w:spacing w:after="0"/>
              <w:rPr>
                <w:sz w:val="24"/>
                <w:szCs w:val="24"/>
                <w:color w:val="auto"/>
              </w:rPr>
            </w:pPr>
          </w:p>
        </w:tc>
        <w:tc>
          <w:tcPr>
            <w:tcW w:w="200" w:type="dxa"/>
            <w:vAlign w:val="bottom"/>
            <w:tcBorders>
              <w:top w:val="single" w:sz="8" w:color="0000FF"/>
              <w:bottom w:val="single" w:sz="8" w:color="0000FF"/>
            </w:tcBorders>
            <w:gridSpan w:val="2"/>
          </w:tcPr>
          <w:p>
            <w:pPr>
              <w:jc w:val="right"/>
              <w:spacing w:after="0"/>
              <w:rPr>
                <w:rFonts w:ascii="Arial" w:cs="Arial" w:eastAsia="Arial" w:hAnsi="Arial"/>
                <w:sz w:val="20"/>
                <w:szCs w:val="20"/>
                <w:color w:val="0000FF"/>
                <w:w w:val="80"/>
              </w:rPr>
            </w:pPr>
            <w:hyperlink w:anchor="page61">
              <w:r>
                <w:rPr>
                  <w:rFonts w:ascii="Arial" w:cs="Arial" w:eastAsia="Arial" w:hAnsi="Arial"/>
                  <w:sz w:val="20"/>
                  <w:szCs w:val="20"/>
                  <w:color w:val="0000FF"/>
                  <w:w w:val="80"/>
                </w:rPr>
                <w:t>59</w:t>
              </w:r>
            </w:hyperlink>
          </w:p>
        </w:tc>
      </w:tr>
      <w:tr>
        <w:trPr>
          <w:trHeight w:val="453"/>
        </w:trPr>
        <w:tc>
          <w:tcPr>
            <w:tcW w:w="4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20"/>
                <w:szCs w:val="20"/>
                <w:color w:val="auto"/>
              </w:rPr>
              <w:t>Item 6.</w:t>
            </w:r>
          </w:p>
        </w:tc>
        <w:tc>
          <w:tcPr>
            <w:tcW w:w="9980" w:type="dxa"/>
            <w:vAlign w:val="bottom"/>
            <w:gridSpan w:val="20"/>
          </w:tcPr>
          <w:p>
            <w:pPr>
              <w:spacing w:after="0"/>
              <w:rPr>
                <w:rFonts w:ascii="Arial" w:cs="Arial" w:eastAsia="Arial" w:hAnsi="Arial"/>
                <w:sz w:val="20"/>
                <w:szCs w:val="20"/>
                <w:color w:val="0000FF"/>
              </w:rPr>
            </w:pPr>
            <w:hyperlink w:anchor="page61">
              <w:r>
                <w:rPr>
                  <w:rFonts w:ascii="Arial" w:cs="Arial" w:eastAsia="Arial" w:hAnsi="Arial"/>
                  <w:sz w:val="20"/>
                  <w:szCs w:val="20"/>
                  <w:color w:val="0000FF"/>
                </w:rPr>
                <w:t>Exhibits</w:t>
              </w:r>
            </w:hyperlink>
          </w:p>
        </w:tc>
        <w:tc>
          <w:tcPr>
            <w:tcW w:w="200" w:type="dxa"/>
            <w:vAlign w:val="bottom"/>
            <w:gridSpan w:val="2"/>
          </w:tcPr>
          <w:p>
            <w:pPr>
              <w:jc w:val="right"/>
              <w:spacing w:after="0"/>
              <w:rPr>
                <w:rFonts w:ascii="Arial" w:cs="Arial" w:eastAsia="Arial" w:hAnsi="Arial"/>
                <w:sz w:val="20"/>
                <w:szCs w:val="20"/>
                <w:color w:val="0000FF"/>
                <w:w w:val="80"/>
              </w:rPr>
            </w:pPr>
            <w:hyperlink w:anchor="page61">
              <w:r>
                <w:rPr>
                  <w:rFonts w:ascii="Arial" w:cs="Arial" w:eastAsia="Arial" w:hAnsi="Arial"/>
                  <w:sz w:val="20"/>
                  <w:szCs w:val="20"/>
                  <w:color w:val="0000FF"/>
                  <w:w w:val="80"/>
                </w:rPr>
                <w:t>59</w:t>
              </w:r>
            </w:hyperlink>
          </w:p>
        </w:tc>
      </w:tr>
      <w:tr>
        <w:trPr>
          <w:trHeight w:val="453"/>
        </w:trPr>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500" w:type="dxa"/>
            <w:vAlign w:val="bottom"/>
            <w:gridSpan w:val="9"/>
          </w:tcPr>
          <w:p>
            <w:pPr>
              <w:spacing w:after="0"/>
              <w:rPr>
                <w:rFonts w:ascii="Arial" w:cs="Arial" w:eastAsia="Arial" w:hAnsi="Arial"/>
                <w:sz w:val="20"/>
                <w:szCs w:val="20"/>
                <w:b w:val="1"/>
                <w:bCs w:val="1"/>
                <w:color w:val="0000FF"/>
              </w:rPr>
            </w:pPr>
            <w:hyperlink w:anchor="page62">
              <w:r>
                <w:rPr>
                  <w:rFonts w:ascii="Arial" w:cs="Arial" w:eastAsia="Arial" w:hAnsi="Arial"/>
                  <w:sz w:val="20"/>
                  <w:szCs w:val="20"/>
                  <w:b w:val="1"/>
                  <w:bCs w:val="1"/>
                  <w:color w:val="0000FF"/>
                </w:rPr>
                <w:t>SIGNATURE</w:t>
              </w:r>
            </w:hyperlink>
          </w:p>
        </w:tc>
        <w:tc>
          <w:tcPr>
            <w:tcW w:w="200" w:type="dxa"/>
            <w:vAlign w:val="bottom"/>
            <w:tcBorders>
              <w:top w:val="single" w:sz="8" w:color="0000FF"/>
            </w:tcBorders>
            <w:gridSpan w:val="2"/>
          </w:tcPr>
          <w:p>
            <w:pPr>
              <w:jc w:val="right"/>
              <w:spacing w:after="0"/>
              <w:rPr>
                <w:rFonts w:ascii="Arial" w:cs="Arial" w:eastAsia="Arial" w:hAnsi="Arial"/>
                <w:sz w:val="20"/>
                <w:szCs w:val="20"/>
                <w:color w:val="0000FF"/>
                <w:w w:val="80"/>
              </w:rPr>
            </w:pPr>
            <w:hyperlink w:anchor="page62">
              <w:r>
                <w:rPr>
                  <w:rFonts w:ascii="Arial" w:cs="Arial" w:eastAsia="Arial" w:hAnsi="Arial"/>
                  <w:sz w:val="20"/>
                  <w:szCs w:val="20"/>
                  <w:color w:val="0000FF"/>
                  <w:w w:val="80"/>
                </w:rPr>
                <w:t>60</w:t>
              </w:r>
            </w:hyperlink>
          </w:p>
        </w:tc>
      </w:tr>
      <w:tr>
        <w:trPr>
          <w:trHeight w:val="723"/>
        </w:trPr>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80" w:type="dxa"/>
            <w:vAlign w:val="bottom"/>
            <w:gridSpan w:val="11"/>
          </w:tcPr>
          <w:p>
            <w:pPr>
              <w:spacing w:after="0"/>
              <w:rPr>
                <w:sz w:val="24"/>
                <w:szCs w:val="24"/>
                <w:color w:val="auto"/>
              </w:rPr>
            </w:pPr>
          </w:p>
        </w:tc>
        <w:tc>
          <w:tcPr>
            <w:tcW w:w="1160" w:type="dxa"/>
            <w:vAlign w:val="bottom"/>
            <w:tcBorders>
              <w:top w:val="single" w:sz="8" w:color="0000FF"/>
            </w:tcBorders>
            <w:gridSpan w:val="3"/>
          </w:tcPr>
          <w:p>
            <w:pPr>
              <w:jc w:val="center"/>
              <w:ind w:left="803"/>
              <w:spacing w:after="0"/>
              <w:rPr>
                <w:sz w:val="20"/>
                <w:szCs w:val="20"/>
                <w:color w:val="auto"/>
              </w:rPr>
            </w:pPr>
            <w:r>
              <w:rPr>
                <w:rFonts w:ascii="Arial" w:cs="Arial" w:eastAsia="Arial" w:hAnsi="Arial"/>
                <w:sz w:val="18"/>
                <w:szCs w:val="18"/>
                <w:color w:val="auto"/>
                <w:w w:val="99"/>
              </w:rPr>
              <w:t>2</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bl>
    <w:p>
      <w:pPr>
        <w:sectPr>
          <w:pgSz w:w="11900" w:h="16838" w:orient="portrait"/>
          <w:cols w:equalWidth="0" w:num="1">
            <w:col w:w="11380"/>
          </w:cols>
          <w:pgMar w:left="240" w:top="99" w:right="279" w:bottom="1440" w:gutter="0" w:footer="0" w:header="0"/>
        </w:sectPr>
      </w:pPr>
    </w:p>
    <w:bookmarkStart w:id="3" w:name="page4"/>
    <w:bookmarkEnd w:id="3"/>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auto"/>
        </w:rPr>
        <w:t>DEFINITIONS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abbreviations and acronyms are used throughout this document:</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520" w:type="dxa"/>
            <w:vAlign w:val="bottom"/>
            <w:gridSpan w:val="2"/>
          </w:tcPr>
          <w:p>
            <w:pPr>
              <w:ind w:left="40"/>
              <w:spacing w:after="0"/>
              <w:rPr>
                <w:sz w:val="20"/>
                <w:szCs w:val="20"/>
                <w:color w:val="auto"/>
              </w:rPr>
            </w:pPr>
            <w:r>
              <w:rPr>
                <w:rFonts w:ascii="Arial" w:cs="Arial" w:eastAsia="Arial" w:hAnsi="Arial"/>
                <w:sz w:val="20"/>
                <w:szCs w:val="20"/>
                <w:b w:val="1"/>
                <w:bCs w:val="1"/>
                <w:color w:val="auto"/>
              </w:rPr>
              <w:t>Abbreviation or Acronym</w:t>
            </w:r>
          </w:p>
        </w:tc>
        <w:tc>
          <w:tcPr>
            <w:tcW w:w="8880" w:type="dxa"/>
            <w:vAlign w:val="bottom"/>
          </w:tcPr>
          <w:p>
            <w:pPr>
              <w:ind w:left="20"/>
              <w:spacing w:after="0"/>
              <w:rPr>
                <w:sz w:val="20"/>
                <w:szCs w:val="20"/>
                <w:color w:val="auto"/>
              </w:rPr>
            </w:pPr>
            <w:r>
              <w:rPr>
                <w:rFonts w:ascii="Arial" w:cs="Arial" w:eastAsia="Arial" w:hAnsi="Arial"/>
                <w:sz w:val="20"/>
                <w:szCs w:val="20"/>
                <w:color w:val="auto"/>
              </w:rPr>
              <w:t>Definition</w:t>
            </w:r>
          </w:p>
        </w:tc>
      </w:tr>
      <w:tr>
        <w:trPr>
          <w:trHeight w:val="23"/>
        </w:trPr>
        <w:tc>
          <w:tcPr>
            <w:tcW w:w="2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r>
      <w:tr>
        <w:trPr>
          <w:trHeight w:val="257"/>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b w:val="1"/>
                <w:bCs w:val="1"/>
                <w:color w:val="auto"/>
              </w:rPr>
              <w:t>AFDC</w:t>
            </w: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Allowance for funds used during construction</w:t>
            </w:r>
          </w:p>
        </w:tc>
      </w:tr>
      <w:tr>
        <w:trPr>
          <w:trHeight w:val="261"/>
        </w:trPr>
        <w:tc>
          <w:tcPr>
            <w:tcW w:w="2520" w:type="dxa"/>
            <w:vAlign w:val="bottom"/>
            <w:gridSpan w:val="2"/>
          </w:tcPr>
          <w:p>
            <w:pPr>
              <w:ind w:left="40"/>
              <w:spacing w:after="0"/>
              <w:rPr>
                <w:sz w:val="20"/>
                <w:szCs w:val="20"/>
                <w:color w:val="auto"/>
              </w:rPr>
            </w:pPr>
            <w:r>
              <w:rPr>
                <w:rFonts w:ascii="Arial" w:cs="Arial" w:eastAsia="Arial" w:hAnsi="Arial"/>
                <w:sz w:val="20"/>
                <w:szCs w:val="20"/>
                <w:b w:val="1"/>
                <w:bCs w:val="1"/>
                <w:color w:val="auto"/>
              </w:rPr>
              <w:t>AUT</w:t>
            </w:r>
          </w:p>
        </w:tc>
        <w:tc>
          <w:tcPr>
            <w:tcW w:w="8880" w:type="dxa"/>
            <w:vAlign w:val="bottom"/>
          </w:tcPr>
          <w:p>
            <w:pPr>
              <w:ind w:left="20"/>
              <w:spacing w:after="0"/>
              <w:rPr>
                <w:sz w:val="20"/>
                <w:szCs w:val="20"/>
                <w:color w:val="auto"/>
              </w:rPr>
            </w:pPr>
            <w:r>
              <w:rPr>
                <w:rFonts w:ascii="Arial" w:cs="Arial" w:eastAsia="Arial" w:hAnsi="Arial"/>
                <w:sz w:val="20"/>
                <w:szCs w:val="20"/>
                <w:color w:val="auto"/>
              </w:rPr>
              <w:t>Annual Power Cost Update Tariff</w:t>
            </w:r>
          </w:p>
        </w:tc>
      </w:tr>
      <w:tr>
        <w:trPr>
          <w:trHeight w:val="23"/>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64"/>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b w:val="1"/>
                <w:bCs w:val="1"/>
                <w:color w:val="auto"/>
              </w:rPr>
              <w:t>Boardman</w:t>
            </w: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Boardman coal-fired generating plant</w:t>
            </w:r>
          </w:p>
        </w:tc>
      </w:tr>
      <w:tr>
        <w:trPr>
          <w:trHeight w:val="261"/>
        </w:trPr>
        <w:tc>
          <w:tcPr>
            <w:tcW w:w="2520" w:type="dxa"/>
            <w:vAlign w:val="bottom"/>
            <w:gridSpan w:val="2"/>
          </w:tcPr>
          <w:p>
            <w:pPr>
              <w:ind w:left="40"/>
              <w:spacing w:after="0"/>
              <w:rPr>
                <w:sz w:val="20"/>
                <w:szCs w:val="20"/>
                <w:color w:val="auto"/>
              </w:rPr>
            </w:pPr>
            <w:r>
              <w:rPr>
                <w:rFonts w:ascii="Arial" w:cs="Arial" w:eastAsia="Arial" w:hAnsi="Arial"/>
                <w:sz w:val="20"/>
                <w:szCs w:val="20"/>
                <w:b w:val="1"/>
                <w:bCs w:val="1"/>
                <w:color w:val="auto"/>
              </w:rPr>
              <w:t>Carty</w:t>
            </w:r>
          </w:p>
        </w:tc>
        <w:tc>
          <w:tcPr>
            <w:tcW w:w="8880" w:type="dxa"/>
            <w:vAlign w:val="bottom"/>
          </w:tcPr>
          <w:p>
            <w:pPr>
              <w:ind w:left="20"/>
              <w:spacing w:after="0"/>
              <w:rPr>
                <w:sz w:val="20"/>
                <w:szCs w:val="20"/>
                <w:color w:val="auto"/>
              </w:rPr>
            </w:pPr>
            <w:r>
              <w:rPr>
                <w:rFonts w:ascii="Arial" w:cs="Arial" w:eastAsia="Arial" w:hAnsi="Arial"/>
                <w:sz w:val="20"/>
                <w:szCs w:val="20"/>
                <w:color w:val="auto"/>
              </w:rPr>
              <w:t>Carty natural gas-fired generating plant</w:t>
            </w:r>
          </w:p>
        </w:tc>
      </w:tr>
      <w:tr>
        <w:trPr>
          <w:trHeight w:val="23"/>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64"/>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b w:val="1"/>
                <w:bCs w:val="1"/>
                <w:color w:val="auto"/>
              </w:rPr>
              <w:t>Colstrip</w:t>
            </w: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Colstrip Units 3 and 4 coal-fired generating plant</w:t>
            </w:r>
          </w:p>
        </w:tc>
      </w:tr>
      <w:tr>
        <w:trPr>
          <w:trHeight w:val="261"/>
        </w:trPr>
        <w:tc>
          <w:tcPr>
            <w:tcW w:w="2520" w:type="dxa"/>
            <w:vAlign w:val="bottom"/>
            <w:gridSpan w:val="2"/>
          </w:tcPr>
          <w:p>
            <w:pPr>
              <w:ind w:left="40"/>
              <w:spacing w:after="0"/>
              <w:rPr>
                <w:sz w:val="20"/>
                <w:szCs w:val="20"/>
                <w:color w:val="auto"/>
              </w:rPr>
            </w:pPr>
            <w:r>
              <w:rPr>
                <w:rFonts w:ascii="Arial" w:cs="Arial" w:eastAsia="Arial" w:hAnsi="Arial"/>
                <w:sz w:val="20"/>
                <w:szCs w:val="20"/>
                <w:b w:val="1"/>
                <w:bCs w:val="1"/>
                <w:color w:val="auto"/>
              </w:rPr>
              <w:t>CWIP</w:t>
            </w:r>
          </w:p>
        </w:tc>
        <w:tc>
          <w:tcPr>
            <w:tcW w:w="8880" w:type="dxa"/>
            <w:vAlign w:val="bottom"/>
          </w:tcPr>
          <w:p>
            <w:pPr>
              <w:ind w:left="20"/>
              <w:spacing w:after="0"/>
              <w:rPr>
                <w:sz w:val="20"/>
                <w:szCs w:val="20"/>
                <w:color w:val="auto"/>
              </w:rPr>
            </w:pPr>
            <w:r>
              <w:rPr>
                <w:rFonts w:ascii="Arial" w:cs="Arial" w:eastAsia="Arial" w:hAnsi="Arial"/>
                <w:sz w:val="20"/>
                <w:szCs w:val="20"/>
                <w:color w:val="auto"/>
              </w:rPr>
              <w:t>Construction work-in-progress</w:t>
            </w:r>
          </w:p>
        </w:tc>
      </w:tr>
      <w:tr>
        <w:trPr>
          <w:trHeight w:val="23"/>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64"/>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b w:val="1"/>
                <w:bCs w:val="1"/>
                <w:color w:val="auto"/>
              </w:rPr>
              <w:t>EPA</w:t>
            </w: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United States Environmental Protection Agency</w:t>
            </w:r>
          </w:p>
        </w:tc>
      </w:tr>
      <w:tr>
        <w:trPr>
          <w:trHeight w:val="261"/>
        </w:trPr>
        <w:tc>
          <w:tcPr>
            <w:tcW w:w="2520" w:type="dxa"/>
            <w:vAlign w:val="bottom"/>
            <w:gridSpan w:val="2"/>
          </w:tcPr>
          <w:p>
            <w:pPr>
              <w:ind w:left="40"/>
              <w:spacing w:after="0"/>
              <w:rPr>
                <w:sz w:val="20"/>
                <w:szCs w:val="20"/>
                <w:color w:val="auto"/>
              </w:rPr>
            </w:pPr>
            <w:r>
              <w:rPr>
                <w:rFonts w:ascii="Arial" w:cs="Arial" w:eastAsia="Arial" w:hAnsi="Arial"/>
                <w:sz w:val="20"/>
                <w:szCs w:val="20"/>
                <w:b w:val="1"/>
                <w:bCs w:val="1"/>
                <w:color w:val="auto"/>
              </w:rPr>
              <w:t>FERC</w:t>
            </w:r>
          </w:p>
        </w:tc>
        <w:tc>
          <w:tcPr>
            <w:tcW w:w="8880" w:type="dxa"/>
            <w:vAlign w:val="bottom"/>
          </w:tcPr>
          <w:p>
            <w:pPr>
              <w:ind w:left="20"/>
              <w:spacing w:after="0"/>
              <w:rPr>
                <w:sz w:val="20"/>
                <w:szCs w:val="20"/>
                <w:color w:val="auto"/>
              </w:rPr>
            </w:pPr>
            <w:r>
              <w:rPr>
                <w:rFonts w:ascii="Arial" w:cs="Arial" w:eastAsia="Arial" w:hAnsi="Arial"/>
                <w:sz w:val="20"/>
                <w:szCs w:val="20"/>
                <w:color w:val="auto"/>
              </w:rPr>
              <w:t>Federal Energy Regulatory Commission</w:t>
            </w:r>
          </w:p>
        </w:tc>
      </w:tr>
      <w:tr>
        <w:trPr>
          <w:trHeight w:val="23"/>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64"/>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b w:val="1"/>
                <w:bCs w:val="1"/>
                <w:color w:val="auto"/>
              </w:rPr>
              <w:t>FMBs</w:t>
            </w: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First Mortgage Bonds</w:t>
            </w:r>
          </w:p>
        </w:tc>
      </w:tr>
      <w:tr>
        <w:trPr>
          <w:trHeight w:val="261"/>
        </w:trPr>
        <w:tc>
          <w:tcPr>
            <w:tcW w:w="2520" w:type="dxa"/>
            <w:vAlign w:val="bottom"/>
            <w:gridSpan w:val="2"/>
          </w:tcPr>
          <w:p>
            <w:pPr>
              <w:ind w:left="40"/>
              <w:spacing w:after="0"/>
              <w:rPr>
                <w:sz w:val="20"/>
                <w:szCs w:val="20"/>
                <w:color w:val="auto"/>
              </w:rPr>
            </w:pPr>
            <w:r>
              <w:rPr>
                <w:rFonts w:ascii="Arial" w:cs="Arial" w:eastAsia="Arial" w:hAnsi="Arial"/>
                <w:sz w:val="20"/>
                <w:szCs w:val="20"/>
                <w:b w:val="1"/>
                <w:bCs w:val="1"/>
                <w:color w:val="auto"/>
              </w:rPr>
              <w:t>GAAP</w:t>
            </w:r>
          </w:p>
        </w:tc>
        <w:tc>
          <w:tcPr>
            <w:tcW w:w="8880" w:type="dxa"/>
            <w:vAlign w:val="bottom"/>
          </w:tcPr>
          <w:p>
            <w:pPr>
              <w:ind w:left="20"/>
              <w:spacing w:after="0"/>
              <w:rPr>
                <w:sz w:val="20"/>
                <w:szCs w:val="20"/>
                <w:color w:val="auto"/>
              </w:rPr>
            </w:pPr>
            <w:r>
              <w:rPr>
                <w:rFonts w:ascii="Arial" w:cs="Arial" w:eastAsia="Arial" w:hAnsi="Arial"/>
                <w:sz w:val="20"/>
                <w:szCs w:val="20"/>
                <w:color w:val="auto"/>
              </w:rPr>
              <w:t>Accounting principles generally accepted in the United States of America</w:t>
            </w:r>
          </w:p>
        </w:tc>
      </w:tr>
      <w:tr>
        <w:trPr>
          <w:trHeight w:val="23"/>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64"/>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b w:val="1"/>
                <w:bCs w:val="1"/>
                <w:color w:val="auto"/>
              </w:rPr>
              <w:t>GRC</w:t>
            </w: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General Rate Case</w:t>
            </w:r>
          </w:p>
        </w:tc>
      </w:tr>
      <w:tr>
        <w:trPr>
          <w:trHeight w:val="261"/>
        </w:trPr>
        <w:tc>
          <w:tcPr>
            <w:tcW w:w="2520" w:type="dxa"/>
            <w:vAlign w:val="bottom"/>
            <w:gridSpan w:val="2"/>
          </w:tcPr>
          <w:p>
            <w:pPr>
              <w:ind w:left="40"/>
              <w:spacing w:after="0"/>
              <w:rPr>
                <w:sz w:val="20"/>
                <w:szCs w:val="20"/>
                <w:color w:val="auto"/>
              </w:rPr>
            </w:pPr>
            <w:r>
              <w:rPr>
                <w:rFonts w:ascii="Arial" w:cs="Arial" w:eastAsia="Arial" w:hAnsi="Arial"/>
                <w:sz w:val="20"/>
                <w:szCs w:val="20"/>
                <w:b w:val="1"/>
                <w:bCs w:val="1"/>
                <w:color w:val="auto"/>
              </w:rPr>
              <w:t>IRP</w:t>
            </w:r>
          </w:p>
        </w:tc>
        <w:tc>
          <w:tcPr>
            <w:tcW w:w="8880" w:type="dxa"/>
            <w:vAlign w:val="bottom"/>
          </w:tcPr>
          <w:p>
            <w:pPr>
              <w:ind w:left="20"/>
              <w:spacing w:after="0"/>
              <w:rPr>
                <w:sz w:val="20"/>
                <w:szCs w:val="20"/>
                <w:color w:val="auto"/>
              </w:rPr>
            </w:pPr>
            <w:r>
              <w:rPr>
                <w:rFonts w:ascii="Arial" w:cs="Arial" w:eastAsia="Arial" w:hAnsi="Arial"/>
                <w:sz w:val="20"/>
                <w:szCs w:val="20"/>
                <w:color w:val="auto"/>
              </w:rPr>
              <w:t>Integrated Resource Plan</w:t>
            </w:r>
          </w:p>
        </w:tc>
      </w:tr>
      <w:tr>
        <w:trPr>
          <w:trHeight w:val="23"/>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64"/>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b w:val="1"/>
                <w:bCs w:val="1"/>
                <w:color w:val="auto"/>
              </w:rPr>
              <w:t>Moody’s</w:t>
            </w: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Moody’s Investors Service</w:t>
            </w:r>
          </w:p>
        </w:tc>
      </w:tr>
      <w:tr>
        <w:trPr>
          <w:trHeight w:val="261"/>
        </w:trPr>
        <w:tc>
          <w:tcPr>
            <w:tcW w:w="2520" w:type="dxa"/>
            <w:vAlign w:val="bottom"/>
            <w:gridSpan w:val="2"/>
          </w:tcPr>
          <w:p>
            <w:pPr>
              <w:ind w:left="40"/>
              <w:spacing w:after="0"/>
              <w:rPr>
                <w:sz w:val="20"/>
                <w:szCs w:val="20"/>
                <w:color w:val="auto"/>
              </w:rPr>
            </w:pPr>
            <w:r>
              <w:rPr>
                <w:rFonts w:ascii="Arial" w:cs="Arial" w:eastAsia="Arial" w:hAnsi="Arial"/>
                <w:sz w:val="20"/>
                <w:szCs w:val="20"/>
                <w:b w:val="1"/>
                <w:bCs w:val="1"/>
                <w:color w:val="auto"/>
              </w:rPr>
              <w:t>MW</w:t>
            </w:r>
          </w:p>
        </w:tc>
        <w:tc>
          <w:tcPr>
            <w:tcW w:w="8880" w:type="dxa"/>
            <w:vAlign w:val="bottom"/>
          </w:tcPr>
          <w:p>
            <w:pPr>
              <w:ind w:left="20"/>
              <w:spacing w:after="0"/>
              <w:rPr>
                <w:sz w:val="20"/>
                <w:szCs w:val="20"/>
                <w:color w:val="auto"/>
              </w:rPr>
            </w:pPr>
            <w:r>
              <w:rPr>
                <w:rFonts w:ascii="Arial" w:cs="Arial" w:eastAsia="Arial" w:hAnsi="Arial"/>
                <w:sz w:val="20"/>
                <w:szCs w:val="20"/>
                <w:color w:val="auto"/>
              </w:rPr>
              <w:t>Megawatts</w:t>
            </w:r>
          </w:p>
        </w:tc>
      </w:tr>
      <w:tr>
        <w:trPr>
          <w:trHeight w:val="23"/>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64"/>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b w:val="1"/>
                <w:bCs w:val="1"/>
                <w:color w:val="auto"/>
              </w:rPr>
              <w:t>MWa</w:t>
            </w: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Average megawatts</w:t>
            </w:r>
          </w:p>
        </w:tc>
      </w:tr>
      <w:tr>
        <w:trPr>
          <w:trHeight w:val="261"/>
        </w:trPr>
        <w:tc>
          <w:tcPr>
            <w:tcW w:w="2520" w:type="dxa"/>
            <w:vAlign w:val="bottom"/>
            <w:gridSpan w:val="2"/>
          </w:tcPr>
          <w:p>
            <w:pPr>
              <w:ind w:left="40"/>
              <w:spacing w:after="0"/>
              <w:rPr>
                <w:sz w:val="20"/>
                <w:szCs w:val="20"/>
                <w:color w:val="auto"/>
              </w:rPr>
            </w:pPr>
            <w:r>
              <w:rPr>
                <w:rFonts w:ascii="Arial" w:cs="Arial" w:eastAsia="Arial" w:hAnsi="Arial"/>
                <w:sz w:val="20"/>
                <w:szCs w:val="20"/>
                <w:b w:val="1"/>
                <w:bCs w:val="1"/>
                <w:color w:val="auto"/>
              </w:rPr>
              <w:t>MWh</w:t>
            </w:r>
          </w:p>
        </w:tc>
        <w:tc>
          <w:tcPr>
            <w:tcW w:w="8880" w:type="dxa"/>
            <w:vAlign w:val="bottom"/>
          </w:tcPr>
          <w:p>
            <w:pPr>
              <w:ind w:left="20"/>
              <w:spacing w:after="0"/>
              <w:rPr>
                <w:sz w:val="20"/>
                <w:szCs w:val="20"/>
                <w:color w:val="auto"/>
              </w:rPr>
            </w:pPr>
            <w:r>
              <w:rPr>
                <w:rFonts w:ascii="Arial" w:cs="Arial" w:eastAsia="Arial" w:hAnsi="Arial"/>
                <w:sz w:val="20"/>
                <w:szCs w:val="20"/>
                <w:color w:val="auto"/>
              </w:rPr>
              <w:t>Megawatt hours</w:t>
            </w:r>
          </w:p>
        </w:tc>
      </w:tr>
      <w:tr>
        <w:trPr>
          <w:trHeight w:val="23"/>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64"/>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b w:val="1"/>
                <w:bCs w:val="1"/>
                <w:color w:val="auto"/>
              </w:rPr>
              <w:t>NASDAQ</w:t>
            </w: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National Association of Securities Dealers Automated Quotations</w:t>
            </w:r>
          </w:p>
        </w:tc>
      </w:tr>
      <w:tr>
        <w:trPr>
          <w:trHeight w:val="261"/>
        </w:trPr>
        <w:tc>
          <w:tcPr>
            <w:tcW w:w="2520" w:type="dxa"/>
            <w:vAlign w:val="bottom"/>
            <w:gridSpan w:val="2"/>
          </w:tcPr>
          <w:p>
            <w:pPr>
              <w:ind w:left="40"/>
              <w:spacing w:after="0"/>
              <w:rPr>
                <w:sz w:val="20"/>
                <w:szCs w:val="20"/>
                <w:color w:val="auto"/>
              </w:rPr>
            </w:pPr>
            <w:r>
              <w:rPr>
                <w:rFonts w:ascii="Arial" w:cs="Arial" w:eastAsia="Arial" w:hAnsi="Arial"/>
                <w:sz w:val="20"/>
                <w:szCs w:val="20"/>
                <w:b w:val="1"/>
                <w:bCs w:val="1"/>
                <w:color w:val="auto"/>
              </w:rPr>
              <w:t>NVPC</w:t>
            </w:r>
          </w:p>
        </w:tc>
        <w:tc>
          <w:tcPr>
            <w:tcW w:w="8880" w:type="dxa"/>
            <w:vAlign w:val="bottom"/>
          </w:tcPr>
          <w:p>
            <w:pPr>
              <w:ind w:left="20"/>
              <w:spacing w:after="0"/>
              <w:rPr>
                <w:sz w:val="20"/>
                <w:szCs w:val="20"/>
                <w:color w:val="auto"/>
              </w:rPr>
            </w:pPr>
            <w:r>
              <w:rPr>
                <w:rFonts w:ascii="Arial" w:cs="Arial" w:eastAsia="Arial" w:hAnsi="Arial"/>
                <w:sz w:val="20"/>
                <w:szCs w:val="20"/>
                <w:color w:val="auto"/>
              </w:rPr>
              <w:t>Net Variable Power Costs</w:t>
            </w:r>
          </w:p>
        </w:tc>
      </w:tr>
      <w:tr>
        <w:trPr>
          <w:trHeight w:val="23"/>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64"/>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b w:val="1"/>
                <w:bCs w:val="1"/>
                <w:color w:val="auto"/>
              </w:rPr>
              <w:t>NYSE</w:t>
            </w: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New York Stock Exchange</w:t>
            </w:r>
          </w:p>
        </w:tc>
      </w:tr>
      <w:tr>
        <w:trPr>
          <w:trHeight w:val="261"/>
        </w:trPr>
        <w:tc>
          <w:tcPr>
            <w:tcW w:w="2520" w:type="dxa"/>
            <w:vAlign w:val="bottom"/>
            <w:gridSpan w:val="2"/>
          </w:tcPr>
          <w:p>
            <w:pPr>
              <w:ind w:left="40"/>
              <w:spacing w:after="0"/>
              <w:rPr>
                <w:sz w:val="20"/>
                <w:szCs w:val="20"/>
                <w:color w:val="auto"/>
              </w:rPr>
            </w:pPr>
            <w:r>
              <w:rPr>
                <w:rFonts w:ascii="Arial" w:cs="Arial" w:eastAsia="Arial" w:hAnsi="Arial"/>
                <w:sz w:val="20"/>
                <w:szCs w:val="20"/>
                <w:b w:val="1"/>
                <w:bCs w:val="1"/>
                <w:color w:val="auto"/>
              </w:rPr>
              <w:t>OPUC</w:t>
            </w:r>
          </w:p>
        </w:tc>
        <w:tc>
          <w:tcPr>
            <w:tcW w:w="8880" w:type="dxa"/>
            <w:vAlign w:val="bottom"/>
          </w:tcPr>
          <w:p>
            <w:pPr>
              <w:ind w:left="20"/>
              <w:spacing w:after="0"/>
              <w:rPr>
                <w:sz w:val="20"/>
                <w:szCs w:val="20"/>
                <w:color w:val="auto"/>
              </w:rPr>
            </w:pPr>
            <w:r>
              <w:rPr>
                <w:rFonts w:ascii="Arial" w:cs="Arial" w:eastAsia="Arial" w:hAnsi="Arial"/>
                <w:sz w:val="20"/>
                <w:szCs w:val="20"/>
                <w:color w:val="auto"/>
              </w:rPr>
              <w:t>Public Utility Commission of Oregon</w:t>
            </w:r>
          </w:p>
        </w:tc>
      </w:tr>
      <w:tr>
        <w:trPr>
          <w:trHeight w:val="23"/>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64"/>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b w:val="1"/>
                <w:bCs w:val="1"/>
                <w:color w:val="auto"/>
              </w:rPr>
              <w:t>PCAM</w:t>
            </w: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Power Cost Adjustment Mechanism</w:t>
            </w:r>
          </w:p>
        </w:tc>
      </w:tr>
      <w:tr>
        <w:trPr>
          <w:trHeight w:val="261"/>
        </w:trPr>
        <w:tc>
          <w:tcPr>
            <w:tcW w:w="2520" w:type="dxa"/>
            <w:vAlign w:val="bottom"/>
            <w:gridSpan w:val="2"/>
          </w:tcPr>
          <w:p>
            <w:pPr>
              <w:ind w:left="40"/>
              <w:spacing w:after="0"/>
              <w:rPr>
                <w:sz w:val="20"/>
                <w:szCs w:val="20"/>
                <w:color w:val="auto"/>
              </w:rPr>
            </w:pPr>
            <w:r>
              <w:rPr>
                <w:rFonts w:ascii="Arial" w:cs="Arial" w:eastAsia="Arial" w:hAnsi="Arial"/>
                <w:sz w:val="20"/>
                <w:szCs w:val="20"/>
                <w:b w:val="1"/>
                <w:bCs w:val="1"/>
                <w:color w:val="auto"/>
              </w:rPr>
              <w:t>RPS</w:t>
            </w:r>
          </w:p>
        </w:tc>
        <w:tc>
          <w:tcPr>
            <w:tcW w:w="8880" w:type="dxa"/>
            <w:vAlign w:val="bottom"/>
          </w:tcPr>
          <w:p>
            <w:pPr>
              <w:ind w:left="20"/>
              <w:spacing w:after="0"/>
              <w:rPr>
                <w:sz w:val="20"/>
                <w:szCs w:val="20"/>
                <w:color w:val="auto"/>
              </w:rPr>
            </w:pPr>
            <w:r>
              <w:rPr>
                <w:rFonts w:ascii="Arial" w:cs="Arial" w:eastAsia="Arial" w:hAnsi="Arial"/>
                <w:sz w:val="20"/>
                <w:szCs w:val="20"/>
                <w:color w:val="auto"/>
              </w:rPr>
              <w:t>Renewable Portfolio Standard</w:t>
            </w:r>
          </w:p>
        </w:tc>
      </w:tr>
      <w:tr>
        <w:trPr>
          <w:trHeight w:val="23"/>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64"/>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b w:val="1"/>
                <w:bCs w:val="1"/>
                <w:color w:val="auto"/>
              </w:rPr>
              <w:t>S&amp;P</w:t>
            </w: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S&amp;P Global Ratings</w:t>
            </w:r>
          </w:p>
        </w:tc>
      </w:tr>
      <w:tr>
        <w:trPr>
          <w:trHeight w:val="261"/>
        </w:trPr>
        <w:tc>
          <w:tcPr>
            <w:tcW w:w="2520" w:type="dxa"/>
            <w:vAlign w:val="bottom"/>
            <w:gridSpan w:val="2"/>
          </w:tcPr>
          <w:p>
            <w:pPr>
              <w:ind w:left="40"/>
              <w:spacing w:after="0"/>
              <w:rPr>
                <w:sz w:val="20"/>
                <w:szCs w:val="20"/>
                <w:color w:val="auto"/>
              </w:rPr>
            </w:pPr>
            <w:r>
              <w:rPr>
                <w:rFonts w:ascii="Arial" w:cs="Arial" w:eastAsia="Arial" w:hAnsi="Arial"/>
                <w:sz w:val="20"/>
                <w:szCs w:val="20"/>
                <w:b w:val="1"/>
                <w:bCs w:val="1"/>
                <w:color w:val="auto"/>
              </w:rPr>
              <w:t>SEC</w:t>
            </w:r>
          </w:p>
        </w:tc>
        <w:tc>
          <w:tcPr>
            <w:tcW w:w="8880" w:type="dxa"/>
            <w:vAlign w:val="bottom"/>
          </w:tcPr>
          <w:p>
            <w:pPr>
              <w:ind w:left="20"/>
              <w:spacing w:after="0"/>
              <w:rPr>
                <w:sz w:val="20"/>
                <w:szCs w:val="20"/>
                <w:color w:val="auto"/>
              </w:rPr>
            </w:pPr>
            <w:r>
              <w:rPr>
                <w:rFonts w:ascii="Arial" w:cs="Arial" w:eastAsia="Arial" w:hAnsi="Arial"/>
                <w:sz w:val="20"/>
                <w:szCs w:val="20"/>
                <w:color w:val="auto"/>
              </w:rPr>
              <w:t>United States Securities and Exchange Commission</w:t>
            </w:r>
          </w:p>
        </w:tc>
      </w:tr>
      <w:tr>
        <w:trPr>
          <w:trHeight w:val="23"/>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64"/>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b w:val="1"/>
                <w:bCs w:val="1"/>
                <w:color w:val="auto"/>
              </w:rPr>
              <w:t>TCJA</w:t>
            </w: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United States Tax Cuts and Jobs Act of 2017</w:t>
            </w:r>
          </w:p>
        </w:tc>
      </w:tr>
      <w:tr>
        <w:trPr>
          <w:trHeight w:val="261"/>
        </w:trPr>
        <w:tc>
          <w:tcPr>
            <w:tcW w:w="2520" w:type="dxa"/>
            <w:vAlign w:val="bottom"/>
            <w:gridSpan w:val="2"/>
          </w:tcPr>
          <w:p>
            <w:pPr>
              <w:ind w:left="40"/>
              <w:spacing w:after="0"/>
              <w:rPr>
                <w:sz w:val="20"/>
                <w:szCs w:val="20"/>
                <w:color w:val="auto"/>
              </w:rPr>
            </w:pPr>
            <w:r>
              <w:rPr>
                <w:rFonts w:ascii="Arial" w:cs="Arial" w:eastAsia="Arial" w:hAnsi="Arial"/>
                <w:sz w:val="20"/>
                <w:szCs w:val="20"/>
                <w:b w:val="1"/>
                <w:bCs w:val="1"/>
                <w:color w:val="auto"/>
              </w:rPr>
              <w:t>Trojan</w:t>
            </w:r>
          </w:p>
        </w:tc>
        <w:tc>
          <w:tcPr>
            <w:tcW w:w="8880" w:type="dxa"/>
            <w:vAlign w:val="bottom"/>
          </w:tcPr>
          <w:p>
            <w:pPr>
              <w:ind w:left="20"/>
              <w:spacing w:after="0"/>
              <w:rPr>
                <w:sz w:val="20"/>
                <w:szCs w:val="20"/>
                <w:color w:val="auto"/>
              </w:rPr>
            </w:pPr>
            <w:r>
              <w:rPr>
                <w:rFonts w:ascii="Arial" w:cs="Arial" w:eastAsia="Arial" w:hAnsi="Arial"/>
                <w:sz w:val="20"/>
                <w:szCs w:val="20"/>
                <w:color w:val="auto"/>
              </w:rPr>
              <w:t>Trojan nuclear power plant</w:t>
            </w:r>
          </w:p>
        </w:tc>
      </w:tr>
      <w:tr>
        <w:trPr>
          <w:trHeight w:val="698"/>
        </w:trPr>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80" w:type="dxa"/>
            <w:vAlign w:val="bottom"/>
          </w:tcPr>
          <w:p>
            <w:pPr>
              <w:ind w:left="314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00"/>
          </w:cols>
          <w:pgMar w:left="240" w:top="122" w:right="25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gridSpan w:val="3"/>
          </w:tcPr>
          <w:p>
            <w:pPr>
              <w:spacing w:after="0"/>
              <w:rPr>
                <w:rFonts w:ascii="Arial" w:cs="Arial" w:eastAsia="Arial" w:hAnsi="Arial"/>
                <w:sz w:val="20"/>
                <w:szCs w:val="20"/>
                <w:color w:val="0000EE"/>
              </w:rPr>
            </w:pPr>
            <w:hyperlink w:anchor="page3">
              <w:r>
                <w:rPr>
                  <w:rFonts w:ascii="Arial" w:cs="Arial" w:eastAsia="Arial" w:hAnsi="Arial"/>
                  <w:sz w:val="20"/>
                  <w:szCs w:val="20"/>
                  <w:color w:val="0000EE"/>
                </w:rPr>
                <w:t>Table of Contents</w:t>
              </w:r>
            </w:hyperlink>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754"/>
        </w:trPr>
        <w:tc>
          <w:tcPr>
            <w:tcW w:w="10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380" w:type="dxa"/>
            <w:vAlign w:val="bottom"/>
            <w:gridSpan w:val="7"/>
          </w:tcPr>
          <w:p>
            <w:pPr>
              <w:jc w:val="center"/>
              <w:ind w:left="2121"/>
              <w:spacing w:after="0"/>
              <w:rPr>
                <w:sz w:val="20"/>
                <w:szCs w:val="20"/>
                <w:color w:val="auto"/>
              </w:rPr>
            </w:pPr>
            <w:r>
              <w:rPr>
                <w:rFonts w:ascii="Arial" w:cs="Arial" w:eastAsia="Arial" w:hAnsi="Arial"/>
                <w:sz w:val="20"/>
                <w:szCs w:val="20"/>
                <w:b w:val="1"/>
                <w:bCs w:val="1"/>
                <w:color w:val="auto"/>
              </w:rPr>
              <w:t xml:space="preserve">PART I </w:t>
            </w:r>
            <w:r>
              <w:rPr>
                <w:rFonts w:ascii="Arial" w:cs="Arial" w:eastAsia="Arial" w:hAnsi="Arial"/>
                <w:sz w:val="18"/>
                <w:szCs w:val="18"/>
                <w:b w:val="1"/>
                <w:bCs w:val="1"/>
                <w:color w:val="auto"/>
              </w:rPr>
              <w:t>—</w:t>
            </w:r>
            <w:r>
              <w:rPr>
                <w:rFonts w:ascii="Arial" w:cs="Arial" w:eastAsia="Arial" w:hAnsi="Arial"/>
                <w:sz w:val="20"/>
                <w:szCs w:val="20"/>
                <w:b w:val="1"/>
                <w:bCs w:val="1"/>
                <w:color w:val="auto"/>
              </w:rPr>
              <w:t xml:space="preserve"> FINANCIAL INFORMATION</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21"/>
        </w:trPr>
        <w:tc>
          <w:tcPr>
            <w:tcW w:w="1000" w:type="dxa"/>
            <w:vAlign w:val="bottom"/>
          </w:tcPr>
          <w:p>
            <w:pPr>
              <w:ind w:left="40"/>
              <w:spacing w:after="0"/>
              <w:rPr>
                <w:sz w:val="20"/>
                <w:szCs w:val="20"/>
                <w:color w:val="auto"/>
              </w:rPr>
            </w:pPr>
            <w:r>
              <w:rPr>
                <w:rFonts w:ascii="Arial" w:cs="Arial" w:eastAsia="Arial" w:hAnsi="Arial"/>
                <w:sz w:val="20"/>
                <w:szCs w:val="20"/>
                <w:b w:val="1"/>
                <w:bCs w:val="1"/>
                <w:color w:val="auto"/>
              </w:rPr>
              <w:t>Item 1.</w:t>
            </w:r>
          </w:p>
        </w:tc>
        <w:tc>
          <w:tcPr>
            <w:tcW w:w="4100" w:type="dxa"/>
            <w:vAlign w:val="bottom"/>
            <w:gridSpan w:val="2"/>
          </w:tcPr>
          <w:p>
            <w:pPr>
              <w:ind w:left="120"/>
              <w:spacing w:after="0"/>
              <w:rPr>
                <w:sz w:val="20"/>
                <w:szCs w:val="20"/>
                <w:color w:val="auto"/>
              </w:rPr>
            </w:pPr>
            <w:r>
              <w:rPr>
                <w:rFonts w:ascii="Arial" w:cs="Arial" w:eastAsia="Arial" w:hAnsi="Arial"/>
                <w:sz w:val="20"/>
                <w:szCs w:val="20"/>
                <w:b w:val="1"/>
                <w:bCs w:val="1"/>
                <w:color w:val="auto"/>
              </w:rPr>
              <w:t>Financial Statements.</w:t>
            </w: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59"/>
        </w:trPr>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80" w:type="dxa"/>
            <w:vAlign w:val="bottom"/>
            <w:gridSpan w:val="9"/>
          </w:tcPr>
          <w:p>
            <w:pPr>
              <w:jc w:val="center"/>
              <w:ind w:left="1001"/>
              <w:spacing w:after="0"/>
              <w:rPr>
                <w:sz w:val="20"/>
                <w:szCs w:val="20"/>
                <w:color w:val="auto"/>
              </w:rPr>
            </w:pPr>
            <w:r>
              <w:rPr>
                <w:rFonts w:ascii="Arial" w:cs="Arial" w:eastAsia="Arial" w:hAnsi="Arial"/>
                <w:sz w:val="20"/>
                <w:szCs w:val="20"/>
                <w:b w:val="1"/>
                <w:bCs w:val="1"/>
                <w:color w:val="auto"/>
                <w:w w:val="99"/>
              </w:rPr>
              <w:t>PORTLAND GENERAL ELECTRIC COMPANY AND SUBSIDIARIES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0"/>
        </w:trPr>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80" w:type="dxa"/>
            <w:vAlign w:val="bottom"/>
            <w:gridSpan w:val="9"/>
          </w:tcPr>
          <w:p>
            <w:pPr>
              <w:jc w:val="center"/>
              <w:ind w:left="1001"/>
              <w:spacing w:after="0"/>
              <w:rPr>
                <w:sz w:val="20"/>
                <w:szCs w:val="20"/>
                <w:color w:val="auto"/>
              </w:rPr>
            </w:pPr>
            <w:r>
              <w:rPr>
                <w:rFonts w:ascii="Arial" w:cs="Arial" w:eastAsia="Arial" w:hAnsi="Arial"/>
                <w:sz w:val="20"/>
                <w:szCs w:val="20"/>
                <w:b w:val="1"/>
                <w:bCs w:val="1"/>
                <w:color w:val="auto"/>
                <w:w w:val="98"/>
              </w:rPr>
              <w:t>CONDENSED CONSOLIDATED STATEMENTS OF INCOME</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6"/>
        </w:trPr>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80" w:type="dxa"/>
            <w:vAlign w:val="bottom"/>
            <w:gridSpan w:val="4"/>
          </w:tcPr>
          <w:p>
            <w:pPr>
              <w:jc w:val="center"/>
              <w:ind w:left="2601"/>
              <w:spacing w:after="0"/>
              <w:rPr>
                <w:sz w:val="20"/>
                <w:szCs w:val="20"/>
                <w:color w:val="auto"/>
              </w:rPr>
            </w:pPr>
            <w:r>
              <w:rPr>
                <w:rFonts w:ascii="Arial" w:cs="Arial" w:eastAsia="Arial" w:hAnsi="Arial"/>
                <w:sz w:val="20"/>
                <w:szCs w:val="20"/>
                <w:b w:val="1"/>
                <w:bCs w:val="1"/>
                <w:color w:val="auto"/>
              </w:rPr>
              <w:t>AND COMPREHENSIVE INCOME</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0"/>
        </w:trPr>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380" w:type="dxa"/>
            <w:vAlign w:val="bottom"/>
            <w:gridSpan w:val="7"/>
          </w:tcPr>
          <w:p>
            <w:pPr>
              <w:jc w:val="center"/>
              <w:ind w:left="2121"/>
              <w:spacing w:after="0"/>
              <w:rPr>
                <w:sz w:val="20"/>
                <w:szCs w:val="20"/>
                <w:color w:val="auto"/>
              </w:rPr>
            </w:pPr>
            <w:r>
              <w:rPr>
                <w:rFonts w:ascii="Arial" w:cs="Arial" w:eastAsia="Arial" w:hAnsi="Arial"/>
                <w:sz w:val="20"/>
                <w:szCs w:val="20"/>
                <w:color w:val="auto"/>
                <w:w w:val="90"/>
              </w:rPr>
              <w:t>(Dollars in millions, except per share amounts)</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50"/>
        </w:trPr>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1220" w:type="dxa"/>
            <w:vAlign w:val="bottom"/>
            <w:gridSpan w:val="2"/>
          </w:tcPr>
          <w:p>
            <w:pPr>
              <w:jc w:val="center"/>
              <w:spacing w:after="0"/>
              <w:rPr>
                <w:sz w:val="20"/>
                <w:szCs w:val="20"/>
                <w:color w:val="auto"/>
              </w:rPr>
            </w:pPr>
            <w:r>
              <w:rPr>
                <w:rFonts w:ascii="Arial" w:cs="Arial" w:eastAsia="Arial" w:hAnsi="Arial"/>
                <w:sz w:val="20"/>
                <w:szCs w:val="20"/>
                <w:color w:val="auto"/>
                <w:w w:val="91"/>
              </w:rPr>
              <w:t>(Unaudited)</w:t>
            </w: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365"/>
        </w:trPr>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6"/>
          </w:tcPr>
          <w:p>
            <w:pPr>
              <w:spacing w:after="0"/>
              <w:rPr>
                <w:sz w:val="20"/>
                <w:szCs w:val="20"/>
                <w:color w:val="auto"/>
              </w:rPr>
            </w:pPr>
            <w:r>
              <w:rPr>
                <w:rFonts w:ascii="Arial" w:cs="Arial" w:eastAsia="Arial" w:hAnsi="Arial"/>
                <w:sz w:val="20"/>
                <w:szCs w:val="20"/>
                <w:b w:val="1"/>
                <w:bCs w:val="1"/>
                <w:color w:val="auto"/>
              </w:rPr>
              <w:t>Three Months Ended June</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6"/>
        </w:trPr>
        <w:tc>
          <w:tcPr>
            <w:tcW w:w="10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gridSpan w:val="3"/>
          </w:tcPr>
          <w:p>
            <w:pPr>
              <w:jc w:val="right"/>
              <w:ind w:right="121"/>
              <w:spacing w:after="0"/>
              <w:rPr>
                <w:sz w:val="20"/>
                <w:szCs w:val="20"/>
                <w:color w:val="auto"/>
              </w:rPr>
            </w:pPr>
            <w:r>
              <w:rPr>
                <w:rFonts w:ascii="Arial" w:cs="Arial" w:eastAsia="Arial" w:hAnsi="Arial"/>
                <w:sz w:val="20"/>
                <w:szCs w:val="20"/>
                <w:b w:val="1"/>
                <w:bCs w:val="1"/>
                <w:color w:val="auto"/>
                <w:w w:val="93"/>
              </w:rPr>
              <w:t>30,</w:t>
            </w: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520" w:type="dxa"/>
            <w:vAlign w:val="bottom"/>
            <w:gridSpan w:val="5"/>
          </w:tcPr>
          <w:p>
            <w:pPr>
              <w:jc w:val="right"/>
              <w:spacing w:after="0"/>
              <w:rPr>
                <w:sz w:val="20"/>
                <w:szCs w:val="20"/>
                <w:color w:val="auto"/>
              </w:rPr>
            </w:pPr>
            <w:r>
              <w:rPr>
                <w:rFonts w:ascii="Arial" w:cs="Arial" w:eastAsia="Arial" w:hAnsi="Arial"/>
                <w:sz w:val="20"/>
                <w:szCs w:val="20"/>
                <w:b w:val="1"/>
                <w:bCs w:val="1"/>
                <w:color w:val="auto"/>
                <w:w w:val="93"/>
              </w:rPr>
              <w:t>Six Months Ended June 30,</w:t>
            </w:r>
          </w:p>
        </w:tc>
      </w:tr>
      <w:tr>
        <w:trPr>
          <w:trHeight w:val="23"/>
        </w:trPr>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4"/>
        </w:trPr>
        <w:tc>
          <w:tcPr>
            <w:tcW w:w="10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41"/>
              <w:spacing w:after="0"/>
              <w:rPr>
                <w:sz w:val="20"/>
                <w:szCs w:val="20"/>
                <w:color w:val="auto"/>
              </w:rPr>
            </w:pPr>
            <w:r>
              <w:rPr>
                <w:rFonts w:ascii="Arial" w:cs="Arial" w:eastAsia="Arial" w:hAnsi="Arial"/>
                <w:sz w:val="20"/>
                <w:szCs w:val="20"/>
                <w:b w:val="1"/>
                <w:bCs w:val="1"/>
                <w:color w:val="auto"/>
              </w:rPr>
              <w:t>2019</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281"/>
              <w:spacing w:after="0"/>
              <w:rPr>
                <w:sz w:val="20"/>
                <w:szCs w:val="20"/>
                <w:color w:val="auto"/>
              </w:rPr>
            </w:pPr>
            <w:r>
              <w:rPr>
                <w:rFonts w:ascii="Arial" w:cs="Arial" w:eastAsia="Arial" w:hAnsi="Arial"/>
                <w:sz w:val="20"/>
                <w:szCs w:val="20"/>
                <w:b w:val="1"/>
                <w:bCs w:val="1"/>
                <w:color w:val="auto"/>
              </w:rPr>
              <w:t>2018</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281"/>
              <w:spacing w:after="0"/>
              <w:rPr>
                <w:sz w:val="20"/>
                <w:szCs w:val="20"/>
                <w:color w:val="auto"/>
              </w:rPr>
            </w:pPr>
            <w:r>
              <w:rPr>
                <w:rFonts w:ascii="Arial" w:cs="Arial" w:eastAsia="Arial" w:hAnsi="Arial"/>
                <w:sz w:val="20"/>
                <w:szCs w:val="20"/>
                <w:b w:val="1"/>
                <w:bCs w:val="1"/>
                <w:color w:val="auto"/>
              </w:rPr>
              <w:t>2019</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281"/>
              <w:spacing w:after="0"/>
              <w:rPr>
                <w:sz w:val="20"/>
                <w:szCs w:val="20"/>
                <w:color w:val="auto"/>
              </w:rPr>
            </w:pPr>
            <w:r>
              <w:rPr>
                <w:rFonts w:ascii="Arial" w:cs="Arial" w:eastAsia="Arial" w:hAnsi="Arial"/>
                <w:sz w:val="20"/>
                <w:szCs w:val="20"/>
                <w:b w:val="1"/>
                <w:bCs w:val="1"/>
                <w:color w:val="auto"/>
              </w:rPr>
              <w:t>2018</w:t>
            </w:r>
          </w:p>
        </w:tc>
      </w:tr>
      <w:tr>
        <w:trPr>
          <w:trHeight w:val="23"/>
        </w:trPr>
        <w:tc>
          <w:tcPr>
            <w:tcW w:w="10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b w:val="1"/>
                <w:bCs w:val="1"/>
                <w:color w:val="auto"/>
                <w:w w:val="92"/>
              </w:rPr>
              <w:t>Revenues:</w:t>
            </w:r>
          </w:p>
        </w:tc>
        <w:tc>
          <w:tcPr>
            <w:tcW w:w="420" w:type="dxa"/>
            <w:vAlign w:val="bottom"/>
            <w:tcBorders>
              <w:bottom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61"/>
        </w:trPr>
        <w:tc>
          <w:tcPr>
            <w:tcW w:w="5100" w:type="dxa"/>
            <w:vAlign w:val="bottom"/>
            <w:gridSpan w:val="3"/>
          </w:tcPr>
          <w:p>
            <w:pPr>
              <w:ind w:left="280"/>
              <w:spacing w:after="0"/>
              <w:rPr>
                <w:sz w:val="20"/>
                <w:szCs w:val="20"/>
                <w:color w:val="auto"/>
              </w:rPr>
            </w:pPr>
            <w:r>
              <w:rPr>
                <w:rFonts w:ascii="Arial" w:cs="Arial" w:eastAsia="Arial" w:hAnsi="Arial"/>
                <w:sz w:val="20"/>
                <w:szCs w:val="20"/>
                <w:color w:val="auto"/>
              </w:rPr>
              <w:t>Revenues, net</w:t>
            </w:r>
          </w:p>
        </w:tc>
        <w:tc>
          <w:tcPr>
            <w:tcW w:w="1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462</w:t>
            </w:r>
          </w:p>
        </w:tc>
        <w:tc>
          <w:tcPr>
            <w:tcW w:w="500" w:type="dxa"/>
            <w:vAlign w:val="bottom"/>
            <w:gridSpan w:val="3"/>
          </w:tcPr>
          <w:p>
            <w:pPr>
              <w:jc w:val="right"/>
              <w:ind w:right="21"/>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21"/>
              <w:spacing w:after="0"/>
              <w:rPr>
                <w:sz w:val="20"/>
                <w:szCs w:val="20"/>
                <w:color w:val="auto"/>
              </w:rPr>
            </w:pPr>
            <w:r>
              <w:rPr>
                <w:rFonts w:ascii="Arial" w:cs="Arial" w:eastAsia="Arial" w:hAnsi="Arial"/>
                <w:sz w:val="20"/>
                <w:szCs w:val="20"/>
                <w:color w:val="auto"/>
              </w:rPr>
              <w:t>449</w:t>
            </w:r>
          </w:p>
        </w:tc>
        <w:tc>
          <w:tcPr>
            <w:tcW w:w="200" w:type="dxa"/>
            <w:vAlign w:val="bottom"/>
          </w:tcPr>
          <w:p>
            <w:pPr>
              <w:spacing w:after="0"/>
              <w:rPr>
                <w:sz w:val="22"/>
                <w:szCs w:val="22"/>
                <w:color w:val="auto"/>
              </w:rPr>
            </w:pP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21"/>
              <w:spacing w:after="0"/>
              <w:rPr>
                <w:sz w:val="20"/>
                <w:szCs w:val="20"/>
                <w:color w:val="auto"/>
              </w:rPr>
            </w:pPr>
            <w:r>
              <w:rPr>
                <w:rFonts w:ascii="Arial" w:cs="Arial" w:eastAsia="Arial" w:hAnsi="Arial"/>
                <w:sz w:val="20"/>
                <w:szCs w:val="20"/>
                <w:color w:val="auto"/>
              </w:rPr>
              <w:t>1,032</w:t>
            </w:r>
          </w:p>
        </w:tc>
        <w:tc>
          <w:tcPr>
            <w:tcW w:w="220" w:type="dxa"/>
            <w:vAlign w:val="bottom"/>
          </w:tcPr>
          <w:p>
            <w:pPr>
              <w:spacing w:after="0"/>
              <w:rPr>
                <w:sz w:val="22"/>
                <w:szCs w:val="22"/>
                <w:color w:val="auto"/>
              </w:rPr>
            </w:pP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944</w:t>
            </w:r>
          </w:p>
        </w:tc>
      </w:tr>
      <w:tr>
        <w:trPr>
          <w:trHeight w:val="23"/>
        </w:trPr>
        <w:tc>
          <w:tcPr>
            <w:tcW w:w="1420" w:type="dxa"/>
            <w:vAlign w:val="bottom"/>
            <w:gridSpan w:val="2"/>
          </w:tcPr>
          <w:p>
            <w:pPr>
              <w:spacing w:after="0"/>
              <w:rPr>
                <w:sz w:val="2"/>
                <w:szCs w:val="2"/>
                <w:color w:val="auto"/>
              </w:rPr>
            </w:pPr>
          </w:p>
        </w:tc>
        <w:tc>
          <w:tcPr>
            <w:tcW w:w="3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4"/>
        </w:trPr>
        <w:tc>
          <w:tcPr>
            <w:tcW w:w="51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20"/>
                <w:szCs w:val="20"/>
                <w:color w:val="auto"/>
              </w:rPr>
              <w:t>Alternative revenue programs, net of amortization</w:t>
            </w:r>
          </w:p>
        </w:tc>
        <w:tc>
          <w:tcPr>
            <w:tcW w:w="10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w:t>
            </w: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w:t>
            </w: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w:t>
            </w:r>
          </w:p>
        </w:tc>
      </w:tr>
      <w:tr>
        <w:trPr>
          <w:trHeight w:val="254"/>
        </w:trPr>
        <w:tc>
          <w:tcPr>
            <w:tcW w:w="5100" w:type="dxa"/>
            <w:vAlign w:val="bottom"/>
            <w:gridSpan w:val="3"/>
          </w:tcPr>
          <w:p>
            <w:pPr>
              <w:ind w:left="500"/>
              <w:spacing w:after="0"/>
              <w:rPr>
                <w:sz w:val="20"/>
                <w:szCs w:val="20"/>
                <w:color w:val="auto"/>
              </w:rPr>
            </w:pPr>
            <w:r>
              <w:rPr>
                <w:rFonts w:ascii="Arial" w:cs="Arial" w:eastAsia="Arial" w:hAnsi="Arial"/>
                <w:sz w:val="20"/>
                <w:szCs w:val="20"/>
                <w:color w:val="auto"/>
              </w:rPr>
              <w:t>Total revenues</w:t>
            </w:r>
          </w:p>
        </w:tc>
        <w:tc>
          <w:tcPr>
            <w:tcW w:w="10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460</w:t>
            </w:r>
          </w:p>
        </w:tc>
        <w:tc>
          <w:tcPr>
            <w:tcW w:w="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449</w:t>
            </w:r>
          </w:p>
        </w:tc>
        <w:tc>
          <w:tcPr>
            <w:tcW w:w="2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1,033</w:t>
            </w:r>
          </w:p>
        </w:tc>
        <w:tc>
          <w:tcPr>
            <w:tcW w:w="2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942</w:t>
            </w:r>
          </w:p>
        </w:tc>
      </w:tr>
      <w:tr>
        <w:trPr>
          <w:trHeight w:val="23"/>
        </w:trPr>
        <w:tc>
          <w:tcPr>
            <w:tcW w:w="1420" w:type="dxa"/>
            <w:vAlign w:val="bottom"/>
            <w:tcBorders>
              <w:bottom w:val="single" w:sz="8" w:color="CCEEFF"/>
            </w:tcBorders>
            <w:gridSpan w:val="2"/>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b w:val="1"/>
                <w:bCs w:val="1"/>
                <w:color w:val="auto"/>
              </w:rPr>
              <w:t>Operating expenses:</w:t>
            </w: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61"/>
        </w:trPr>
        <w:tc>
          <w:tcPr>
            <w:tcW w:w="5100" w:type="dxa"/>
            <w:vAlign w:val="bottom"/>
            <w:gridSpan w:val="3"/>
          </w:tcPr>
          <w:p>
            <w:pPr>
              <w:ind w:left="280"/>
              <w:spacing w:after="0"/>
              <w:rPr>
                <w:sz w:val="20"/>
                <w:szCs w:val="20"/>
                <w:color w:val="auto"/>
              </w:rPr>
            </w:pPr>
            <w:r>
              <w:rPr>
                <w:rFonts w:ascii="Arial" w:cs="Arial" w:eastAsia="Arial" w:hAnsi="Arial"/>
                <w:sz w:val="20"/>
                <w:szCs w:val="20"/>
                <w:color w:val="auto"/>
              </w:rPr>
              <w:t>Purchased power and fuel</w:t>
            </w: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105</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Arial" w:cs="Arial" w:eastAsia="Arial" w:hAnsi="Arial"/>
                <w:sz w:val="20"/>
                <w:szCs w:val="20"/>
                <w:color w:val="auto"/>
              </w:rPr>
              <w:t>104</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Arial" w:cs="Arial" w:eastAsia="Arial" w:hAnsi="Arial"/>
                <w:sz w:val="20"/>
                <w:szCs w:val="20"/>
                <w:color w:val="auto"/>
              </w:rPr>
              <w:t>284</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234</w:t>
            </w:r>
          </w:p>
        </w:tc>
      </w:tr>
      <w:tr>
        <w:trPr>
          <w:trHeight w:val="23"/>
        </w:trPr>
        <w:tc>
          <w:tcPr>
            <w:tcW w:w="1420" w:type="dxa"/>
            <w:vAlign w:val="bottom"/>
            <w:gridSpan w:val="2"/>
          </w:tcPr>
          <w:p>
            <w:pPr>
              <w:spacing w:after="0"/>
              <w:rPr>
                <w:sz w:val="2"/>
                <w:szCs w:val="2"/>
                <w:color w:val="auto"/>
              </w:rPr>
            </w:pPr>
          </w:p>
        </w:tc>
        <w:tc>
          <w:tcPr>
            <w:tcW w:w="3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4"/>
        </w:trPr>
        <w:tc>
          <w:tcPr>
            <w:tcW w:w="51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20"/>
                <w:szCs w:val="20"/>
                <w:color w:val="auto"/>
              </w:rPr>
              <w:t>Generation, transmission and distribution</w:t>
            </w:r>
          </w:p>
        </w:tc>
        <w:tc>
          <w:tcPr>
            <w:tcW w:w="10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86</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71</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163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140</w:t>
            </w:r>
          </w:p>
        </w:tc>
      </w:tr>
      <w:tr>
        <w:trPr>
          <w:trHeight w:val="261"/>
        </w:trPr>
        <w:tc>
          <w:tcPr>
            <w:tcW w:w="5100" w:type="dxa"/>
            <w:vAlign w:val="bottom"/>
            <w:gridSpan w:val="3"/>
          </w:tcPr>
          <w:p>
            <w:pPr>
              <w:ind w:left="280"/>
              <w:spacing w:after="0"/>
              <w:rPr>
                <w:sz w:val="20"/>
                <w:szCs w:val="20"/>
                <w:color w:val="auto"/>
              </w:rPr>
            </w:pPr>
            <w:r>
              <w:rPr>
                <w:rFonts w:ascii="Arial" w:cs="Arial" w:eastAsia="Arial" w:hAnsi="Arial"/>
                <w:sz w:val="20"/>
                <w:szCs w:val="20"/>
                <w:color w:val="auto"/>
              </w:rPr>
              <w:t>Administrative and other</w:t>
            </w: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78</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Arial" w:cs="Arial" w:eastAsia="Arial" w:hAnsi="Arial"/>
                <w:sz w:val="20"/>
                <w:szCs w:val="20"/>
                <w:color w:val="auto"/>
              </w:rPr>
              <w:t>70</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Arial" w:cs="Arial" w:eastAsia="Arial" w:hAnsi="Arial"/>
                <w:sz w:val="20"/>
                <w:szCs w:val="20"/>
                <w:color w:val="auto"/>
              </w:rPr>
              <w:t>149</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139</w:t>
            </w:r>
          </w:p>
        </w:tc>
      </w:tr>
      <w:tr>
        <w:trPr>
          <w:trHeight w:val="23"/>
        </w:trPr>
        <w:tc>
          <w:tcPr>
            <w:tcW w:w="1420" w:type="dxa"/>
            <w:vAlign w:val="bottom"/>
            <w:gridSpan w:val="2"/>
          </w:tcPr>
          <w:p>
            <w:pPr>
              <w:spacing w:after="0"/>
              <w:rPr>
                <w:sz w:val="2"/>
                <w:szCs w:val="2"/>
                <w:color w:val="auto"/>
              </w:rPr>
            </w:pPr>
          </w:p>
        </w:tc>
        <w:tc>
          <w:tcPr>
            <w:tcW w:w="3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4"/>
        </w:trPr>
        <w:tc>
          <w:tcPr>
            <w:tcW w:w="51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20"/>
                <w:szCs w:val="20"/>
                <w:color w:val="auto"/>
              </w:rPr>
              <w:t>Depreciation and amortization</w:t>
            </w:r>
          </w:p>
        </w:tc>
        <w:tc>
          <w:tcPr>
            <w:tcW w:w="10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101</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93</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202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185</w:t>
            </w:r>
          </w:p>
        </w:tc>
      </w:tr>
      <w:tr>
        <w:trPr>
          <w:trHeight w:val="261"/>
        </w:trPr>
        <w:tc>
          <w:tcPr>
            <w:tcW w:w="5100" w:type="dxa"/>
            <w:vAlign w:val="bottom"/>
            <w:gridSpan w:val="3"/>
          </w:tcPr>
          <w:p>
            <w:pPr>
              <w:ind w:left="280"/>
              <w:spacing w:after="0"/>
              <w:rPr>
                <w:sz w:val="20"/>
                <w:szCs w:val="20"/>
                <w:color w:val="auto"/>
              </w:rPr>
            </w:pPr>
            <w:r>
              <w:rPr>
                <w:rFonts w:ascii="Arial" w:cs="Arial" w:eastAsia="Arial" w:hAnsi="Arial"/>
                <w:sz w:val="20"/>
                <w:szCs w:val="20"/>
                <w:color w:val="auto"/>
              </w:rPr>
              <w:t>Taxes other than income taxes</w:t>
            </w: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33</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Arial" w:cs="Arial" w:eastAsia="Arial" w:hAnsi="Arial"/>
                <w:sz w:val="20"/>
                <w:szCs w:val="20"/>
                <w:color w:val="auto"/>
              </w:rPr>
              <w:t>31</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Arial" w:cs="Arial" w:eastAsia="Arial" w:hAnsi="Arial"/>
                <w:sz w:val="20"/>
                <w:szCs w:val="20"/>
                <w:color w:val="auto"/>
              </w:rPr>
              <w:t>67</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64</w:t>
            </w:r>
          </w:p>
        </w:tc>
      </w:tr>
      <w:tr>
        <w:trPr>
          <w:trHeight w:val="23"/>
        </w:trPr>
        <w:tc>
          <w:tcPr>
            <w:tcW w:w="1420" w:type="dxa"/>
            <w:vAlign w:val="bottom"/>
            <w:tcBorders>
              <w:bottom w:val="single" w:sz="8" w:color="CCEEFF"/>
            </w:tcBorders>
            <w:gridSpan w:val="2"/>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77"/>
        </w:trPr>
        <w:tc>
          <w:tcPr>
            <w:tcW w:w="510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20"/>
                <w:szCs w:val="20"/>
                <w:color w:val="auto"/>
              </w:rPr>
              <w:t>Total operating expenses</w:t>
            </w:r>
          </w:p>
        </w:tc>
        <w:tc>
          <w:tcPr>
            <w:tcW w:w="10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403</w:t>
            </w: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369</w:t>
            </w:r>
          </w:p>
        </w:tc>
        <w:tc>
          <w:tcPr>
            <w:tcW w:w="2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865</w:t>
            </w: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762</w:t>
            </w:r>
          </w:p>
        </w:tc>
      </w:tr>
      <w:tr>
        <w:trPr>
          <w:trHeight w:val="254"/>
        </w:trPr>
        <w:tc>
          <w:tcPr>
            <w:tcW w:w="5100" w:type="dxa"/>
            <w:vAlign w:val="bottom"/>
            <w:gridSpan w:val="3"/>
          </w:tcPr>
          <w:p>
            <w:pPr>
              <w:ind w:left="500"/>
              <w:spacing w:after="0"/>
              <w:rPr>
                <w:sz w:val="20"/>
                <w:szCs w:val="20"/>
                <w:color w:val="auto"/>
              </w:rPr>
            </w:pPr>
            <w:r>
              <w:rPr>
                <w:rFonts w:ascii="Arial" w:cs="Arial" w:eastAsia="Arial" w:hAnsi="Arial"/>
                <w:sz w:val="20"/>
                <w:szCs w:val="20"/>
                <w:b w:val="1"/>
                <w:bCs w:val="1"/>
                <w:color w:val="auto"/>
              </w:rPr>
              <w:t>Income from operations</w:t>
            </w:r>
          </w:p>
        </w:tc>
        <w:tc>
          <w:tcPr>
            <w:tcW w:w="10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20"/>
                <w:szCs w:val="20"/>
                <w:b w:val="1"/>
                <w:bCs w:val="1"/>
                <w:color w:val="auto"/>
              </w:rPr>
              <w:t>57</w:t>
            </w:r>
          </w:p>
        </w:tc>
        <w:tc>
          <w:tcPr>
            <w:tcW w:w="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b w:val="1"/>
                <w:bCs w:val="1"/>
                <w:color w:val="auto"/>
              </w:rPr>
              <w:t>80</w:t>
            </w:r>
          </w:p>
        </w:tc>
        <w:tc>
          <w:tcPr>
            <w:tcW w:w="2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b w:val="1"/>
                <w:bCs w:val="1"/>
                <w:color w:val="auto"/>
              </w:rPr>
              <w:t>168</w:t>
            </w:r>
          </w:p>
        </w:tc>
        <w:tc>
          <w:tcPr>
            <w:tcW w:w="2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b w:val="1"/>
                <w:bCs w:val="1"/>
                <w:color w:val="auto"/>
              </w:rPr>
              <w:t>180</w:t>
            </w:r>
          </w:p>
        </w:tc>
      </w:tr>
      <w:tr>
        <w:trPr>
          <w:trHeight w:val="23"/>
        </w:trPr>
        <w:tc>
          <w:tcPr>
            <w:tcW w:w="1420" w:type="dxa"/>
            <w:vAlign w:val="bottom"/>
            <w:gridSpan w:val="2"/>
          </w:tcPr>
          <w:p>
            <w:pPr>
              <w:spacing w:after="0"/>
              <w:rPr>
                <w:sz w:val="2"/>
                <w:szCs w:val="2"/>
                <w:color w:val="auto"/>
              </w:rPr>
            </w:pPr>
          </w:p>
        </w:tc>
        <w:tc>
          <w:tcPr>
            <w:tcW w:w="3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4"/>
        </w:trPr>
        <w:tc>
          <w:tcPr>
            <w:tcW w:w="5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b w:val="1"/>
                <w:bCs w:val="1"/>
                <w:color w:val="auto"/>
              </w:rPr>
              <w:t>Interest expense, net</w:t>
            </w:r>
          </w:p>
        </w:tc>
        <w:tc>
          <w:tcPr>
            <w:tcW w:w="10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31</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31</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63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62</w:t>
            </w:r>
          </w:p>
        </w:tc>
      </w:tr>
      <w:tr>
        <w:trPr>
          <w:trHeight w:val="261"/>
        </w:trPr>
        <w:tc>
          <w:tcPr>
            <w:tcW w:w="5100" w:type="dxa"/>
            <w:vAlign w:val="bottom"/>
            <w:gridSpan w:val="3"/>
          </w:tcPr>
          <w:p>
            <w:pPr>
              <w:ind w:left="40"/>
              <w:spacing w:after="0"/>
              <w:rPr>
                <w:sz w:val="20"/>
                <w:szCs w:val="20"/>
                <w:color w:val="auto"/>
              </w:rPr>
            </w:pPr>
            <w:r>
              <w:rPr>
                <w:rFonts w:ascii="Arial" w:cs="Arial" w:eastAsia="Arial" w:hAnsi="Arial"/>
                <w:sz w:val="20"/>
                <w:szCs w:val="20"/>
                <w:b w:val="1"/>
                <w:bCs w:val="1"/>
                <w:color w:val="auto"/>
              </w:rPr>
              <w:t>Other income:</w:t>
            </w: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3"/>
        </w:trPr>
        <w:tc>
          <w:tcPr>
            <w:tcW w:w="1420" w:type="dxa"/>
            <w:vAlign w:val="bottom"/>
            <w:gridSpan w:val="2"/>
          </w:tcPr>
          <w:p>
            <w:pPr>
              <w:spacing w:after="0"/>
              <w:rPr>
                <w:sz w:val="2"/>
                <w:szCs w:val="2"/>
                <w:color w:val="auto"/>
              </w:rPr>
            </w:pPr>
          </w:p>
        </w:tc>
        <w:tc>
          <w:tcPr>
            <w:tcW w:w="3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4"/>
        </w:trPr>
        <w:tc>
          <w:tcPr>
            <w:tcW w:w="51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20"/>
                <w:szCs w:val="20"/>
                <w:color w:val="auto"/>
              </w:rPr>
              <w:t>Allowance for equity funds used during construction</w:t>
            </w:r>
          </w:p>
        </w:tc>
        <w:tc>
          <w:tcPr>
            <w:tcW w:w="10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6</w:t>
            </w:r>
          </w:p>
        </w:tc>
      </w:tr>
      <w:tr>
        <w:trPr>
          <w:trHeight w:val="261"/>
        </w:trPr>
        <w:tc>
          <w:tcPr>
            <w:tcW w:w="5100" w:type="dxa"/>
            <w:vAlign w:val="bottom"/>
            <w:gridSpan w:val="3"/>
          </w:tcPr>
          <w:p>
            <w:pPr>
              <w:ind w:left="280"/>
              <w:spacing w:after="0"/>
              <w:rPr>
                <w:sz w:val="20"/>
                <w:szCs w:val="20"/>
                <w:color w:val="auto"/>
              </w:rPr>
            </w:pPr>
            <w:r>
              <w:rPr>
                <w:rFonts w:ascii="Arial" w:cs="Arial" w:eastAsia="Arial" w:hAnsi="Arial"/>
                <w:sz w:val="20"/>
                <w:szCs w:val="20"/>
                <w:color w:val="auto"/>
              </w:rPr>
              <w:t>Miscellaneous income, net</w:t>
            </w: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Arial" w:cs="Arial" w:eastAsia="Arial" w:hAnsi="Arial"/>
                <w:sz w:val="20"/>
                <w:szCs w:val="20"/>
                <w:color w:val="auto"/>
              </w:rPr>
              <w:t>1</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Arial" w:cs="Arial" w:eastAsia="Arial" w:hAnsi="Arial"/>
                <w:sz w:val="20"/>
                <w:szCs w:val="20"/>
                <w:color w:val="auto"/>
              </w:rPr>
              <w:t>2</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w:t>
            </w:r>
          </w:p>
        </w:tc>
      </w:tr>
      <w:tr>
        <w:trPr>
          <w:trHeight w:val="23"/>
        </w:trPr>
        <w:tc>
          <w:tcPr>
            <w:tcW w:w="1420" w:type="dxa"/>
            <w:vAlign w:val="bottom"/>
            <w:tcBorders>
              <w:bottom w:val="single" w:sz="8" w:color="CCEEFF"/>
            </w:tcBorders>
            <w:gridSpan w:val="2"/>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77"/>
        </w:trPr>
        <w:tc>
          <w:tcPr>
            <w:tcW w:w="510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20"/>
                <w:szCs w:val="20"/>
                <w:color w:val="auto"/>
              </w:rPr>
              <w:t>Other income, net</w:t>
            </w:r>
          </w:p>
        </w:tc>
        <w:tc>
          <w:tcPr>
            <w:tcW w:w="10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w:t>
            </w: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w:t>
            </w:r>
          </w:p>
        </w:tc>
        <w:tc>
          <w:tcPr>
            <w:tcW w:w="2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7</w:t>
            </w: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6</w:t>
            </w:r>
          </w:p>
        </w:tc>
      </w:tr>
      <w:tr>
        <w:trPr>
          <w:trHeight w:val="254"/>
        </w:trPr>
        <w:tc>
          <w:tcPr>
            <w:tcW w:w="5100" w:type="dxa"/>
            <w:vAlign w:val="bottom"/>
            <w:gridSpan w:val="3"/>
          </w:tcPr>
          <w:p>
            <w:pPr>
              <w:ind w:left="500"/>
              <w:spacing w:after="0"/>
              <w:rPr>
                <w:sz w:val="20"/>
                <w:szCs w:val="20"/>
                <w:color w:val="auto"/>
              </w:rPr>
            </w:pPr>
            <w:r>
              <w:rPr>
                <w:rFonts w:ascii="Arial" w:cs="Arial" w:eastAsia="Arial" w:hAnsi="Arial"/>
                <w:sz w:val="20"/>
                <w:szCs w:val="20"/>
                <w:b w:val="1"/>
                <w:bCs w:val="1"/>
                <w:color w:val="auto"/>
              </w:rPr>
              <w:t>Income before income tax expense</w:t>
            </w:r>
          </w:p>
        </w:tc>
        <w:tc>
          <w:tcPr>
            <w:tcW w:w="10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20"/>
                <w:szCs w:val="20"/>
                <w:b w:val="1"/>
                <w:bCs w:val="1"/>
                <w:color w:val="auto"/>
              </w:rPr>
              <w:t>28</w:t>
            </w:r>
          </w:p>
        </w:tc>
        <w:tc>
          <w:tcPr>
            <w:tcW w:w="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b w:val="1"/>
                <w:bCs w:val="1"/>
                <w:color w:val="auto"/>
              </w:rPr>
              <w:t>52</w:t>
            </w:r>
          </w:p>
        </w:tc>
        <w:tc>
          <w:tcPr>
            <w:tcW w:w="2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b w:val="1"/>
                <w:bCs w:val="1"/>
                <w:color w:val="auto"/>
              </w:rPr>
              <w:t>112</w:t>
            </w:r>
          </w:p>
        </w:tc>
        <w:tc>
          <w:tcPr>
            <w:tcW w:w="2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b w:val="1"/>
                <w:bCs w:val="1"/>
                <w:color w:val="auto"/>
              </w:rPr>
              <w:t>124</w:t>
            </w:r>
          </w:p>
        </w:tc>
      </w:tr>
      <w:tr>
        <w:trPr>
          <w:trHeight w:val="23"/>
        </w:trPr>
        <w:tc>
          <w:tcPr>
            <w:tcW w:w="1420" w:type="dxa"/>
            <w:vAlign w:val="bottom"/>
            <w:gridSpan w:val="2"/>
          </w:tcPr>
          <w:p>
            <w:pPr>
              <w:spacing w:after="0"/>
              <w:rPr>
                <w:sz w:val="2"/>
                <w:szCs w:val="2"/>
                <w:color w:val="auto"/>
              </w:rPr>
            </w:pPr>
          </w:p>
        </w:tc>
        <w:tc>
          <w:tcPr>
            <w:tcW w:w="3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4"/>
        </w:trPr>
        <w:tc>
          <w:tcPr>
            <w:tcW w:w="5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Income tax expense</w:t>
            </w:r>
          </w:p>
        </w:tc>
        <w:tc>
          <w:tcPr>
            <w:tcW w:w="10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w:t>
            </w: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6</w:t>
            </w:r>
          </w:p>
        </w:tc>
        <w:tc>
          <w:tcPr>
            <w:tcW w:w="2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14</w:t>
            </w: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14</w:t>
            </w:r>
          </w:p>
        </w:tc>
      </w:tr>
      <w:tr>
        <w:trPr>
          <w:trHeight w:val="254"/>
        </w:trPr>
        <w:tc>
          <w:tcPr>
            <w:tcW w:w="5100" w:type="dxa"/>
            <w:vAlign w:val="bottom"/>
            <w:gridSpan w:val="3"/>
          </w:tcPr>
          <w:p>
            <w:pPr>
              <w:ind w:left="500"/>
              <w:spacing w:after="0"/>
              <w:rPr>
                <w:sz w:val="20"/>
                <w:szCs w:val="20"/>
                <w:color w:val="auto"/>
              </w:rPr>
            </w:pPr>
            <w:r>
              <w:rPr>
                <w:rFonts w:ascii="Arial" w:cs="Arial" w:eastAsia="Arial" w:hAnsi="Arial"/>
                <w:sz w:val="20"/>
                <w:szCs w:val="20"/>
                <w:b w:val="1"/>
                <w:bCs w:val="1"/>
                <w:color w:val="auto"/>
              </w:rPr>
              <w:t>Net income</w:t>
            </w:r>
          </w:p>
        </w:tc>
        <w:tc>
          <w:tcPr>
            <w:tcW w:w="10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20"/>
                <w:szCs w:val="20"/>
                <w:b w:val="1"/>
                <w:bCs w:val="1"/>
                <w:color w:val="auto"/>
              </w:rPr>
              <w:t>25</w:t>
            </w:r>
          </w:p>
        </w:tc>
        <w:tc>
          <w:tcPr>
            <w:tcW w:w="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b w:val="1"/>
                <w:bCs w:val="1"/>
                <w:color w:val="auto"/>
              </w:rPr>
              <w:t>46</w:t>
            </w:r>
          </w:p>
        </w:tc>
        <w:tc>
          <w:tcPr>
            <w:tcW w:w="2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b w:val="1"/>
                <w:bCs w:val="1"/>
                <w:color w:val="auto"/>
              </w:rPr>
              <w:t>98</w:t>
            </w:r>
          </w:p>
        </w:tc>
        <w:tc>
          <w:tcPr>
            <w:tcW w:w="2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b w:val="1"/>
                <w:bCs w:val="1"/>
                <w:color w:val="auto"/>
              </w:rPr>
              <w:t>110</w:t>
            </w:r>
          </w:p>
        </w:tc>
      </w:tr>
      <w:tr>
        <w:trPr>
          <w:trHeight w:val="23"/>
        </w:trPr>
        <w:tc>
          <w:tcPr>
            <w:tcW w:w="1420" w:type="dxa"/>
            <w:vAlign w:val="bottom"/>
            <w:tcBorders>
              <w:bottom w:val="single" w:sz="8" w:color="CCEEFF"/>
            </w:tcBorders>
            <w:gridSpan w:val="2"/>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77"/>
        </w:trPr>
        <w:tc>
          <w:tcPr>
            <w:tcW w:w="5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Other comprehensive income</w:t>
            </w:r>
          </w:p>
        </w:tc>
        <w:tc>
          <w:tcPr>
            <w:tcW w:w="10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w:t>
            </w: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w:t>
            </w: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r>
      <w:tr>
        <w:trPr>
          <w:trHeight w:val="312"/>
        </w:trPr>
        <w:tc>
          <w:tcPr>
            <w:tcW w:w="5100" w:type="dxa"/>
            <w:vAlign w:val="bottom"/>
            <w:tcBorders>
              <w:bottom w:val="single" w:sz="8" w:color="CCEEFF"/>
            </w:tcBorders>
            <w:gridSpan w:val="3"/>
          </w:tcPr>
          <w:p>
            <w:pPr>
              <w:ind w:left="500"/>
              <w:spacing w:after="0"/>
              <w:rPr>
                <w:sz w:val="20"/>
                <w:szCs w:val="20"/>
                <w:color w:val="auto"/>
              </w:rPr>
            </w:pPr>
            <w:r>
              <w:rPr>
                <w:rFonts w:ascii="Arial" w:cs="Arial" w:eastAsia="Arial" w:hAnsi="Arial"/>
                <w:sz w:val="20"/>
                <w:szCs w:val="20"/>
                <w:b w:val="1"/>
                <w:bCs w:val="1"/>
                <w:color w:val="auto"/>
              </w:rPr>
              <w:t>Comprehensive income</w:t>
            </w:r>
          </w:p>
        </w:tc>
        <w:tc>
          <w:tcPr>
            <w:tcW w:w="108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26</w:t>
            </w:r>
          </w:p>
        </w:tc>
        <w:tc>
          <w:tcPr>
            <w:tcW w:w="2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b w:val="1"/>
                <w:bCs w:val="1"/>
                <w:color w:val="auto"/>
              </w:rPr>
              <w:t>$</w:t>
            </w:r>
          </w:p>
        </w:tc>
        <w:tc>
          <w:tcPr>
            <w:tcW w:w="9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b w:val="1"/>
                <w:bCs w:val="1"/>
                <w:color w:val="auto"/>
              </w:rPr>
              <w:t>46</w:t>
            </w:r>
          </w:p>
        </w:tc>
        <w:tc>
          <w:tcPr>
            <w:tcW w:w="2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b w:val="1"/>
                <w:bCs w:val="1"/>
                <w:color w:val="auto"/>
              </w:rPr>
              <w:t>$</w:t>
            </w:r>
          </w:p>
        </w:tc>
        <w:tc>
          <w:tcPr>
            <w:tcW w:w="9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b w:val="1"/>
                <w:bCs w:val="1"/>
                <w:color w:val="auto"/>
              </w:rPr>
              <w:t>100</w:t>
            </w:r>
          </w:p>
        </w:tc>
        <w:tc>
          <w:tcPr>
            <w:tcW w:w="2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b w:val="1"/>
                <w:bCs w:val="1"/>
                <w:color w:val="auto"/>
                <w:w w:val="8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b w:val="1"/>
                <w:bCs w:val="1"/>
                <w:color w:val="auto"/>
              </w:rPr>
              <w:t>110</w:t>
            </w:r>
          </w:p>
        </w:tc>
      </w:tr>
      <w:tr>
        <w:trPr>
          <w:trHeight w:val="309"/>
        </w:trPr>
        <w:tc>
          <w:tcPr>
            <w:tcW w:w="10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36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1"/>
        </w:trPr>
        <w:tc>
          <w:tcPr>
            <w:tcW w:w="5100" w:type="dxa"/>
            <w:vAlign w:val="bottom"/>
            <w:gridSpan w:val="3"/>
          </w:tcPr>
          <w:p>
            <w:pPr>
              <w:ind w:left="40"/>
              <w:spacing w:after="0"/>
              <w:rPr>
                <w:sz w:val="20"/>
                <w:szCs w:val="20"/>
                <w:color w:val="auto"/>
              </w:rPr>
            </w:pPr>
            <w:r>
              <w:rPr>
                <w:rFonts w:ascii="Arial" w:cs="Arial" w:eastAsia="Arial" w:hAnsi="Arial"/>
                <w:sz w:val="20"/>
                <w:szCs w:val="20"/>
                <w:color w:val="auto"/>
                <w:w w:val="90"/>
              </w:rPr>
              <w:t>Weighted-average common shares outstanding (in thousands):</w:t>
            </w: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3"/>
        </w:trPr>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9"/>
        </w:trPr>
        <w:tc>
          <w:tcPr>
            <w:tcW w:w="1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Basic</w:t>
            </w:r>
          </w:p>
        </w:tc>
        <w:tc>
          <w:tcPr>
            <w:tcW w:w="420" w:type="dxa"/>
            <w:vAlign w:val="bottom"/>
            <w:tcBorders>
              <w:bottom w:val="single" w:sz="8" w:color="CCEEFF"/>
            </w:tcBorders>
            <w:shd w:val="clear" w:color="auto" w:fill="CCEEFF"/>
          </w:tcPr>
          <w:p>
            <w:pPr>
              <w:spacing w:after="0"/>
              <w:rPr>
                <w:sz w:val="24"/>
                <w:szCs w:val="24"/>
                <w:color w:val="auto"/>
              </w:rPr>
            </w:pPr>
          </w:p>
        </w:tc>
        <w:tc>
          <w:tcPr>
            <w:tcW w:w="36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89,357</w:t>
            </w:r>
          </w:p>
        </w:tc>
        <w:tc>
          <w:tcPr>
            <w:tcW w:w="2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89,215</w:t>
            </w:r>
          </w:p>
        </w:tc>
        <w:tc>
          <w:tcPr>
            <w:tcW w:w="2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89,333</w:t>
            </w: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89,188</w:t>
            </w:r>
          </w:p>
        </w:tc>
      </w:tr>
      <w:tr>
        <w:trPr>
          <w:trHeight w:val="20"/>
        </w:trPr>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04"/>
        </w:trPr>
        <w:tc>
          <w:tcPr>
            <w:tcW w:w="1000" w:type="dxa"/>
            <w:vAlign w:val="bottom"/>
            <w:tcBorders>
              <w:bottom w:val="single" w:sz="8" w:color="CCEEFF"/>
            </w:tcBorders>
          </w:tcPr>
          <w:p>
            <w:pPr>
              <w:ind w:left="280"/>
              <w:spacing w:after="0"/>
              <w:rPr>
                <w:sz w:val="20"/>
                <w:szCs w:val="20"/>
                <w:color w:val="auto"/>
              </w:rPr>
            </w:pPr>
            <w:r>
              <w:rPr>
                <w:rFonts w:ascii="Arial" w:cs="Arial" w:eastAsia="Arial" w:hAnsi="Arial"/>
                <w:sz w:val="20"/>
                <w:szCs w:val="20"/>
                <w:color w:val="auto"/>
              </w:rPr>
              <w:t>Diluted</w:t>
            </w:r>
          </w:p>
        </w:tc>
        <w:tc>
          <w:tcPr>
            <w:tcW w:w="420" w:type="dxa"/>
            <w:vAlign w:val="bottom"/>
            <w:tcBorders>
              <w:bottom w:val="single" w:sz="8" w:color="CCEEFF"/>
            </w:tcBorders>
          </w:tcPr>
          <w:p>
            <w:pPr>
              <w:spacing w:after="0"/>
              <w:rPr>
                <w:sz w:val="24"/>
                <w:szCs w:val="24"/>
                <w:color w:val="auto"/>
              </w:rPr>
            </w:pPr>
          </w:p>
        </w:tc>
        <w:tc>
          <w:tcPr>
            <w:tcW w:w="368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89,561</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89,215</w:t>
            </w:r>
          </w:p>
        </w:tc>
        <w:tc>
          <w:tcPr>
            <w:tcW w:w="2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89,537</w:t>
            </w:r>
          </w:p>
        </w:tc>
        <w:tc>
          <w:tcPr>
            <w:tcW w:w="2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89,188</w:t>
            </w:r>
          </w:p>
        </w:tc>
      </w:tr>
      <w:tr>
        <w:trPr>
          <w:trHeight w:val="269"/>
        </w:trPr>
        <w:tc>
          <w:tcPr>
            <w:tcW w:w="10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36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1"/>
        </w:trPr>
        <w:tc>
          <w:tcPr>
            <w:tcW w:w="5100" w:type="dxa"/>
            <w:vAlign w:val="bottom"/>
            <w:gridSpan w:val="3"/>
          </w:tcPr>
          <w:p>
            <w:pPr>
              <w:ind w:left="40"/>
              <w:spacing w:after="0"/>
              <w:rPr>
                <w:sz w:val="20"/>
                <w:szCs w:val="20"/>
                <w:color w:val="auto"/>
              </w:rPr>
            </w:pPr>
            <w:r>
              <w:rPr>
                <w:rFonts w:ascii="Arial" w:cs="Arial" w:eastAsia="Arial" w:hAnsi="Arial"/>
                <w:sz w:val="20"/>
                <w:szCs w:val="20"/>
                <w:b w:val="1"/>
                <w:bCs w:val="1"/>
                <w:color w:val="auto"/>
              </w:rPr>
              <w:t>Earnings per share:</w:t>
            </w: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3"/>
        </w:trPr>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9"/>
        </w:trPr>
        <w:tc>
          <w:tcPr>
            <w:tcW w:w="1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Basic</w:t>
            </w:r>
          </w:p>
        </w:tc>
        <w:tc>
          <w:tcPr>
            <w:tcW w:w="420" w:type="dxa"/>
            <w:vAlign w:val="bottom"/>
            <w:tcBorders>
              <w:bottom w:val="single" w:sz="8" w:color="CCEEFF"/>
            </w:tcBorders>
            <w:shd w:val="clear" w:color="auto" w:fill="CCEEFF"/>
          </w:tcPr>
          <w:p>
            <w:pPr>
              <w:spacing w:after="0"/>
              <w:rPr>
                <w:sz w:val="24"/>
                <w:szCs w:val="24"/>
                <w:color w:val="auto"/>
              </w:rPr>
            </w:pPr>
          </w:p>
        </w:tc>
        <w:tc>
          <w:tcPr>
            <w:tcW w:w="36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0.28</w:t>
            </w:r>
          </w:p>
        </w:tc>
        <w:tc>
          <w:tcPr>
            <w:tcW w:w="2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0.51</w:t>
            </w:r>
          </w:p>
        </w:tc>
        <w:tc>
          <w:tcPr>
            <w:tcW w:w="2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1.10</w:t>
            </w: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1.23</w:t>
            </w:r>
          </w:p>
        </w:tc>
      </w:tr>
      <w:tr>
        <w:trPr>
          <w:trHeight w:val="20"/>
        </w:trPr>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64"/>
        </w:trPr>
        <w:tc>
          <w:tcPr>
            <w:tcW w:w="1000" w:type="dxa"/>
            <w:vAlign w:val="bottom"/>
          </w:tcPr>
          <w:p>
            <w:pPr>
              <w:ind w:left="280"/>
              <w:spacing w:after="0"/>
              <w:rPr>
                <w:sz w:val="20"/>
                <w:szCs w:val="20"/>
                <w:color w:val="auto"/>
              </w:rPr>
            </w:pPr>
            <w:r>
              <w:rPr>
                <w:rFonts w:ascii="Arial" w:cs="Arial" w:eastAsia="Arial" w:hAnsi="Arial"/>
                <w:sz w:val="20"/>
                <w:szCs w:val="20"/>
                <w:color w:val="auto"/>
              </w:rPr>
              <w:t>Diluted</w:t>
            </w:r>
          </w:p>
        </w:tc>
        <w:tc>
          <w:tcPr>
            <w:tcW w:w="42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0.28</w:t>
            </w:r>
          </w:p>
        </w:tc>
        <w:tc>
          <w:tcPr>
            <w:tcW w:w="500" w:type="dxa"/>
            <w:vAlign w:val="bottom"/>
            <w:gridSpan w:val="3"/>
          </w:tcPr>
          <w:p>
            <w:pPr>
              <w:jc w:val="right"/>
              <w:ind w:right="21"/>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21"/>
              <w:spacing w:after="0"/>
              <w:rPr>
                <w:sz w:val="20"/>
                <w:szCs w:val="20"/>
                <w:color w:val="auto"/>
              </w:rPr>
            </w:pPr>
            <w:r>
              <w:rPr>
                <w:rFonts w:ascii="Arial" w:cs="Arial" w:eastAsia="Arial" w:hAnsi="Arial"/>
                <w:sz w:val="20"/>
                <w:szCs w:val="20"/>
                <w:color w:val="auto"/>
              </w:rPr>
              <w:t>0.51</w:t>
            </w:r>
          </w:p>
        </w:tc>
        <w:tc>
          <w:tcPr>
            <w:tcW w:w="200" w:type="dxa"/>
            <w:vAlign w:val="bottom"/>
          </w:tcPr>
          <w:p>
            <w:pPr>
              <w:spacing w:after="0"/>
              <w:rPr>
                <w:sz w:val="22"/>
                <w:szCs w:val="22"/>
                <w:color w:val="auto"/>
              </w:rPr>
            </w:pP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21"/>
              <w:spacing w:after="0"/>
              <w:rPr>
                <w:sz w:val="20"/>
                <w:szCs w:val="20"/>
                <w:color w:val="auto"/>
              </w:rPr>
            </w:pPr>
            <w:r>
              <w:rPr>
                <w:rFonts w:ascii="Arial" w:cs="Arial" w:eastAsia="Arial" w:hAnsi="Arial"/>
                <w:sz w:val="20"/>
                <w:szCs w:val="20"/>
                <w:color w:val="auto"/>
              </w:rPr>
              <w:t>1.09</w:t>
            </w:r>
          </w:p>
        </w:tc>
        <w:tc>
          <w:tcPr>
            <w:tcW w:w="220" w:type="dxa"/>
            <w:vAlign w:val="bottom"/>
          </w:tcPr>
          <w:p>
            <w:pPr>
              <w:spacing w:after="0"/>
              <w:rPr>
                <w:sz w:val="22"/>
                <w:szCs w:val="22"/>
                <w:color w:val="auto"/>
              </w:rPr>
            </w:pP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1.23</w:t>
            </w:r>
          </w:p>
        </w:tc>
      </w:tr>
      <w:tr>
        <w:trPr>
          <w:trHeight w:val="20"/>
        </w:trPr>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See accompanying notes to condensed consolidated financial statements.</w:t>
      </w:r>
    </w:p>
    <w:p>
      <w:pPr>
        <w:sectPr>
          <w:pgSz w:w="11900" w:h="16838" w:orient="portrait"/>
          <w:cols w:equalWidth="0" w:num="1">
            <w:col w:w="11420"/>
          </w:cols>
          <w:pgMar w:left="240" w:top="99"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99" w:right="239" w:bottom="1440" w:gutter="0" w:footer="0" w:header="0"/>
          <w:type w:val="continuous"/>
        </w:sectPr>
      </w:pPr>
    </w:p>
    <w:bookmarkStart w:id="5" w:name="page6"/>
    <w:bookmarkEnd w:id="5"/>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PORTLAND GENERAL ELECTRIC COMPANY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BALANCE SHEETS</w:t>
      </w:r>
    </w:p>
    <w:p>
      <w:pPr>
        <w:jc w:val="center"/>
        <w:spacing w:after="0"/>
        <w:rPr>
          <w:sz w:val="20"/>
          <w:szCs w:val="20"/>
          <w:color w:val="auto"/>
        </w:rPr>
      </w:pPr>
      <w:r>
        <w:rPr>
          <w:rFonts w:ascii="Arial" w:cs="Arial" w:eastAsia="Arial" w:hAnsi="Arial"/>
          <w:sz w:val="20"/>
          <w:szCs w:val="20"/>
          <w:color w:val="auto"/>
        </w:rPr>
        <w:t>(Dollars in millions)</w:t>
      </w:r>
    </w:p>
    <w:p>
      <w:pPr>
        <w:jc w:val="center"/>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240" w:type="dxa"/>
            <w:vAlign w:val="bottom"/>
          </w:tcPr>
          <w:p>
            <w:pPr>
              <w:jc w:val="center"/>
              <w:ind w:left="321"/>
              <w:spacing w:after="0"/>
              <w:rPr>
                <w:sz w:val="20"/>
                <w:szCs w:val="20"/>
                <w:color w:val="auto"/>
              </w:rPr>
            </w:pPr>
            <w:r>
              <w:rPr>
                <w:rFonts w:ascii="Arial" w:cs="Arial" w:eastAsia="Arial" w:hAnsi="Arial"/>
                <w:sz w:val="20"/>
                <w:szCs w:val="20"/>
                <w:b w:val="1"/>
                <w:bCs w:val="1"/>
                <w:color w:val="auto"/>
                <w:w w:val="87"/>
              </w:rPr>
              <w:t>June 30,</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ind w:right="201"/>
              <w:spacing w:after="0"/>
              <w:rPr>
                <w:sz w:val="20"/>
                <w:szCs w:val="20"/>
                <w:color w:val="auto"/>
              </w:rPr>
            </w:pPr>
            <w:r>
              <w:rPr>
                <w:rFonts w:ascii="Arial" w:cs="Arial" w:eastAsia="Arial" w:hAnsi="Arial"/>
                <w:sz w:val="20"/>
                <w:szCs w:val="20"/>
                <w:b w:val="1"/>
                <w:bCs w:val="1"/>
                <w:color w:val="auto"/>
                <w:w w:val="92"/>
              </w:rPr>
              <w:t>December 31,</w:t>
            </w:r>
          </w:p>
        </w:tc>
      </w:tr>
      <w:tr>
        <w:trPr>
          <w:trHeight w:val="256"/>
        </w:trPr>
        <w:tc>
          <w:tcPr>
            <w:tcW w:w="3520" w:type="dxa"/>
            <w:vAlign w:val="bottom"/>
          </w:tcPr>
          <w:p>
            <w:pPr>
              <w:spacing w:after="0"/>
              <w:rPr>
                <w:sz w:val="22"/>
                <w:szCs w:val="22"/>
                <w:color w:val="auto"/>
              </w:rPr>
            </w:pPr>
          </w:p>
        </w:tc>
        <w:tc>
          <w:tcPr>
            <w:tcW w:w="5500" w:type="dxa"/>
            <w:vAlign w:val="bottom"/>
            <w:gridSpan w:val="3"/>
          </w:tcPr>
          <w:p>
            <w:pPr>
              <w:jc w:val="right"/>
              <w:ind w:right="101"/>
              <w:spacing w:after="0"/>
              <w:rPr>
                <w:sz w:val="20"/>
                <w:szCs w:val="20"/>
                <w:color w:val="auto"/>
              </w:rPr>
            </w:pPr>
            <w:r>
              <w:rPr>
                <w:rFonts w:ascii="Arial" w:cs="Arial" w:eastAsia="Arial" w:hAnsi="Arial"/>
                <w:sz w:val="20"/>
                <w:szCs w:val="20"/>
                <w:b w:val="1"/>
                <w:bCs w:val="1"/>
                <w:color w:val="auto"/>
              </w:rPr>
              <w:t>2019</w:t>
            </w: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ind w:right="561"/>
              <w:spacing w:after="0"/>
              <w:rPr>
                <w:sz w:val="20"/>
                <w:szCs w:val="20"/>
                <w:color w:val="auto"/>
              </w:rPr>
            </w:pPr>
            <w:r>
              <w:rPr>
                <w:rFonts w:ascii="Arial" w:cs="Arial" w:eastAsia="Arial" w:hAnsi="Arial"/>
                <w:sz w:val="20"/>
                <w:szCs w:val="20"/>
                <w:b w:val="1"/>
                <w:bCs w:val="1"/>
                <w:color w:val="auto"/>
              </w:rPr>
              <w:t>2018</w:t>
            </w:r>
          </w:p>
        </w:tc>
      </w:tr>
      <w:tr>
        <w:trPr>
          <w:trHeight w:val="23"/>
        </w:trPr>
        <w:tc>
          <w:tcPr>
            <w:tcW w:w="35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3520" w:type="dxa"/>
            <w:vAlign w:val="bottom"/>
            <w:shd w:val="clear" w:color="auto" w:fill="CCEEFF"/>
          </w:tcPr>
          <w:p>
            <w:pPr>
              <w:spacing w:after="0"/>
              <w:rPr>
                <w:sz w:val="21"/>
                <w:szCs w:val="21"/>
                <w:color w:val="auto"/>
              </w:rPr>
            </w:pPr>
          </w:p>
        </w:tc>
        <w:tc>
          <w:tcPr>
            <w:tcW w:w="4260" w:type="dxa"/>
            <w:vAlign w:val="bottom"/>
            <w:gridSpan w:val="2"/>
            <w:shd w:val="clear" w:color="auto" w:fill="CCEEFF"/>
          </w:tcPr>
          <w:p>
            <w:pPr>
              <w:spacing w:after="0" w:line="196" w:lineRule="exact"/>
              <w:rPr>
                <w:sz w:val="20"/>
                <w:szCs w:val="20"/>
                <w:color w:val="auto"/>
              </w:rPr>
            </w:pPr>
            <w:r>
              <w:rPr>
                <w:rFonts w:ascii="Arial" w:cs="Arial" w:eastAsia="Arial" w:hAnsi="Arial"/>
                <w:sz w:val="20"/>
                <w:szCs w:val="20"/>
                <w:b w:val="1"/>
                <w:bCs w:val="1"/>
                <w:color w:val="auto"/>
              </w:rPr>
              <w:t>ASSETS</w:t>
            </w:r>
          </w:p>
        </w:tc>
        <w:tc>
          <w:tcPr>
            <w:tcW w:w="12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61"/>
        </w:trPr>
        <w:tc>
          <w:tcPr>
            <w:tcW w:w="3520" w:type="dxa"/>
            <w:vAlign w:val="bottom"/>
            <w:tcBorders>
              <w:top w:val="single" w:sz="8" w:color="CCEEFF"/>
            </w:tcBorders>
          </w:tcPr>
          <w:p>
            <w:pPr>
              <w:ind w:left="40"/>
              <w:spacing w:after="0"/>
              <w:rPr>
                <w:sz w:val="20"/>
                <w:szCs w:val="20"/>
                <w:color w:val="auto"/>
              </w:rPr>
            </w:pPr>
            <w:r>
              <w:rPr>
                <w:rFonts w:ascii="Arial" w:cs="Arial" w:eastAsia="Arial" w:hAnsi="Arial"/>
                <w:sz w:val="20"/>
                <w:szCs w:val="20"/>
                <w:b w:val="1"/>
                <w:bCs w:val="1"/>
                <w:color w:val="auto"/>
              </w:rPr>
              <w:t>Current assets:</w:t>
            </w:r>
          </w:p>
        </w:tc>
        <w:tc>
          <w:tcPr>
            <w:tcW w:w="740" w:type="dxa"/>
            <w:vAlign w:val="bottom"/>
            <w:tcBorders>
              <w:top w:val="single" w:sz="8" w:color="auto"/>
            </w:tcBorders>
          </w:tcPr>
          <w:p>
            <w:pPr>
              <w:spacing w:after="0"/>
              <w:rPr>
                <w:sz w:val="22"/>
                <w:szCs w:val="22"/>
                <w:color w:val="auto"/>
              </w:rPr>
            </w:pPr>
          </w:p>
        </w:tc>
        <w:tc>
          <w:tcPr>
            <w:tcW w:w="3520" w:type="dxa"/>
            <w:vAlign w:val="bottom"/>
            <w:tcBorders>
              <w:top w:val="single" w:sz="8" w:color="CCEEFF"/>
            </w:tcBorders>
          </w:tcPr>
          <w:p>
            <w:pPr>
              <w:spacing w:after="0"/>
              <w:rPr>
                <w:sz w:val="22"/>
                <w:szCs w:val="22"/>
                <w:color w:val="auto"/>
              </w:rPr>
            </w:pPr>
          </w:p>
        </w:tc>
        <w:tc>
          <w:tcPr>
            <w:tcW w:w="1240" w:type="dxa"/>
            <w:vAlign w:val="bottom"/>
            <w:tcBorders>
              <w:top w:val="single" w:sz="8" w:color="CCEEFF"/>
            </w:tcBorders>
          </w:tcPr>
          <w:p>
            <w:pPr>
              <w:spacing w:after="0"/>
              <w:rPr>
                <w:sz w:val="22"/>
                <w:szCs w:val="22"/>
                <w:color w:val="auto"/>
              </w:rPr>
            </w:pPr>
          </w:p>
        </w:tc>
        <w:tc>
          <w:tcPr>
            <w:tcW w:w="46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1520" w:type="dxa"/>
            <w:vAlign w:val="bottom"/>
            <w:tcBorders>
              <w:top w:val="single" w:sz="8" w:color="CCEEFF"/>
            </w:tcBorders>
          </w:tcPr>
          <w:p>
            <w:pPr>
              <w:spacing w:after="0"/>
              <w:rPr>
                <w:sz w:val="22"/>
                <w:szCs w:val="22"/>
                <w:color w:val="auto"/>
              </w:rPr>
            </w:pPr>
          </w:p>
        </w:tc>
      </w:tr>
      <w:tr>
        <w:trPr>
          <w:trHeight w:val="23"/>
        </w:trPr>
        <w:tc>
          <w:tcPr>
            <w:tcW w:w="3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64"/>
        </w:trPr>
        <w:tc>
          <w:tcPr>
            <w:tcW w:w="3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Cash and cash equivalents</w:t>
            </w:r>
          </w:p>
        </w:tc>
        <w:tc>
          <w:tcPr>
            <w:tcW w:w="5500" w:type="dxa"/>
            <w:vAlign w:val="bottom"/>
            <w:tcBorders>
              <w:bottom w:val="single" w:sz="8" w:color="CCEEFF"/>
            </w:tcBorders>
            <w:gridSpan w:val="3"/>
            <w:shd w:val="clear" w:color="auto" w:fill="CCEEFF"/>
          </w:tcPr>
          <w:p>
            <w:pPr>
              <w:jc w:val="right"/>
              <w:ind w:right="1021"/>
              <w:spacing w:after="0"/>
              <w:rPr>
                <w:sz w:val="20"/>
                <w:szCs w:val="20"/>
                <w:color w:val="auto"/>
              </w:rPr>
            </w:pPr>
            <w:r>
              <w:rPr>
                <w:rFonts w:ascii="Arial" w:cs="Arial" w:eastAsia="Arial" w:hAnsi="Arial"/>
                <w:sz w:val="20"/>
                <w:szCs w:val="20"/>
                <w:color w:val="auto"/>
              </w:rPr>
              <w:t>$</w:t>
            </w:r>
          </w:p>
        </w:tc>
        <w:tc>
          <w:tcPr>
            <w:tcW w:w="4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11</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119</w:t>
            </w:r>
          </w:p>
        </w:tc>
      </w:tr>
      <w:tr>
        <w:trPr>
          <w:trHeight w:val="261"/>
        </w:trPr>
        <w:tc>
          <w:tcPr>
            <w:tcW w:w="3520" w:type="dxa"/>
            <w:vAlign w:val="bottom"/>
          </w:tcPr>
          <w:p>
            <w:pPr>
              <w:ind w:left="280"/>
              <w:spacing w:after="0"/>
              <w:rPr>
                <w:sz w:val="20"/>
                <w:szCs w:val="20"/>
                <w:color w:val="auto"/>
              </w:rPr>
            </w:pPr>
            <w:r>
              <w:rPr>
                <w:rFonts w:ascii="Arial" w:cs="Arial" w:eastAsia="Arial" w:hAnsi="Arial"/>
                <w:sz w:val="20"/>
                <w:szCs w:val="20"/>
                <w:color w:val="auto"/>
              </w:rPr>
              <w:t>Accounts receivable, net</w:t>
            </w:r>
          </w:p>
        </w:tc>
        <w:tc>
          <w:tcPr>
            <w:tcW w:w="7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60" w:type="dxa"/>
            <w:vAlign w:val="bottom"/>
          </w:tcPr>
          <w:p>
            <w:pPr>
              <w:jc w:val="right"/>
              <w:ind w:right="1"/>
              <w:spacing w:after="0"/>
              <w:rPr>
                <w:sz w:val="20"/>
                <w:szCs w:val="20"/>
                <w:color w:val="auto"/>
              </w:rPr>
            </w:pPr>
            <w:r>
              <w:rPr>
                <w:rFonts w:ascii="Arial" w:cs="Arial" w:eastAsia="Arial" w:hAnsi="Arial"/>
                <w:sz w:val="20"/>
                <w:szCs w:val="20"/>
                <w:color w:val="auto"/>
              </w:rPr>
              <w:t>150</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ind w:right="1"/>
              <w:spacing w:after="0"/>
              <w:rPr>
                <w:sz w:val="20"/>
                <w:szCs w:val="20"/>
                <w:color w:val="auto"/>
              </w:rPr>
            </w:pPr>
            <w:r>
              <w:rPr>
                <w:rFonts w:ascii="Arial" w:cs="Arial" w:eastAsia="Arial" w:hAnsi="Arial"/>
                <w:sz w:val="20"/>
                <w:szCs w:val="20"/>
                <w:color w:val="auto"/>
              </w:rPr>
              <w:t>193</w:t>
            </w:r>
          </w:p>
        </w:tc>
      </w:tr>
      <w:tr>
        <w:trPr>
          <w:trHeight w:val="23"/>
        </w:trPr>
        <w:tc>
          <w:tcPr>
            <w:tcW w:w="3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64"/>
        </w:trPr>
        <w:tc>
          <w:tcPr>
            <w:tcW w:w="3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Unbilled revenues</w:t>
            </w:r>
          </w:p>
        </w:tc>
        <w:tc>
          <w:tcPr>
            <w:tcW w:w="740" w:type="dxa"/>
            <w:vAlign w:val="bottom"/>
            <w:tcBorders>
              <w:bottom w:val="single" w:sz="8" w:color="CCEEFF"/>
            </w:tcBorders>
            <w:shd w:val="clear" w:color="auto" w:fill="CCEEFF"/>
          </w:tcPr>
          <w:p>
            <w:pPr>
              <w:spacing w:after="0"/>
              <w:rPr>
                <w:sz w:val="22"/>
                <w:szCs w:val="22"/>
                <w:color w:val="auto"/>
              </w:rPr>
            </w:pPr>
          </w:p>
        </w:tc>
        <w:tc>
          <w:tcPr>
            <w:tcW w:w="35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72</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96</w:t>
            </w:r>
          </w:p>
        </w:tc>
      </w:tr>
      <w:tr>
        <w:trPr>
          <w:trHeight w:val="261"/>
        </w:trPr>
        <w:tc>
          <w:tcPr>
            <w:tcW w:w="3520" w:type="dxa"/>
            <w:vAlign w:val="bottom"/>
          </w:tcPr>
          <w:p>
            <w:pPr>
              <w:ind w:left="280"/>
              <w:spacing w:after="0"/>
              <w:rPr>
                <w:sz w:val="20"/>
                <w:szCs w:val="20"/>
                <w:color w:val="auto"/>
              </w:rPr>
            </w:pPr>
            <w:r>
              <w:rPr>
                <w:rFonts w:ascii="Arial" w:cs="Arial" w:eastAsia="Arial" w:hAnsi="Arial"/>
                <w:sz w:val="20"/>
                <w:szCs w:val="20"/>
                <w:color w:val="auto"/>
              </w:rPr>
              <w:t>Inventories</w:t>
            </w:r>
          </w:p>
        </w:tc>
        <w:tc>
          <w:tcPr>
            <w:tcW w:w="7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60" w:type="dxa"/>
            <w:vAlign w:val="bottom"/>
          </w:tcPr>
          <w:p>
            <w:pPr>
              <w:jc w:val="right"/>
              <w:ind w:right="1"/>
              <w:spacing w:after="0"/>
              <w:rPr>
                <w:sz w:val="20"/>
                <w:szCs w:val="20"/>
                <w:color w:val="auto"/>
              </w:rPr>
            </w:pPr>
            <w:r>
              <w:rPr>
                <w:rFonts w:ascii="Arial" w:cs="Arial" w:eastAsia="Arial" w:hAnsi="Arial"/>
                <w:sz w:val="20"/>
                <w:szCs w:val="20"/>
                <w:color w:val="auto"/>
              </w:rPr>
              <w:t>101</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ind w:right="1"/>
              <w:spacing w:after="0"/>
              <w:rPr>
                <w:sz w:val="20"/>
                <w:szCs w:val="20"/>
                <w:color w:val="auto"/>
              </w:rPr>
            </w:pPr>
            <w:r>
              <w:rPr>
                <w:rFonts w:ascii="Arial" w:cs="Arial" w:eastAsia="Arial" w:hAnsi="Arial"/>
                <w:sz w:val="20"/>
                <w:szCs w:val="20"/>
                <w:color w:val="auto"/>
              </w:rPr>
              <w:t>84</w:t>
            </w:r>
          </w:p>
        </w:tc>
      </w:tr>
      <w:tr>
        <w:trPr>
          <w:trHeight w:val="23"/>
        </w:trPr>
        <w:tc>
          <w:tcPr>
            <w:tcW w:w="3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64"/>
        </w:trPr>
        <w:tc>
          <w:tcPr>
            <w:tcW w:w="3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Regulatory assets—current</w:t>
            </w:r>
          </w:p>
        </w:tc>
        <w:tc>
          <w:tcPr>
            <w:tcW w:w="740" w:type="dxa"/>
            <w:vAlign w:val="bottom"/>
            <w:tcBorders>
              <w:bottom w:val="single" w:sz="8" w:color="CCEEFF"/>
            </w:tcBorders>
            <w:shd w:val="clear" w:color="auto" w:fill="CCEEFF"/>
          </w:tcPr>
          <w:p>
            <w:pPr>
              <w:spacing w:after="0"/>
              <w:rPr>
                <w:sz w:val="22"/>
                <w:szCs w:val="22"/>
                <w:color w:val="auto"/>
              </w:rPr>
            </w:pPr>
          </w:p>
        </w:tc>
        <w:tc>
          <w:tcPr>
            <w:tcW w:w="35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37</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61</w:t>
            </w:r>
          </w:p>
        </w:tc>
      </w:tr>
      <w:tr>
        <w:trPr>
          <w:trHeight w:val="261"/>
        </w:trPr>
        <w:tc>
          <w:tcPr>
            <w:tcW w:w="3520" w:type="dxa"/>
            <w:vAlign w:val="bottom"/>
          </w:tcPr>
          <w:p>
            <w:pPr>
              <w:ind w:left="280"/>
              <w:spacing w:after="0"/>
              <w:rPr>
                <w:sz w:val="20"/>
                <w:szCs w:val="20"/>
                <w:color w:val="auto"/>
              </w:rPr>
            </w:pPr>
            <w:r>
              <w:rPr>
                <w:rFonts w:ascii="Arial" w:cs="Arial" w:eastAsia="Arial" w:hAnsi="Arial"/>
                <w:sz w:val="20"/>
                <w:szCs w:val="20"/>
                <w:color w:val="auto"/>
              </w:rPr>
              <w:t>Other current assets</w:t>
            </w:r>
          </w:p>
        </w:tc>
        <w:tc>
          <w:tcPr>
            <w:tcW w:w="7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60" w:type="dxa"/>
            <w:vAlign w:val="bottom"/>
          </w:tcPr>
          <w:p>
            <w:pPr>
              <w:jc w:val="right"/>
              <w:ind w:right="1"/>
              <w:spacing w:after="0"/>
              <w:rPr>
                <w:sz w:val="20"/>
                <w:szCs w:val="20"/>
                <w:color w:val="auto"/>
              </w:rPr>
            </w:pPr>
            <w:r>
              <w:rPr>
                <w:rFonts w:ascii="Arial" w:cs="Arial" w:eastAsia="Arial" w:hAnsi="Arial"/>
                <w:sz w:val="20"/>
                <w:szCs w:val="20"/>
                <w:color w:val="auto"/>
              </w:rPr>
              <w:t>69</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ind w:right="1"/>
              <w:spacing w:after="0"/>
              <w:rPr>
                <w:sz w:val="20"/>
                <w:szCs w:val="20"/>
                <w:color w:val="auto"/>
              </w:rPr>
            </w:pPr>
            <w:r>
              <w:rPr>
                <w:rFonts w:ascii="Arial" w:cs="Arial" w:eastAsia="Arial" w:hAnsi="Arial"/>
                <w:sz w:val="20"/>
                <w:szCs w:val="20"/>
                <w:color w:val="auto"/>
              </w:rPr>
              <w:t>90</w:t>
            </w:r>
          </w:p>
        </w:tc>
      </w:tr>
    </w:tbl>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78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20"/>
                <w:szCs w:val="20"/>
                <w:b w:val="1"/>
                <w:bCs w:val="1"/>
                <w:color w:val="auto"/>
              </w:rPr>
              <w:t>Total current assets</w:t>
            </w:r>
          </w:p>
        </w:tc>
        <w:tc>
          <w:tcPr>
            <w:tcW w:w="640" w:type="dxa"/>
            <w:vAlign w:val="bottom"/>
            <w:tcBorders>
              <w:top w:val="single" w:sz="8" w:color="auto"/>
              <w:bottom w:val="single" w:sz="8" w:color="CCEEFF"/>
            </w:tcBorders>
            <w:shd w:val="clear" w:color="auto" w:fill="CCEEFF"/>
          </w:tcPr>
          <w:p>
            <w:pPr>
              <w:spacing w:after="0"/>
              <w:rPr>
                <w:sz w:val="24"/>
                <w:szCs w:val="24"/>
                <w:color w:val="auto"/>
              </w:rPr>
            </w:pPr>
          </w:p>
        </w:tc>
        <w:tc>
          <w:tcPr>
            <w:tcW w:w="106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b w:val="1"/>
                <w:bCs w:val="1"/>
                <w:color w:val="auto"/>
              </w:rPr>
              <w:t>440</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640" w:type="dxa"/>
            <w:vAlign w:val="bottom"/>
            <w:tcBorders>
              <w:top w:val="single" w:sz="8" w:color="auto"/>
              <w:bottom w:val="single" w:sz="8" w:color="CCEEFF"/>
            </w:tcBorders>
            <w:shd w:val="clear" w:color="auto" w:fill="CCEEFF"/>
          </w:tcPr>
          <w:p>
            <w:pPr>
              <w:spacing w:after="0"/>
              <w:rPr>
                <w:sz w:val="24"/>
                <w:szCs w:val="24"/>
                <w:color w:val="auto"/>
              </w:rPr>
            </w:pPr>
          </w:p>
        </w:tc>
        <w:tc>
          <w:tcPr>
            <w:tcW w:w="108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b w:val="1"/>
                <w:bCs w:val="1"/>
                <w:color w:val="auto"/>
              </w:rPr>
              <w:t>643</w:t>
            </w:r>
          </w:p>
        </w:tc>
      </w:tr>
      <w:tr>
        <w:trPr>
          <w:trHeight w:val="254"/>
        </w:trPr>
        <w:tc>
          <w:tcPr>
            <w:tcW w:w="7780" w:type="dxa"/>
            <w:vAlign w:val="bottom"/>
          </w:tcPr>
          <w:p>
            <w:pPr>
              <w:ind w:left="40"/>
              <w:spacing w:after="0"/>
              <w:rPr>
                <w:sz w:val="20"/>
                <w:szCs w:val="20"/>
                <w:color w:val="auto"/>
              </w:rPr>
            </w:pPr>
            <w:r>
              <w:rPr>
                <w:rFonts w:ascii="Arial" w:cs="Arial" w:eastAsia="Arial" w:hAnsi="Arial"/>
                <w:sz w:val="20"/>
                <w:szCs w:val="20"/>
                <w:color w:val="auto"/>
              </w:rPr>
              <w:t>Electric utility plant, net</w:t>
            </w:r>
          </w:p>
        </w:tc>
        <w:tc>
          <w:tcPr>
            <w:tcW w:w="64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6,952</w:t>
            </w:r>
          </w:p>
        </w:tc>
        <w:tc>
          <w:tcPr>
            <w:tcW w:w="220" w:type="dxa"/>
            <w:vAlign w:val="bottom"/>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6,887</w:t>
            </w:r>
          </w:p>
        </w:tc>
      </w:tr>
      <w:tr>
        <w:trPr>
          <w:trHeight w:val="23"/>
        </w:trPr>
        <w:tc>
          <w:tcPr>
            <w:tcW w:w="7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Regulatory assets—noncurrent</w:t>
            </w:r>
          </w:p>
        </w:tc>
        <w:tc>
          <w:tcPr>
            <w:tcW w:w="6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380</w:t>
            </w:r>
          </w:p>
        </w:tc>
        <w:tc>
          <w:tcPr>
            <w:tcW w:w="2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401</w:t>
            </w:r>
          </w:p>
        </w:tc>
      </w:tr>
      <w:tr>
        <w:trPr>
          <w:trHeight w:val="261"/>
        </w:trPr>
        <w:tc>
          <w:tcPr>
            <w:tcW w:w="7780" w:type="dxa"/>
            <w:vAlign w:val="bottom"/>
          </w:tcPr>
          <w:p>
            <w:pPr>
              <w:ind w:left="40"/>
              <w:spacing w:after="0"/>
              <w:rPr>
                <w:sz w:val="20"/>
                <w:szCs w:val="20"/>
                <w:color w:val="auto"/>
              </w:rPr>
            </w:pPr>
            <w:r>
              <w:rPr>
                <w:rFonts w:ascii="Arial" w:cs="Arial" w:eastAsia="Arial" w:hAnsi="Arial"/>
                <w:sz w:val="20"/>
                <w:szCs w:val="20"/>
                <w:color w:val="auto"/>
              </w:rPr>
              <w:t>Nuclear decommissioning trust</w:t>
            </w:r>
          </w:p>
        </w:tc>
        <w:tc>
          <w:tcPr>
            <w:tcW w:w="640" w:type="dxa"/>
            <w:vAlign w:val="bottom"/>
          </w:tcPr>
          <w:p>
            <w:pPr>
              <w:spacing w:after="0"/>
              <w:rPr>
                <w:sz w:val="22"/>
                <w:szCs w:val="22"/>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46</w:t>
            </w: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42</w:t>
            </w:r>
          </w:p>
        </w:tc>
      </w:tr>
      <w:tr>
        <w:trPr>
          <w:trHeight w:val="23"/>
        </w:trPr>
        <w:tc>
          <w:tcPr>
            <w:tcW w:w="7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Non-qualified benefit plan trust</w:t>
            </w:r>
          </w:p>
        </w:tc>
        <w:tc>
          <w:tcPr>
            <w:tcW w:w="6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37</w:t>
            </w:r>
          </w:p>
        </w:tc>
        <w:tc>
          <w:tcPr>
            <w:tcW w:w="2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36</w:t>
            </w:r>
          </w:p>
        </w:tc>
      </w:tr>
      <w:tr>
        <w:trPr>
          <w:trHeight w:val="261"/>
        </w:trPr>
        <w:tc>
          <w:tcPr>
            <w:tcW w:w="7780" w:type="dxa"/>
            <w:vAlign w:val="bottom"/>
          </w:tcPr>
          <w:p>
            <w:pPr>
              <w:ind w:left="40"/>
              <w:spacing w:after="0"/>
              <w:rPr>
                <w:sz w:val="20"/>
                <w:szCs w:val="20"/>
                <w:color w:val="auto"/>
              </w:rPr>
            </w:pPr>
            <w:r>
              <w:rPr>
                <w:rFonts w:ascii="Arial" w:cs="Arial" w:eastAsia="Arial" w:hAnsi="Arial"/>
                <w:sz w:val="20"/>
                <w:szCs w:val="20"/>
                <w:color w:val="auto"/>
              </w:rPr>
              <w:t>Other noncurrent assets</w:t>
            </w:r>
          </w:p>
        </w:tc>
        <w:tc>
          <w:tcPr>
            <w:tcW w:w="640" w:type="dxa"/>
            <w:vAlign w:val="bottom"/>
          </w:tcPr>
          <w:p>
            <w:pPr>
              <w:spacing w:after="0"/>
              <w:rPr>
                <w:sz w:val="22"/>
                <w:szCs w:val="22"/>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142</w:t>
            </w: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101</w:t>
            </w:r>
          </w:p>
        </w:tc>
      </w:tr>
      <w:tr>
        <w:trPr>
          <w:trHeight w:val="23"/>
        </w:trPr>
        <w:tc>
          <w:tcPr>
            <w:tcW w:w="77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72"/>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b w:val="1"/>
                <w:bCs w:val="1"/>
                <w:color w:val="auto"/>
              </w:rPr>
              <w:t>Total assets</w:t>
            </w:r>
          </w:p>
        </w:tc>
        <w:tc>
          <w:tcPr>
            <w:tcW w:w="640" w:type="dxa"/>
            <w:vAlign w:val="bottom"/>
            <w:tcBorders>
              <w:bottom w:val="single" w:sz="8" w:color="auto"/>
            </w:tcBorders>
            <w:shd w:val="clear" w:color="auto" w:fill="CCEEFF"/>
          </w:tcPr>
          <w:p>
            <w:pPr>
              <w:jc w:val="right"/>
              <w:ind w:right="421"/>
              <w:spacing w:after="0"/>
              <w:rPr>
                <w:sz w:val="20"/>
                <w:szCs w:val="20"/>
                <w:color w:val="auto"/>
              </w:rPr>
            </w:pPr>
            <w:r>
              <w:rPr>
                <w:rFonts w:ascii="Arial" w:cs="Arial" w:eastAsia="Arial" w:hAnsi="Arial"/>
                <w:sz w:val="20"/>
                <w:szCs w:val="20"/>
                <w:b w:val="1"/>
                <w:bCs w:val="1"/>
                <w:color w:val="auto"/>
                <w:w w:val="89"/>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b w:val="1"/>
                <w:bCs w:val="1"/>
                <w:color w:val="auto"/>
              </w:rPr>
              <w:t>7,997</w:t>
            </w: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01"/>
              <w:spacing w:after="0"/>
              <w:rPr>
                <w:sz w:val="20"/>
                <w:szCs w:val="20"/>
                <w:color w:val="auto"/>
              </w:rPr>
            </w:pPr>
            <w:r>
              <w:rPr>
                <w:rFonts w:ascii="Arial" w:cs="Arial" w:eastAsia="Arial" w:hAnsi="Arial"/>
                <w:sz w:val="20"/>
                <w:szCs w:val="20"/>
                <w:b w:val="1"/>
                <w:bCs w:val="1"/>
                <w:color w:val="auto"/>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b w:val="1"/>
                <w:bCs w:val="1"/>
                <w:color w:val="auto"/>
              </w:rPr>
              <w:t>8,110</w:t>
            </w:r>
          </w:p>
        </w:tc>
      </w:tr>
      <w:tr>
        <w:trPr>
          <w:trHeight w:val="20"/>
        </w:trPr>
        <w:tc>
          <w:tcPr>
            <w:tcW w:w="77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PORTLAND GENERAL ELECTRIC COMPANY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CONDENSED CONSOLIDATED BALANCE SHEETS, continued</w:t>
      </w:r>
    </w:p>
    <w:p>
      <w:pPr>
        <w:jc w:val="center"/>
        <w:ind w:right="-19"/>
        <w:spacing w:after="0"/>
        <w:rPr>
          <w:sz w:val="20"/>
          <w:szCs w:val="20"/>
          <w:color w:val="auto"/>
        </w:rPr>
      </w:pPr>
      <w:r>
        <w:rPr>
          <w:rFonts w:ascii="Arial" w:cs="Arial" w:eastAsia="Arial" w:hAnsi="Arial"/>
          <w:sz w:val="20"/>
          <w:szCs w:val="20"/>
          <w:color w:val="auto"/>
        </w:rPr>
        <w:t>(Dollars in millions)</w:t>
      </w:r>
    </w:p>
    <w:p>
      <w:pPr>
        <w:jc w:val="center"/>
        <w:ind w:right="-19"/>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60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20"/>
                <w:szCs w:val="20"/>
                <w:b w:val="1"/>
                <w:bCs w:val="1"/>
                <w:color w:val="auto"/>
              </w:rPr>
              <w:t>June 30,</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ind w:right="261"/>
              <w:spacing w:after="0"/>
              <w:rPr>
                <w:sz w:val="20"/>
                <w:szCs w:val="20"/>
                <w:color w:val="auto"/>
              </w:rPr>
            </w:pPr>
            <w:r>
              <w:rPr>
                <w:rFonts w:ascii="Arial" w:cs="Arial" w:eastAsia="Arial" w:hAnsi="Arial"/>
                <w:sz w:val="20"/>
                <w:szCs w:val="20"/>
                <w:b w:val="1"/>
                <w:bCs w:val="1"/>
                <w:color w:val="auto"/>
                <w:w w:val="93"/>
              </w:rPr>
              <w:t>December 31,</w:t>
            </w:r>
          </w:p>
        </w:tc>
      </w:tr>
      <w:tr>
        <w:trPr>
          <w:trHeight w:val="256"/>
        </w:trPr>
        <w:tc>
          <w:tcPr>
            <w:tcW w:w="1600" w:type="dxa"/>
            <w:vAlign w:val="bottom"/>
          </w:tcPr>
          <w:p>
            <w:pPr>
              <w:spacing w:after="0"/>
              <w:rPr>
                <w:sz w:val="22"/>
                <w:szCs w:val="22"/>
                <w:color w:val="auto"/>
              </w:rPr>
            </w:pPr>
          </w:p>
        </w:tc>
        <w:tc>
          <w:tcPr>
            <w:tcW w:w="43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b w:val="1"/>
                <w:bCs w:val="1"/>
                <w:color w:val="auto"/>
              </w:rPr>
              <w:t>2019</w:t>
            </w: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tcPr>
          <w:p>
            <w:pPr>
              <w:jc w:val="right"/>
              <w:ind w:right="621"/>
              <w:spacing w:after="0"/>
              <w:rPr>
                <w:sz w:val="20"/>
                <w:szCs w:val="20"/>
                <w:color w:val="auto"/>
              </w:rPr>
            </w:pPr>
            <w:r>
              <w:rPr>
                <w:rFonts w:ascii="Arial" w:cs="Arial" w:eastAsia="Arial" w:hAnsi="Arial"/>
                <w:sz w:val="20"/>
                <w:szCs w:val="20"/>
                <w:b w:val="1"/>
                <w:bCs w:val="1"/>
                <w:color w:val="auto"/>
              </w:rPr>
              <w:t>2018</w:t>
            </w:r>
          </w:p>
        </w:tc>
      </w:tr>
      <w:tr>
        <w:trPr>
          <w:trHeight w:val="23"/>
        </w:trPr>
        <w:tc>
          <w:tcPr>
            <w:tcW w:w="160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160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20"/>
                <w:szCs w:val="20"/>
                <w:b w:val="1"/>
                <w:bCs w:val="1"/>
                <w:color w:val="auto"/>
              </w:rPr>
              <w:t>LIABILITIES AND SHAREHOLDERS’ EQUITY</w:t>
            </w:r>
          </w:p>
        </w:tc>
        <w:tc>
          <w:tcPr>
            <w:tcW w:w="16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61"/>
        </w:trPr>
        <w:tc>
          <w:tcPr>
            <w:tcW w:w="7500" w:type="dxa"/>
            <w:vAlign w:val="bottom"/>
            <w:gridSpan w:val="3"/>
          </w:tcPr>
          <w:p>
            <w:pPr>
              <w:ind w:left="20"/>
              <w:spacing w:after="0"/>
              <w:rPr>
                <w:sz w:val="20"/>
                <w:szCs w:val="20"/>
                <w:color w:val="auto"/>
              </w:rPr>
            </w:pPr>
            <w:r>
              <w:rPr>
                <w:rFonts w:ascii="Arial" w:cs="Arial" w:eastAsia="Arial" w:hAnsi="Arial"/>
                <w:sz w:val="20"/>
                <w:szCs w:val="20"/>
                <w:b w:val="1"/>
                <w:bCs w:val="1"/>
                <w:color w:val="auto"/>
              </w:rPr>
              <w:t>Current liabilities:</w:t>
            </w:r>
          </w:p>
        </w:tc>
        <w:tc>
          <w:tcPr>
            <w:tcW w:w="1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3"/>
        </w:trPr>
        <w:tc>
          <w:tcPr>
            <w:tcW w:w="16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64"/>
        </w:trPr>
        <w:tc>
          <w:tcPr>
            <w:tcW w:w="75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20"/>
                <w:szCs w:val="20"/>
                <w:color w:val="auto"/>
              </w:rPr>
              <w:t>Accounts payable</w:t>
            </w:r>
          </w:p>
        </w:tc>
        <w:tc>
          <w:tcPr>
            <w:tcW w:w="1260" w:type="dxa"/>
            <w:vAlign w:val="bottom"/>
            <w:tcBorders>
              <w:bottom w:val="single" w:sz="8" w:color="CCEEFF"/>
            </w:tcBorders>
            <w:shd w:val="clear" w:color="auto" w:fill="CCEEFF"/>
          </w:tcPr>
          <w:p>
            <w:pPr>
              <w:jc w:val="right"/>
              <w:ind w:right="1041"/>
              <w:spacing w:after="0"/>
              <w:rPr>
                <w:sz w:val="20"/>
                <w:szCs w:val="20"/>
                <w:color w:val="auto"/>
              </w:rPr>
            </w:pPr>
            <w:r>
              <w:rPr>
                <w:rFonts w:ascii="Arial" w:cs="Arial" w:eastAsia="Arial" w:hAnsi="Arial"/>
                <w:sz w:val="20"/>
                <w:szCs w:val="20"/>
                <w:color w:val="auto"/>
                <w:w w:val="89"/>
              </w:rPr>
              <w:t>$</w:t>
            </w:r>
          </w:p>
        </w:tc>
        <w:tc>
          <w:tcPr>
            <w:tcW w:w="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119</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16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168</w:t>
            </w:r>
          </w:p>
        </w:tc>
      </w:tr>
      <w:tr>
        <w:trPr>
          <w:trHeight w:val="261"/>
        </w:trPr>
        <w:tc>
          <w:tcPr>
            <w:tcW w:w="7500" w:type="dxa"/>
            <w:vAlign w:val="bottom"/>
            <w:gridSpan w:val="3"/>
          </w:tcPr>
          <w:p>
            <w:pPr>
              <w:ind w:left="280"/>
              <w:spacing w:after="0"/>
              <w:rPr>
                <w:sz w:val="20"/>
                <w:szCs w:val="20"/>
                <w:color w:val="auto"/>
              </w:rPr>
            </w:pPr>
            <w:r>
              <w:rPr>
                <w:rFonts w:ascii="Arial" w:cs="Arial" w:eastAsia="Arial" w:hAnsi="Arial"/>
                <w:sz w:val="20"/>
                <w:szCs w:val="20"/>
                <w:color w:val="auto"/>
              </w:rPr>
              <w:t>Liabilities from price risk management activities—current</w:t>
            </w:r>
          </w:p>
        </w:tc>
        <w:tc>
          <w:tcPr>
            <w:tcW w:w="1260" w:type="dxa"/>
            <w:vAlign w:val="bottom"/>
          </w:tcPr>
          <w:p>
            <w:pPr>
              <w:spacing w:after="0"/>
              <w:rPr>
                <w:sz w:val="22"/>
                <w:szCs w:val="22"/>
                <w:color w:val="auto"/>
              </w:rPr>
            </w:pPr>
          </w:p>
        </w:tc>
        <w:tc>
          <w:tcPr>
            <w:tcW w:w="580" w:type="dxa"/>
            <w:vAlign w:val="bottom"/>
          </w:tcPr>
          <w:p>
            <w:pPr>
              <w:jc w:val="right"/>
              <w:ind w:right="21"/>
              <w:spacing w:after="0"/>
              <w:rPr>
                <w:sz w:val="20"/>
                <w:szCs w:val="20"/>
                <w:color w:val="auto"/>
              </w:rPr>
            </w:pPr>
            <w:r>
              <w:rPr>
                <w:rFonts w:ascii="Arial" w:cs="Arial" w:eastAsia="Arial" w:hAnsi="Arial"/>
                <w:sz w:val="20"/>
                <w:szCs w:val="20"/>
                <w:color w:val="auto"/>
              </w:rPr>
              <w:t>40</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tcPr>
          <w:p>
            <w:pPr>
              <w:jc w:val="right"/>
              <w:ind w:right="1"/>
              <w:spacing w:after="0"/>
              <w:rPr>
                <w:sz w:val="20"/>
                <w:szCs w:val="20"/>
                <w:color w:val="auto"/>
              </w:rPr>
            </w:pPr>
            <w:r>
              <w:rPr>
                <w:rFonts w:ascii="Arial" w:cs="Arial" w:eastAsia="Arial" w:hAnsi="Arial"/>
                <w:sz w:val="20"/>
                <w:szCs w:val="20"/>
                <w:color w:val="auto"/>
              </w:rPr>
              <w:t>55</w:t>
            </w:r>
          </w:p>
        </w:tc>
      </w:tr>
      <w:tr>
        <w:trPr>
          <w:trHeight w:val="23"/>
        </w:trPr>
        <w:tc>
          <w:tcPr>
            <w:tcW w:w="16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64"/>
        </w:trPr>
        <w:tc>
          <w:tcPr>
            <w:tcW w:w="75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20"/>
                <w:szCs w:val="20"/>
                <w:color w:val="auto"/>
              </w:rPr>
              <w:t>Short-term debt</w:t>
            </w:r>
          </w:p>
        </w:tc>
        <w:tc>
          <w:tcPr>
            <w:tcW w:w="12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17</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r>
      <w:tr>
        <w:trPr>
          <w:trHeight w:val="261"/>
        </w:trPr>
        <w:tc>
          <w:tcPr>
            <w:tcW w:w="7500" w:type="dxa"/>
            <w:vAlign w:val="bottom"/>
            <w:gridSpan w:val="3"/>
          </w:tcPr>
          <w:p>
            <w:pPr>
              <w:ind w:left="280"/>
              <w:spacing w:after="0"/>
              <w:rPr>
                <w:sz w:val="20"/>
                <w:szCs w:val="20"/>
                <w:color w:val="auto"/>
              </w:rPr>
            </w:pPr>
            <w:r>
              <w:rPr>
                <w:rFonts w:ascii="Arial" w:cs="Arial" w:eastAsia="Arial" w:hAnsi="Arial"/>
                <w:sz w:val="20"/>
                <w:szCs w:val="20"/>
                <w:color w:val="auto"/>
              </w:rPr>
              <w:t>Current portion of long-term debt</w:t>
            </w:r>
          </w:p>
        </w:tc>
        <w:tc>
          <w:tcPr>
            <w:tcW w:w="1260" w:type="dxa"/>
            <w:vAlign w:val="bottom"/>
          </w:tcPr>
          <w:p>
            <w:pPr>
              <w:spacing w:after="0"/>
              <w:rPr>
                <w:sz w:val="22"/>
                <w:szCs w:val="22"/>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2"/>
                <w:szCs w:val="22"/>
                <w:color w:val="auto"/>
              </w:rPr>
            </w:pPr>
          </w:p>
        </w:tc>
        <w:tc>
          <w:tcPr>
            <w:tcW w:w="1600" w:type="dxa"/>
            <w:vAlign w:val="bottom"/>
          </w:tcPr>
          <w:p>
            <w:pPr>
              <w:jc w:val="right"/>
              <w:ind w:right="1"/>
              <w:spacing w:after="0"/>
              <w:rPr>
                <w:sz w:val="20"/>
                <w:szCs w:val="20"/>
                <w:color w:val="auto"/>
              </w:rPr>
            </w:pPr>
            <w:r>
              <w:rPr>
                <w:rFonts w:ascii="Arial" w:cs="Arial" w:eastAsia="Arial" w:hAnsi="Arial"/>
                <w:sz w:val="20"/>
                <w:szCs w:val="20"/>
                <w:color w:val="auto"/>
              </w:rPr>
              <w:t>300</w:t>
            </w:r>
          </w:p>
        </w:tc>
      </w:tr>
      <w:tr>
        <w:trPr>
          <w:trHeight w:val="23"/>
        </w:trPr>
        <w:tc>
          <w:tcPr>
            <w:tcW w:w="16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64"/>
        </w:trPr>
        <w:tc>
          <w:tcPr>
            <w:tcW w:w="75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20"/>
                <w:szCs w:val="20"/>
                <w:color w:val="auto"/>
              </w:rPr>
              <w:t>Current portion of finance lease obligation</w:t>
            </w:r>
          </w:p>
        </w:tc>
        <w:tc>
          <w:tcPr>
            <w:tcW w:w="12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17</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r>
      <w:tr>
        <w:trPr>
          <w:trHeight w:val="261"/>
        </w:trPr>
        <w:tc>
          <w:tcPr>
            <w:tcW w:w="7500" w:type="dxa"/>
            <w:vAlign w:val="bottom"/>
            <w:gridSpan w:val="3"/>
          </w:tcPr>
          <w:p>
            <w:pPr>
              <w:ind w:left="280"/>
              <w:spacing w:after="0"/>
              <w:rPr>
                <w:sz w:val="20"/>
                <w:szCs w:val="20"/>
                <w:color w:val="auto"/>
              </w:rPr>
            </w:pPr>
            <w:r>
              <w:rPr>
                <w:rFonts w:ascii="Arial" w:cs="Arial" w:eastAsia="Arial" w:hAnsi="Arial"/>
                <w:sz w:val="20"/>
                <w:szCs w:val="20"/>
                <w:color w:val="auto"/>
              </w:rPr>
              <w:t>Accrued expenses and other current liabilities</w:t>
            </w:r>
          </w:p>
        </w:tc>
        <w:tc>
          <w:tcPr>
            <w:tcW w:w="1260" w:type="dxa"/>
            <w:vAlign w:val="bottom"/>
          </w:tcPr>
          <w:p>
            <w:pPr>
              <w:spacing w:after="0"/>
              <w:rPr>
                <w:sz w:val="22"/>
                <w:szCs w:val="22"/>
                <w:color w:val="auto"/>
              </w:rPr>
            </w:pPr>
          </w:p>
        </w:tc>
        <w:tc>
          <w:tcPr>
            <w:tcW w:w="580" w:type="dxa"/>
            <w:vAlign w:val="bottom"/>
          </w:tcPr>
          <w:p>
            <w:pPr>
              <w:jc w:val="right"/>
              <w:ind w:right="21"/>
              <w:spacing w:after="0"/>
              <w:rPr>
                <w:sz w:val="20"/>
                <w:szCs w:val="20"/>
                <w:color w:val="auto"/>
              </w:rPr>
            </w:pPr>
            <w:r>
              <w:rPr>
                <w:rFonts w:ascii="Arial" w:cs="Arial" w:eastAsia="Arial" w:hAnsi="Arial"/>
                <w:sz w:val="20"/>
                <w:szCs w:val="20"/>
                <w:color w:val="auto"/>
              </w:rPr>
              <w:t>247</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tcPr>
          <w:p>
            <w:pPr>
              <w:jc w:val="right"/>
              <w:ind w:right="1"/>
              <w:spacing w:after="0"/>
              <w:rPr>
                <w:sz w:val="20"/>
                <w:szCs w:val="20"/>
                <w:color w:val="auto"/>
              </w:rPr>
            </w:pPr>
            <w:r>
              <w:rPr>
                <w:rFonts w:ascii="Arial" w:cs="Arial" w:eastAsia="Arial" w:hAnsi="Arial"/>
                <w:sz w:val="20"/>
                <w:szCs w:val="20"/>
                <w:color w:val="auto"/>
              </w:rPr>
              <w:t>268</w:t>
            </w:r>
          </w:p>
        </w:tc>
      </w:tr>
      <w:tr>
        <w:trPr>
          <w:trHeight w:val="23"/>
        </w:trPr>
        <w:tc>
          <w:tcPr>
            <w:tcW w:w="160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77"/>
        </w:trPr>
        <w:tc>
          <w:tcPr>
            <w:tcW w:w="750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20"/>
                <w:szCs w:val="20"/>
                <w:b w:val="1"/>
                <w:bCs w:val="1"/>
                <w:color w:val="auto"/>
              </w:rPr>
              <w:t>Total current liabilities</w:t>
            </w:r>
          </w:p>
        </w:tc>
        <w:tc>
          <w:tcPr>
            <w:tcW w:w="12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b w:val="1"/>
                <w:bCs w:val="1"/>
                <w:color w:val="auto"/>
              </w:rPr>
              <w:t>440</w:t>
            </w:r>
          </w:p>
        </w:tc>
        <w:tc>
          <w:tcPr>
            <w:tcW w:w="2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b w:val="1"/>
                <w:bCs w:val="1"/>
                <w:color w:val="auto"/>
              </w:rPr>
              <w:t>791</w:t>
            </w:r>
          </w:p>
        </w:tc>
      </w:tr>
      <w:tr>
        <w:trPr>
          <w:trHeight w:val="254"/>
        </w:trPr>
        <w:tc>
          <w:tcPr>
            <w:tcW w:w="7500" w:type="dxa"/>
            <w:vAlign w:val="bottom"/>
            <w:gridSpan w:val="3"/>
          </w:tcPr>
          <w:p>
            <w:pPr>
              <w:ind w:left="20"/>
              <w:spacing w:after="0"/>
              <w:rPr>
                <w:sz w:val="20"/>
                <w:szCs w:val="20"/>
                <w:color w:val="auto"/>
              </w:rPr>
            </w:pPr>
            <w:r>
              <w:rPr>
                <w:rFonts w:ascii="Arial" w:cs="Arial" w:eastAsia="Arial" w:hAnsi="Arial"/>
                <w:sz w:val="20"/>
                <w:szCs w:val="20"/>
                <w:color w:val="auto"/>
              </w:rPr>
              <w:t>Long-term debt, net of current portion</w:t>
            </w:r>
          </w:p>
        </w:tc>
        <w:tc>
          <w:tcPr>
            <w:tcW w:w="126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w w:val="87"/>
              </w:rPr>
              <w:t>2,377</w:t>
            </w:r>
          </w:p>
        </w:tc>
        <w:tc>
          <w:tcPr>
            <w:tcW w:w="2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60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2,178</w:t>
            </w:r>
          </w:p>
        </w:tc>
      </w:tr>
      <w:tr>
        <w:trPr>
          <w:trHeight w:val="23"/>
        </w:trPr>
        <w:tc>
          <w:tcPr>
            <w:tcW w:w="16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64"/>
        </w:trPr>
        <w:tc>
          <w:tcPr>
            <w:tcW w:w="7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20"/>
                <w:szCs w:val="20"/>
                <w:color w:val="auto"/>
              </w:rPr>
              <w:t>Regulatory liabilities—noncurrent</w:t>
            </w:r>
          </w:p>
        </w:tc>
        <w:tc>
          <w:tcPr>
            <w:tcW w:w="12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87"/>
              </w:rPr>
              <w:t>1,365</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1,355</w:t>
            </w:r>
          </w:p>
        </w:tc>
      </w:tr>
      <w:tr>
        <w:trPr>
          <w:trHeight w:val="261"/>
        </w:trPr>
        <w:tc>
          <w:tcPr>
            <w:tcW w:w="7500" w:type="dxa"/>
            <w:vAlign w:val="bottom"/>
            <w:gridSpan w:val="3"/>
          </w:tcPr>
          <w:p>
            <w:pPr>
              <w:ind w:left="20"/>
              <w:spacing w:after="0"/>
              <w:rPr>
                <w:sz w:val="20"/>
                <w:szCs w:val="20"/>
                <w:color w:val="auto"/>
              </w:rPr>
            </w:pPr>
            <w:r>
              <w:rPr>
                <w:rFonts w:ascii="Arial" w:cs="Arial" w:eastAsia="Arial" w:hAnsi="Arial"/>
                <w:sz w:val="20"/>
                <w:szCs w:val="20"/>
                <w:color w:val="auto"/>
              </w:rPr>
              <w:t>Deferred income taxes</w:t>
            </w:r>
          </w:p>
        </w:tc>
        <w:tc>
          <w:tcPr>
            <w:tcW w:w="1260" w:type="dxa"/>
            <w:vAlign w:val="bottom"/>
          </w:tcPr>
          <w:p>
            <w:pPr>
              <w:spacing w:after="0"/>
              <w:rPr>
                <w:sz w:val="22"/>
                <w:szCs w:val="22"/>
                <w:color w:val="auto"/>
              </w:rPr>
            </w:pPr>
          </w:p>
        </w:tc>
        <w:tc>
          <w:tcPr>
            <w:tcW w:w="580" w:type="dxa"/>
            <w:vAlign w:val="bottom"/>
          </w:tcPr>
          <w:p>
            <w:pPr>
              <w:jc w:val="right"/>
              <w:ind w:right="21"/>
              <w:spacing w:after="0"/>
              <w:rPr>
                <w:sz w:val="20"/>
                <w:szCs w:val="20"/>
                <w:color w:val="auto"/>
              </w:rPr>
            </w:pPr>
            <w:r>
              <w:rPr>
                <w:rFonts w:ascii="Arial" w:cs="Arial" w:eastAsia="Arial" w:hAnsi="Arial"/>
                <w:sz w:val="20"/>
                <w:szCs w:val="20"/>
                <w:color w:val="auto"/>
              </w:rPr>
              <w:t>379</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tcPr>
          <w:p>
            <w:pPr>
              <w:jc w:val="right"/>
              <w:ind w:right="1"/>
              <w:spacing w:after="0"/>
              <w:rPr>
                <w:sz w:val="20"/>
                <w:szCs w:val="20"/>
                <w:color w:val="auto"/>
              </w:rPr>
            </w:pPr>
            <w:r>
              <w:rPr>
                <w:rFonts w:ascii="Arial" w:cs="Arial" w:eastAsia="Arial" w:hAnsi="Arial"/>
                <w:sz w:val="20"/>
                <w:szCs w:val="20"/>
                <w:color w:val="auto"/>
              </w:rPr>
              <w:t>369</w:t>
            </w:r>
          </w:p>
        </w:tc>
      </w:tr>
      <w:tr>
        <w:trPr>
          <w:trHeight w:val="23"/>
        </w:trPr>
        <w:tc>
          <w:tcPr>
            <w:tcW w:w="16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64"/>
        </w:trPr>
        <w:tc>
          <w:tcPr>
            <w:tcW w:w="7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20"/>
                <w:szCs w:val="20"/>
                <w:color w:val="auto"/>
              </w:rPr>
              <w:t>Unfunded status of pension and postretirement plans</w:t>
            </w:r>
          </w:p>
        </w:tc>
        <w:tc>
          <w:tcPr>
            <w:tcW w:w="12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312</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307</w:t>
            </w:r>
          </w:p>
        </w:tc>
      </w:tr>
      <w:tr>
        <w:trPr>
          <w:trHeight w:val="261"/>
        </w:trPr>
        <w:tc>
          <w:tcPr>
            <w:tcW w:w="7500" w:type="dxa"/>
            <w:vAlign w:val="bottom"/>
            <w:gridSpan w:val="3"/>
          </w:tcPr>
          <w:p>
            <w:pPr>
              <w:ind w:left="20"/>
              <w:spacing w:after="0"/>
              <w:rPr>
                <w:sz w:val="20"/>
                <w:szCs w:val="20"/>
                <w:color w:val="auto"/>
              </w:rPr>
            </w:pPr>
            <w:r>
              <w:rPr>
                <w:rFonts w:ascii="Arial" w:cs="Arial" w:eastAsia="Arial" w:hAnsi="Arial"/>
                <w:sz w:val="20"/>
                <w:szCs w:val="20"/>
                <w:color w:val="auto"/>
              </w:rPr>
              <w:t>Liabilities from price risk management activities—noncurrent</w:t>
            </w:r>
          </w:p>
        </w:tc>
        <w:tc>
          <w:tcPr>
            <w:tcW w:w="1260" w:type="dxa"/>
            <w:vAlign w:val="bottom"/>
          </w:tcPr>
          <w:p>
            <w:pPr>
              <w:spacing w:after="0"/>
              <w:rPr>
                <w:sz w:val="22"/>
                <w:szCs w:val="22"/>
                <w:color w:val="auto"/>
              </w:rPr>
            </w:pPr>
          </w:p>
        </w:tc>
        <w:tc>
          <w:tcPr>
            <w:tcW w:w="580" w:type="dxa"/>
            <w:vAlign w:val="bottom"/>
          </w:tcPr>
          <w:p>
            <w:pPr>
              <w:jc w:val="right"/>
              <w:ind w:right="21"/>
              <w:spacing w:after="0"/>
              <w:rPr>
                <w:sz w:val="20"/>
                <w:szCs w:val="20"/>
                <w:color w:val="auto"/>
              </w:rPr>
            </w:pPr>
            <w:r>
              <w:rPr>
                <w:rFonts w:ascii="Arial" w:cs="Arial" w:eastAsia="Arial" w:hAnsi="Arial"/>
                <w:sz w:val="20"/>
                <w:szCs w:val="20"/>
                <w:color w:val="auto"/>
              </w:rPr>
              <w:t>76</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tcPr>
          <w:p>
            <w:pPr>
              <w:jc w:val="right"/>
              <w:ind w:right="1"/>
              <w:spacing w:after="0"/>
              <w:rPr>
                <w:sz w:val="20"/>
                <w:szCs w:val="20"/>
                <w:color w:val="auto"/>
              </w:rPr>
            </w:pPr>
            <w:r>
              <w:rPr>
                <w:rFonts w:ascii="Arial" w:cs="Arial" w:eastAsia="Arial" w:hAnsi="Arial"/>
                <w:sz w:val="20"/>
                <w:szCs w:val="20"/>
                <w:color w:val="auto"/>
              </w:rPr>
              <w:t>101</w:t>
            </w:r>
          </w:p>
        </w:tc>
      </w:tr>
      <w:tr>
        <w:trPr>
          <w:trHeight w:val="23"/>
        </w:trPr>
        <w:tc>
          <w:tcPr>
            <w:tcW w:w="16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64"/>
        </w:trPr>
        <w:tc>
          <w:tcPr>
            <w:tcW w:w="7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20"/>
                <w:szCs w:val="20"/>
                <w:color w:val="auto"/>
              </w:rPr>
              <w:t>Asset retirement obligations</w:t>
            </w:r>
          </w:p>
        </w:tc>
        <w:tc>
          <w:tcPr>
            <w:tcW w:w="12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199</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197</w:t>
            </w:r>
          </w:p>
        </w:tc>
      </w:tr>
      <w:tr>
        <w:trPr>
          <w:trHeight w:val="261"/>
        </w:trPr>
        <w:tc>
          <w:tcPr>
            <w:tcW w:w="7500" w:type="dxa"/>
            <w:vAlign w:val="bottom"/>
            <w:gridSpan w:val="3"/>
          </w:tcPr>
          <w:p>
            <w:pPr>
              <w:ind w:left="20"/>
              <w:spacing w:after="0"/>
              <w:rPr>
                <w:sz w:val="20"/>
                <w:szCs w:val="20"/>
                <w:color w:val="auto"/>
              </w:rPr>
            </w:pPr>
            <w:r>
              <w:rPr>
                <w:rFonts w:ascii="Arial" w:cs="Arial" w:eastAsia="Arial" w:hAnsi="Arial"/>
                <w:sz w:val="20"/>
                <w:szCs w:val="20"/>
                <w:color w:val="auto"/>
              </w:rPr>
              <w:t>Non-qualified benefit plan liabilities</w:t>
            </w:r>
          </w:p>
        </w:tc>
        <w:tc>
          <w:tcPr>
            <w:tcW w:w="1260" w:type="dxa"/>
            <w:vAlign w:val="bottom"/>
          </w:tcPr>
          <w:p>
            <w:pPr>
              <w:spacing w:after="0"/>
              <w:rPr>
                <w:sz w:val="22"/>
                <w:szCs w:val="22"/>
                <w:color w:val="auto"/>
              </w:rPr>
            </w:pPr>
          </w:p>
        </w:tc>
        <w:tc>
          <w:tcPr>
            <w:tcW w:w="580" w:type="dxa"/>
            <w:vAlign w:val="bottom"/>
          </w:tcPr>
          <w:p>
            <w:pPr>
              <w:jc w:val="right"/>
              <w:ind w:right="21"/>
              <w:spacing w:after="0"/>
              <w:rPr>
                <w:sz w:val="20"/>
                <w:szCs w:val="20"/>
                <w:color w:val="auto"/>
              </w:rPr>
            </w:pPr>
            <w:r>
              <w:rPr>
                <w:rFonts w:ascii="Arial" w:cs="Arial" w:eastAsia="Arial" w:hAnsi="Arial"/>
                <w:sz w:val="20"/>
                <w:szCs w:val="20"/>
                <w:color w:val="auto"/>
              </w:rPr>
              <w:t>101</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tcPr>
          <w:p>
            <w:pPr>
              <w:jc w:val="right"/>
              <w:ind w:right="1"/>
              <w:spacing w:after="0"/>
              <w:rPr>
                <w:sz w:val="20"/>
                <w:szCs w:val="20"/>
                <w:color w:val="auto"/>
              </w:rPr>
            </w:pPr>
            <w:r>
              <w:rPr>
                <w:rFonts w:ascii="Arial" w:cs="Arial" w:eastAsia="Arial" w:hAnsi="Arial"/>
                <w:sz w:val="20"/>
                <w:szCs w:val="20"/>
                <w:color w:val="auto"/>
              </w:rPr>
              <w:t>103</w:t>
            </w:r>
          </w:p>
        </w:tc>
      </w:tr>
      <w:tr>
        <w:trPr>
          <w:trHeight w:val="23"/>
        </w:trPr>
        <w:tc>
          <w:tcPr>
            <w:tcW w:w="16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64"/>
        </w:trPr>
        <w:tc>
          <w:tcPr>
            <w:tcW w:w="7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20"/>
                <w:szCs w:val="20"/>
                <w:color w:val="auto"/>
              </w:rPr>
              <w:t>Finance lease obligations, net of current portion</w:t>
            </w:r>
          </w:p>
        </w:tc>
        <w:tc>
          <w:tcPr>
            <w:tcW w:w="12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137</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r>
      <w:tr>
        <w:trPr>
          <w:trHeight w:val="261"/>
        </w:trPr>
        <w:tc>
          <w:tcPr>
            <w:tcW w:w="7500" w:type="dxa"/>
            <w:vAlign w:val="bottom"/>
            <w:gridSpan w:val="3"/>
          </w:tcPr>
          <w:p>
            <w:pPr>
              <w:ind w:left="20"/>
              <w:spacing w:after="0"/>
              <w:rPr>
                <w:sz w:val="20"/>
                <w:szCs w:val="20"/>
                <w:color w:val="auto"/>
              </w:rPr>
            </w:pPr>
            <w:r>
              <w:rPr>
                <w:rFonts w:ascii="Arial" w:cs="Arial" w:eastAsia="Arial" w:hAnsi="Arial"/>
                <w:sz w:val="20"/>
                <w:szCs w:val="20"/>
                <w:color w:val="auto"/>
              </w:rPr>
              <w:t>Other noncurrent liabilities</w:t>
            </w:r>
          </w:p>
        </w:tc>
        <w:tc>
          <w:tcPr>
            <w:tcW w:w="1260" w:type="dxa"/>
            <w:vAlign w:val="bottom"/>
          </w:tcPr>
          <w:p>
            <w:pPr>
              <w:spacing w:after="0"/>
              <w:rPr>
                <w:sz w:val="22"/>
                <w:szCs w:val="22"/>
                <w:color w:val="auto"/>
              </w:rPr>
            </w:pPr>
          </w:p>
        </w:tc>
        <w:tc>
          <w:tcPr>
            <w:tcW w:w="580" w:type="dxa"/>
            <w:vAlign w:val="bottom"/>
          </w:tcPr>
          <w:p>
            <w:pPr>
              <w:jc w:val="right"/>
              <w:ind w:right="21"/>
              <w:spacing w:after="0"/>
              <w:rPr>
                <w:sz w:val="20"/>
                <w:szCs w:val="20"/>
                <w:color w:val="auto"/>
              </w:rPr>
            </w:pPr>
            <w:r>
              <w:rPr>
                <w:rFonts w:ascii="Arial" w:cs="Arial" w:eastAsia="Arial" w:hAnsi="Arial"/>
                <w:sz w:val="20"/>
                <w:szCs w:val="20"/>
                <w:color w:val="auto"/>
              </w:rPr>
              <w:t>69</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tcPr>
          <w:p>
            <w:pPr>
              <w:jc w:val="right"/>
              <w:ind w:right="1"/>
              <w:spacing w:after="0"/>
              <w:rPr>
                <w:sz w:val="20"/>
                <w:szCs w:val="20"/>
                <w:color w:val="auto"/>
              </w:rPr>
            </w:pPr>
            <w:r>
              <w:rPr>
                <w:rFonts w:ascii="Arial" w:cs="Arial" w:eastAsia="Arial" w:hAnsi="Arial"/>
                <w:sz w:val="20"/>
                <w:szCs w:val="20"/>
                <w:color w:val="auto"/>
              </w:rPr>
              <w:t>203</w:t>
            </w:r>
          </w:p>
        </w:tc>
      </w:tr>
      <w:tr>
        <w:trPr>
          <w:trHeight w:val="23"/>
        </w:trPr>
        <w:tc>
          <w:tcPr>
            <w:tcW w:w="160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77"/>
        </w:trPr>
        <w:tc>
          <w:tcPr>
            <w:tcW w:w="750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20"/>
                <w:szCs w:val="20"/>
                <w:b w:val="1"/>
                <w:bCs w:val="1"/>
                <w:color w:val="auto"/>
              </w:rPr>
              <w:t>Total liabilities</w:t>
            </w:r>
          </w:p>
        </w:tc>
        <w:tc>
          <w:tcPr>
            <w:tcW w:w="12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b w:val="1"/>
                <w:bCs w:val="1"/>
                <w:color w:val="auto"/>
                <w:w w:val="87"/>
              </w:rPr>
              <w:t>5,455</w:t>
            </w:r>
          </w:p>
        </w:tc>
        <w:tc>
          <w:tcPr>
            <w:tcW w:w="2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b w:val="1"/>
                <w:bCs w:val="1"/>
                <w:color w:val="auto"/>
              </w:rPr>
              <w:t>5,604</w:t>
            </w:r>
          </w:p>
        </w:tc>
      </w:tr>
      <w:tr>
        <w:trPr>
          <w:trHeight w:val="254"/>
        </w:trPr>
        <w:tc>
          <w:tcPr>
            <w:tcW w:w="7500" w:type="dxa"/>
            <w:vAlign w:val="bottom"/>
            <w:gridSpan w:val="3"/>
          </w:tcPr>
          <w:p>
            <w:pPr>
              <w:ind w:left="20"/>
              <w:spacing w:after="0"/>
              <w:rPr>
                <w:sz w:val="20"/>
                <w:szCs w:val="20"/>
                <w:color w:val="auto"/>
              </w:rPr>
            </w:pPr>
            <w:r>
              <w:rPr>
                <w:rFonts w:ascii="Arial" w:cs="Arial" w:eastAsia="Arial" w:hAnsi="Arial"/>
                <w:sz w:val="20"/>
                <w:szCs w:val="20"/>
                <w:b w:val="1"/>
                <w:bCs w:val="1"/>
                <w:color w:val="auto"/>
              </w:rPr>
              <w:t>Commitments and contingencies (see notes)</w:t>
            </w:r>
          </w:p>
        </w:tc>
        <w:tc>
          <w:tcPr>
            <w:tcW w:w="126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r>
      <w:tr>
        <w:trPr>
          <w:trHeight w:val="23"/>
        </w:trPr>
        <w:tc>
          <w:tcPr>
            <w:tcW w:w="16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64"/>
        </w:trPr>
        <w:tc>
          <w:tcPr>
            <w:tcW w:w="7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20"/>
                <w:szCs w:val="20"/>
                <w:b w:val="1"/>
                <w:bCs w:val="1"/>
                <w:color w:val="auto"/>
              </w:rPr>
              <w:t>Shareholders’ Equity:</w:t>
            </w:r>
          </w:p>
        </w:tc>
        <w:tc>
          <w:tcPr>
            <w:tcW w:w="12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40"/>
        </w:trPr>
        <w:tc>
          <w:tcPr>
            <w:tcW w:w="7500" w:type="dxa"/>
            <w:vAlign w:val="bottom"/>
            <w:gridSpan w:val="3"/>
          </w:tcPr>
          <w:p>
            <w:pPr>
              <w:ind w:left="20"/>
              <w:spacing w:after="0"/>
              <w:rPr>
                <w:sz w:val="20"/>
                <w:szCs w:val="20"/>
                <w:color w:val="auto"/>
              </w:rPr>
            </w:pPr>
            <w:r>
              <w:rPr>
                <w:rFonts w:ascii="Arial" w:cs="Arial" w:eastAsia="Arial" w:hAnsi="Arial"/>
                <w:sz w:val="20"/>
                <w:szCs w:val="20"/>
                <w:color w:val="auto"/>
                <w:w w:val="90"/>
              </w:rPr>
              <w:t>Preferred stock, no par value, 30,000,000 shares authorized; none issued and outstanding as</w:t>
            </w:r>
          </w:p>
        </w:tc>
        <w:tc>
          <w:tcPr>
            <w:tcW w:w="1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50"/>
        </w:trPr>
        <w:tc>
          <w:tcPr>
            <w:tcW w:w="7500" w:type="dxa"/>
            <w:vAlign w:val="bottom"/>
            <w:gridSpan w:val="3"/>
          </w:tcPr>
          <w:p>
            <w:pPr>
              <w:ind w:left="20"/>
              <w:spacing w:after="0"/>
              <w:rPr>
                <w:sz w:val="20"/>
                <w:szCs w:val="20"/>
                <w:color w:val="auto"/>
              </w:rPr>
            </w:pPr>
            <w:r>
              <w:rPr>
                <w:rFonts w:ascii="Arial" w:cs="Arial" w:eastAsia="Arial" w:hAnsi="Arial"/>
                <w:sz w:val="20"/>
                <w:szCs w:val="20"/>
                <w:color w:val="auto"/>
              </w:rPr>
              <w:t>of June 30, 2019 and December 31, 2018</w:t>
            </w:r>
          </w:p>
        </w:tc>
        <w:tc>
          <w:tcPr>
            <w:tcW w:w="1260" w:type="dxa"/>
            <w:vAlign w:val="bottom"/>
          </w:tcPr>
          <w:p>
            <w:pPr>
              <w:spacing w:after="0"/>
              <w:rPr>
                <w:sz w:val="21"/>
                <w:szCs w:val="21"/>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1"/>
                <w:szCs w:val="21"/>
                <w:color w:val="auto"/>
              </w:rPr>
            </w:pPr>
          </w:p>
        </w:tc>
        <w:tc>
          <w:tcPr>
            <w:tcW w:w="1600" w:type="dxa"/>
            <w:vAlign w:val="bottom"/>
          </w:tcPr>
          <w:p>
            <w:pPr>
              <w:jc w:val="right"/>
              <w:ind w:right="1"/>
              <w:spacing w:after="0"/>
              <w:rPr>
                <w:sz w:val="20"/>
                <w:szCs w:val="20"/>
                <w:color w:val="auto"/>
              </w:rPr>
            </w:pPr>
            <w:r>
              <w:rPr>
                <w:rFonts w:ascii="Arial" w:cs="Arial" w:eastAsia="Arial" w:hAnsi="Arial"/>
                <w:sz w:val="20"/>
                <w:szCs w:val="20"/>
                <w:color w:val="auto"/>
              </w:rPr>
              <w:t>—</w:t>
            </w:r>
          </w:p>
        </w:tc>
      </w:tr>
      <w:tr>
        <w:trPr>
          <w:trHeight w:val="23"/>
        </w:trPr>
        <w:tc>
          <w:tcPr>
            <w:tcW w:w="16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0"/>
        </w:trPr>
        <w:tc>
          <w:tcPr>
            <w:tcW w:w="7500" w:type="dxa"/>
            <w:vAlign w:val="bottom"/>
            <w:gridSpan w:val="3"/>
            <w:shd w:val="clear" w:color="auto" w:fill="CCEEFF"/>
          </w:tcPr>
          <w:p>
            <w:pPr>
              <w:ind w:left="20"/>
              <w:spacing w:after="0"/>
              <w:rPr>
                <w:sz w:val="20"/>
                <w:szCs w:val="20"/>
                <w:color w:val="auto"/>
              </w:rPr>
            </w:pPr>
            <w:r>
              <w:rPr>
                <w:rFonts w:ascii="Arial" w:cs="Arial" w:eastAsia="Arial" w:hAnsi="Arial"/>
                <w:sz w:val="20"/>
                <w:szCs w:val="20"/>
                <w:color w:val="auto"/>
                <w:w w:val="93"/>
              </w:rPr>
              <w:t>Common stock, no par value, 160,000,000 shares authorized; 89,371,560 and 89,267,959</w:t>
            </w:r>
          </w:p>
        </w:tc>
        <w:tc>
          <w:tcPr>
            <w:tcW w:w="12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53"/>
        </w:trPr>
        <w:tc>
          <w:tcPr>
            <w:tcW w:w="7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20"/>
                <w:szCs w:val="20"/>
                <w:color w:val="auto"/>
                <w:w w:val="94"/>
              </w:rPr>
              <w:t>shares issued and outstanding as of June 30, 2019 and December 31, 2018, respectively</w:t>
            </w:r>
          </w:p>
        </w:tc>
        <w:tc>
          <w:tcPr>
            <w:tcW w:w="12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87"/>
              </w:rPr>
              <w:t>1,215</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1,212</w:t>
            </w:r>
          </w:p>
        </w:tc>
      </w:tr>
      <w:tr>
        <w:trPr>
          <w:trHeight w:val="261"/>
        </w:trPr>
        <w:tc>
          <w:tcPr>
            <w:tcW w:w="7500" w:type="dxa"/>
            <w:vAlign w:val="bottom"/>
            <w:gridSpan w:val="3"/>
          </w:tcPr>
          <w:p>
            <w:pPr>
              <w:ind w:left="20"/>
              <w:spacing w:after="0"/>
              <w:rPr>
                <w:sz w:val="20"/>
                <w:szCs w:val="20"/>
                <w:color w:val="auto"/>
              </w:rPr>
            </w:pPr>
            <w:r>
              <w:rPr>
                <w:rFonts w:ascii="Arial" w:cs="Arial" w:eastAsia="Arial" w:hAnsi="Arial"/>
                <w:sz w:val="20"/>
                <w:szCs w:val="20"/>
                <w:color w:val="auto"/>
              </w:rPr>
              <w:t>Accumulated other comprehensive loss</w:t>
            </w:r>
          </w:p>
        </w:tc>
        <w:tc>
          <w:tcPr>
            <w:tcW w:w="12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(7)</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3"/>
        </w:trPr>
        <w:tc>
          <w:tcPr>
            <w:tcW w:w="16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84"/>
        </w:trPr>
        <w:tc>
          <w:tcPr>
            <w:tcW w:w="7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20"/>
                <w:szCs w:val="20"/>
                <w:color w:val="auto"/>
              </w:rPr>
              <w:t>Retained earnings</w:t>
            </w:r>
          </w:p>
        </w:tc>
        <w:tc>
          <w:tcPr>
            <w:tcW w:w="12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87"/>
              </w:rPr>
              <w:t>1,334</w:t>
            </w:r>
          </w:p>
        </w:tc>
        <w:tc>
          <w:tcPr>
            <w:tcW w:w="2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1,301</w:t>
            </w:r>
          </w:p>
        </w:tc>
      </w:tr>
      <w:tr>
        <w:trPr>
          <w:trHeight w:val="254"/>
        </w:trPr>
        <w:tc>
          <w:tcPr>
            <w:tcW w:w="7500" w:type="dxa"/>
            <w:vAlign w:val="bottom"/>
            <w:gridSpan w:val="3"/>
          </w:tcPr>
          <w:p>
            <w:pPr>
              <w:ind w:left="700"/>
              <w:spacing w:after="0"/>
              <w:rPr>
                <w:sz w:val="20"/>
                <w:szCs w:val="20"/>
                <w:color w:val="auto"/>
              </w:rPr>
            </w:pPr>
            <w:r>
              <w:rPr>
                <w:rFonts w:ascii="Arial" w:cs="Arial" w:eastAsia="Arial" w:hAnsi="Arial"/>
                <w:sz w:val="20"/>
                <w:szCs w:val="20"/>
                <w:b w:val="1"/>
                <w:bCs w:val="1"/>
                <w:color w:val="auto"/>
              </w:rPr>
              <w:t>Total shareholders’ equity</w:t>
            </w:r>
          </w:p>
        </w:tc>
        <w:tc>
          <w:tcPr>
            <w:tcW w:w="126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b w:val="1"/>
                <w:bCs w:val="1"/>
                <w:color w:val="auto"/>
                <w:w w:val="87"/>
              </w:rPr>
              <w:t>2,542</w:t>
            </w:r>
          </w:p>
        </w:tc>
        <w:tc>
          <w:tcPr>
            <w:tcW w:w="2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60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b w:val="1"/>
                <w:bCs w:val="1"/>
                <w:color w:val="auto"/>
              </w:rPr>
              <w:t>2,506</w:t>
            </w:r>
          </w:p>
        </w:tc>
      </w:tr>
      <w:tr>
        <w:trPr>
          <w:trHeight w:val="23"/>
        </w:trPr>
        <w:tc>
          <w:tcPr>
            <w:tcW w:w="160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72"/>
        </w:trPr>
        <w:tc>
          <w:tcPr>
            <w:tcW w:w="750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20"/>
                <w:szCs w:val="20"/>
                <w:b w:val="1"/>
                <w:bCs w:val="1"/>
                <w:color w:val="auto"/>
              </w:rPr>
              <w:t>Total liabilities and shareholders’ equity</w:t>
            </w:r>
          </w:p>
        </w:tc>
        <w:tc>
          <w:tcPr>
            <w:tcW w:w="1260" w:type="dxa"/>
            <w:vAlign w:val="bottom"/>
            <w:tcBorders>
              <w:bottom w:val="single" w:sz="8" w:color="auto"/>
            </w:tcBorders>
            <w:shd w:val="clear" w:color="auto" w:fill="CCEEFF"/>
          </w:tcPr>
          <w:p>
            <w:pPr>
              <w:jc w:val="right"/>
              <w:ind w:right="1041"/>
              <w:spacing w:after="0"/>
              <w:rPr>
                <w:sz w:val="20"/>
                <w:szCs w:val="20"/>
                <w:color w:val="auto"/>
              </w:rPr>
            </w:pPr>
            <w:r>
              <w:rPr>
                <w:rFonts w:ascii="Arial" w:cs="Arial" w:eastAsia="Arial" w:hAnsi="Arial"/>
                <w:sz w:val="20"/>
                <w:szCs w:val="20"/>
                <w:b w:val="1"/>
                <w:bCs w:val="1"/>
                <w:color w:val="auto"/>
                <w:w w:val="89"/>
              </w:rPr>
              <w:t>$</w:t>
            </w:r>
          </w:p>
        </w:tc>
        <w:tc>
          <w:tcPr>
            <w:tcW w:w="5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b w:val="1"/>
                <w:bCs w:val="1"/>
                <w:color w:val="auto"/>
                <w:w w:val="87"/>
              </w:rPr>
              <w:t>7,997</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b w:val="1"/>
                <w:bCs w:val="1"/>
                <w:color w:val="auto"/>
              </w:rPr>
              <w:t>$</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b w:val="1"/>
                <w:bCs w:val="1"/>
                <w:color w:val="auto"/>
              </w:rPr>
              <w:t>8,110</w:t>
            </w:r>
          </w:p>
        </w:tc>
      </w:tr>
      <w:tr>
        <w:trPr>
          <w:trHeight w:val="20"/>
        </w:trPr>
        <w:tc>
          <w:tcPr>
            <w:tcW w:w="16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240030</wp:posOffset>
            </wp:positionV>
            <wp:extent cx="72294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PORTLAND GENERAL ELECTRIC COMPANY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CASH FLOWS</w:t>
      </w:r>
    </w:p>
    <w:p>
      <w:pPr>
        <w:jc w:val="center"/>
        <w:spacing w:after="0"/>
        <w:rPr>
          <w:sz w:val="20"/>
          <w:szCs w:val="20"/>
          <w:color w:val="auto"/>
        </w:rPr>
      </w:pPr>
      <w:r>
        <w:rPr>
          <w:rFonts w:ascii="Arial" w:cs="Arial" w:eastAsia="Arial" w:hAnsi="Arial"/>
          <w:sz w:val="20"/>
          <w:szCs w:val="20"/>
          <w:color w:val="auto"/>
        </w:rPr>
        <w:t>(In millions)</w:t>
      </w:r>
    </w:p>
    <w:p>
      <w:pPr>
        <w:jc w:val="center"/>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540" w:type="dxa"/>
            <w:vAlign w:val="bottom"/>
          </w:tcPr>
          <w:p>
            <w:pPr>
              <w:spacing w:after="0"/>
              <w:rPr>
                <w:sz w:val="22"/>
                <w:szCs w:val="22"/>
                <w:color w:val="auto"/>
              </w:rPr>
            </w:pPr>
          </w:p>
        </w:tc>
        <w:tc>
          <w:tcPr>
            <w:tcW w:w="3280" w:type="dxa"/>
            <w:vAlign w:val="bottom"/>
            <w:gridSpan w:val="4"/>
          </w:tcPr>
          <w:p>
            <w:pPr>
              <w:jc w:val="right"/>
              <w:ind w:right="81"/>
              <w:spacing w:after="0"/>
              <w:rPr>
                <w:sz w:val="20"/>
                <w:szCs w:val="20"/>
                <w:color w:val="auto"/>
              </w:rPr>
            </w:pPr>
            <w:r>
              <w:rPr>
                <w:rFonts w:ascii="Arial" w:cs="Arial" w:eastAsia="Arial" w:hAnsi="Arial"/>
                <w:sz w:val="20"/>
                <w:szCs w:val="20"/>
                <w:b w:val="1"/>
                <w:bCs w:val="1"/>
                <w:color w:val="auto"/>
              </w:rPr>
              <w:t>Six Months Ended June 30,</w:t>
            </w:r>
          </w:p>
        </w:tc>
        <w:tc>
          <w:tcPr>
            <w:tcW w:w="600" w:type="dxa"/>
            <w:vAlign w:val="bottom"/>
          </w:tcPr>
          <w:p>
            <w:pPr>
              <w:spacing w:after="0"/>
              <w:rPr>
                <w:sz w:val="22"/>
                <w:szCs w:val="22"/>
                <w:color w:val="auto"/>
              </w:rPr>
            </w:pPr>
          </w:p>
        </w:tc>
      </w:tr>
      <w:tr>
        <w:trPr>
          <w:trHeight w:val="23"/>
        </w:trPr>
        <w:tc>
          <w:tcPr>
            <w:tcW w:w="75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4"/>
        </w:trPr>
        <w:tc>
          <w:tcPr>
            <w:tcW w:w="7540" w:type="dxa"/>
            <w:vAlign w:val="bottom"/>
          </w:tcPr>
          <w:p>
            <w:pPr>
              <w:spacing w:after="0"/>
              <w:rPr>
                <w:sz w:val="22"/>
                <w:szCs w:val="22"/>
                <w:color w:val="auto"/>
              </w:rPr>
            </w:pPr>
          </w:p>
        </w:tc>
        <w:tc>
          <w:tcPr>
            <w:tcW w:w="1240" w:type="dxa"/>
            <w:vAlign w:val="bottom"/>
          </w:tcPr>
          <w:p>
            <w:pPr>
              <w:jc w:val="right"/>
              <w:ind w:right="41"/>
              <w:spacing w:after="0"/>
              <w:rPr>
                <w:sz w:val="20"/>
                <w:szCs w:val="20"/>
                <w:color w:val="auto"/>
              </w:rPr>
            </w:pPr>
            <w:r>
              <w:rPr>
                <w:rFonts w:ascii="Arial" w:cs="Arial" w:eastAsia="Arial" w:hAnsi="Arial"/>
                <w:sz w:val="20"/>
                <w:szCs w:val="20"/>
                <w:b w:val="1"/>
                <w:bCs w:val="1"/>
                <w:color w:val="auto"/>
              </w:rPr>
              <w:t>2019</w:t>
            </w: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b w:val="1"/>
                <w:bCs w:val="1"/>
                <w:color w:val="auto"/>
              </w:rPr>
              <w:t>2018</w:t>
            </w:r>
          </w:p>
        </w:tc>
        <w:tc>
          <w:tcPr>
            <w:tcW w:w="600" w:type="dxa"/>
            <w:vAlign w:val="bottom"/>
          </w:tcPr>
          <w:p>
            <w:pPr>
              <w:spacing w:after="0"/>
              <w:rPr>
                <w:sz w:val="22"/>
                <w:szCs w:val="22"/>
                <w:color w:val="auto"/>
              </w:rPr>
            </w:pPr>
          </w:p>
        </w:tc>
      </w:tr>
      <w:tr>
        <w:trPr>
          <w:trHeight w:val="23"/>
        </w:trPr>
        <w:tc>
          <w:tcPr>
            <w:tcW w:w="75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b w:val="1"/>
                <w:bCs w:val="1"/>
                <w:color w:val="auto"/>
              </w:rPr>
              <w:t>Cash flows from operating activities:</w:t>
            </w: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61"/>
        </w:trPr>
        <w:tc>
          <w:tcPr>
            <w:tcW w:w="7540" w:type="dxa"/>
            <w:vAlign w:val="bottom"/>
          </w:tcPr>
          <w:p>
            <w:pPr>
              <w:ind w:left="280"/>
              <w:spacing w:after="0"/>
              <w:rPr>
                <w:sz w:val="20"/>
                <w:szCs w:val="20"/>
                <w:color w:val="auto"/>
              </w:rPr>
            </w:pPr>
            <w:r>
              <w:rPr>
                <w:rFonts w:ascii="Arial" w:cs="Arial" w:eastAsia="Arial" w:hAnsi="Arial"/>
                <w:sz w:val="20"/>
                <w:szCs w:val="20"/>
                <w:color w:val="auto"/>
              </w:rPr>
              <w:t>Net income</w:t>
            </w:r>
          </w:p>
        </w:tc>
        <w:tc>
          <w:tcPr>
            <w:tcW w:w="1240" w:type="dxa"/>
            <w:vAlign w:val="bottom"/>
          </w:tcPr>
          <w:p>
            <w:pPr>
              <w:jc w:val="right"/>
              <w:ind w:right="1021"/>
              <w:spacing w:after="0"/>
              <w:rPr>
                <w:sz w:val="20"/>
                <w:szCs w:val="20"/>
                <w:color w:val="auto"/>
              </w:rPr>
            </w:pPr>
            <w:r>
              <w:rPr>
                <w:rFonts w:ascii="Arial" w:cs="Arial" w:eastAsia="Arial" w:hAnsi="Arial"/>
                <w:sz w:val="20"/>
                <w:szCs w:val="20"/>
                <w:color w:val="auto"/>
                <w:w w:val="89"/>
              </w:rPr>
              <w:t>$</w:t>
            </w:r>
          </w:p>
        </w:tc>
        <w:tc>
          <w:tcPr>
            <w:tcW w:w="580" w:type="dxa"/>
            <w:vAlign w:val="bottom"/>
          </w:tcPr>
          <w:p>
            <w:pPr>
              <w:jc w:val="right"/>
              <w:ind w:right="1"/>
              <w:spacing w:after="0"/>
              <w:rPr>
                <w:sz w:val="20"/>
                <w:szCs w:val="20"/>
                <w:color w:val="auto"/>
              </w:rPr>
            </w:pPr>
            <w:r>
              <w:rPr>
                <w:rFonts w:ascii="Arial" w:cs="Arial" w:eastAsia="Arial" w:hAnsi="Arial"/>
                <w:sz w:val="20"/>
                <w:szCs w:val="20"/>
                <w:color w:val="auto"/>
              </w:rPr>
              <w:t>98</w:t>
            </w:r>
          </w:p>
        </w:tc>
        <w:tc>
          <w:tcPr>
            <w:tcW w:w="220" w:type="dxa"/>
            <w:vAlign w:val="bottom"/>
          </w:tcPr>
          <w:p>
            <w:pPr>
              <w:spacing w:after="0"/>
              <w:rPr>
                <w:sz w:val="22"/>
                <w:szCs w:val="22"/>
                <w:color w:val="auto"/>
              </w:rPr>
            </w:pPr>
          </w:p>
        </w:tc>
        <w:tc>
          <w:tcPr>
            <w:tcW w:w="1240" w:type="dxa"/>
            <w:vAlign w:val="bottom"/>
          </w:tcPr>
          <w:p>
            <w:pPr>
              <w:jc w:val="right"/>
              <w:ind w:right="1021"/>
              <w:spacing w:after="0"/>
              <w:rPr>
                <w:sz w:val="20"/>
                <w:szCs w:val="20"/>
                <w:color w:val="auto"/>
              </w:rPr>
            </w:pPr>
            <w:r>
              <w:rPr>
                <w:rFonts w:ascii="Arial" w:cs="Arial" w:eastAsia="Arial" w:hAnsi="Arial"/>
                <w:sz w:val="20"/>
                <w:szCs w:val="20"/>
                <w:color w:val="auto"/>
                <w:w w:val="89"/>
              </w:rPr>
              <w:t>$</w:t>
            </w:r>
          </w:p>
        </w:tc>
        <w:tc>
          <w:tcPr>
            <w:tcW w:w="600" w:type="dxa"/>
            <w:vAlign w:val="bottom"/>
          </w:tcPr>
          <w:p>
            <w:pPr>
              <w:jc w:val="right"/>
              <w:ind w:right="1"/>
              <w:spacing w:after="0"/>
              <w:rPr>
                <w:sz w:val="20"/>
                <w:szCs w:val="20"/>
                <w:color w:val="auto"/>
              </w:rPr>
            </w:pPr>
            <w:r>
              <w:rPr>
                <w:rFonts w:ascii="Arial" w:cs="Arial" w:eastAsia="Arial" w:hAnsi="Arial"/>
                <w:sz w:val="20"/>
                <w:szCs w:val="20"/>
                <w:color w:val="auto"/>
              </w:rPr>
              <w:t>110</w:t>
            </w:r>
          </w:p>
        </w:tc>
      </w:tr>
      <w:tr>
        <w:trPr>
          <w:trHeight w:val="23"/>
        </w:trPr>
        <w:tc>
          <w:tcPr>
            <w:tcW w:w="7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64"/>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Adjustments to reconcile net income to net cash provided by operating activities:</w:t>
            </w:r>
          </w:p>
        </w:tc>
        <w:tc>
          <w:tcPr>
            <w:tcW w:w="12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r>
      <w:tr>
        <w:trPr>
          <w:trHeight w:val="261"/>
        </w:trPr>
        <w:tc>
          <w:tcPr>
            <w:tcW w:w="7540" w:type="dxa"/>
            <w:vAlign w:val="bottom"/>
          </w:tcPr>
          <w:p>
            <w:pPr>
              <w:ind w:left="500"/>
              <w:spacing w:after="0"/>
              <w:rPr>
                <w:sz w:val="20"/>
                <w:szCs w:val="20"/>
                <w:color w:val="auto"/>
              </w:rPr>
            </w:pPr>
            <w:r>
              <w:rPr>
                <w:rFonts w:ascii="Arial" w:cs="Arial" w:eastAsia="Arial" w:hAnsi="Arial"/>
                <w:sz w:val="20"/>
                <w:szCs w:val="20"/>
                <w:color w:val="auto"/>
              </w:rPr>
              <w:t>Depreciation and amortization</w:t>
            </w:r>
          </w:p>
        </w:tc>
        <w:tc>
          <w:tcPr>
            <w:tcW w:w="1240" w:type="dxa"/>
            <w:vAlign w:val="bottom"/>
          </w:tcPr>
          <w:p>
            <w:pPr>
              <w:spacing w:after="0"/>
              <w:rPr>
                <w:sz w:val="22"/>
                <w:szCs w:val="22"/>
                <w:color w:val="auto"/>
              </w:rPr>
            </w:pPr>
          </w:p>
        </w:tc>
        <w:tc>
          <w:tcPr>
            <w:tcW w:w="580" w:type="dxa"/>
            <w:vAlign w:val="bottom"/>
          </w:tcPr>
          <w:p>
            <w:pPr>
              <w:jc w:val="right"/>
              <w:ind w:right="1"/>
              <w:spacing w:after="0"/>
              <w:rPr>
                <w:sz w:val="20"/>
                <w:szCs w:val="20"/>
                <w:color w:val="auto"/>
              </w:rPr>
            </w:pPr>
            <w:r>
              <w:rPr>
                <w:rFonts w:ascii="Arial" w:cs="Arial" w:eastAsia="Arial" w:hAnsi="Arial"/>
                <w:sz w:val="20"/>
                <w:szCs w:val="20"/>
                <w:color w:val="auto"/>
              </w:rPr>
              <w:t>202</w:t>
            </w: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0" w:type="dxa"/>
            <w:vAlign w:val="bottom"/>
          </w:tcPr>
          <w:p>
            <w:pPr>
              <w:jc w:val="right"/>
              <w:ind w:right="1"/>
              <w:spacing w:after="0"/>
              <w:rPr>
                <w:sz w:val="20"/>
                <w:szCs w:val="20"/>
                <w:color w:val="auto"/>
              </w:rPr>
            </w:pPr>
            <w:r>
              <w:rPr>
                <w:rFonts w:ascii="Arial" w:cs="Arial" w:eastAsia="Arial" w:hAnsi="Arial"/>
                <w:sz w:val="20"/>
                <w:szCs w:val="20"/>
                <w:color w:val="auto"/>
              </w:rPr>
              <w:t>185</w:t>
            </w:r>
          </w:p>
        </w:tc>
      </w:tr>
      <w:tr>
        <w:trPr>
          <w:trHeight w:val="23"/>
        </w:trPr>
        <w:tc>
          <w:tcPr>
            <w:tcW w:w="7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64"/>
        </w:trPr>
        <w:tc>
          <w:tcPr>
            <w:tcW w:w="7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20"/>
                <w:szCs w:val="20"/>
                <w:color w:val="auto"/>
              </w:rPr>
              <w:t>Deferred income taxes</w:t>
            </w:r>
          </w:p>
        </w:tc>
        <w:tc>
          <w:tcPr>
            <w:tcW w:w="12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6</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6</w:t>
            </w:r>
          </w:p>
        </w:tc>
      </w:tr>
      <w:tr>
        <w:trPr>
          <w:trHeight w:val="261"/>
        </w:trPr>
        <w:tc>
          <w:tcPr>
            <w:tcW w:w="7540" w:type="dxa"/>
            <w:vAlign w:val="bottom"/>
          </w:tcPr>
          <w:p>
            <w:pPr>
              <w:ind w:left="500"/>
              <w:spacing w:after="0"/>
              <w:rPr>
                <w:sz w:val="20"/>
                <w:szCs w:val="20"/>
                <w:color w:val="auto"/>
              </w:rPr>
            </w:pPr>
            <w:r>
              <w:rPr>
                <w:rFonts w:ascii="Arial" w:cs="Arial" w:eastAsia="Arial" w:hAnsi="Arial"/>
                <w:sz w:val="20"/>
                <w:szCs w:val="20"/>
                <w:color w:val="auto"/>
              </w:rPr>
              <w:t>Pension and other postretirement benefits</w:t>
            </w:r>
          </w:p>
        </w:tc>
        <w:tc>
          <w:tcPr>
            <w:tcW w:w="1240" w:type="dxa"/>
            <w:vAlign w:val="bottom"/>
          </w:tcPr>
          <w:p>
            <w:pPr>
              <w:spacing w:after="0"/>
              <w:rPr>
                <w:sz w:val="22"/>
                <w:szCs w:val="22"/>
                <w:color w:val="auto"/>
              </w:rPr>
            </w:pPr>
          </w:p>
        </w:tc>
        <w:tc>
          <w:tcPr>
            <w:tcW w:w="580" w:type="dxa"/>
            <w:vAlign w:val="bottom"/>
          </w:tcPr>
          <w:p>
            <w:pPr>
              <w:jc w:val="right"/>
              <w:ind w:right="1"/>
              <w:spacing w:after="0"/>
              <w:rPr>
                <w:sz w:val="20"/>
                <w:szCs w:val="20"/>
                <w:color w:val="auto"/>
              </w:rPr>
            </w:pPr>
            <w:r>
              <w:rPr>
                <w:rFonts w:ascii="Arial" w:cs="Arial" w:eastAsia="Arial" w:hAnsi="Arial"/>
                <w:sz w:val="20"/>
                <w:szCs w:val="20"/>
                <w:color w:val="auto"/>
              </w:rPr>
              <w:t>12</w:t>
            </w: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0" w:type="dxa"/>
            <w:vAlign w:val="bottom"/>
          </w:tcPr>
          <w:p>
            <w:pPr>
              <w:jc w:val="right"/>
              <w:ind w:right="1"/>
              <w:spacing w:after="0"/>
              <w:rPr>
                <w:sz w:val="20"/>
                <w:szCs w:val="20"/>
                <w:color w:val="auto"/>
              </w:rPr>
            </w:pPr>
            <w:r>
              <w:rPr>
                <w:rFonts w:ascii="Arial" w:cs="Arial" w:eastAsia="Arial" w:hAnsi="Arial"/>
                <w:sz w:val="20"/>
                <w:szCs w:val="20"/>
                <w:color w:val="auto"/>
              </w:rPr>
              <w:t>13</w:t>
            </w:r>
          </w:p>
        </w:tc>
      </w:tr>
      <w:tr>
        <w:trPr>
          <w:trHeight w:val="23"/>
        </w:trPr>
        <w:tc>
          <w:tcPr>
            <w:tcW w:w="7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64"/>
        </w:trPr>
        <w:tc>
          <w:tcPr>
            <w:tcW w:w="7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20"/>
                <w:szCs w:val="20"/>
                <w:color w:val="auto"/>
              </w:rPr>
              <w:t>Allowance for equity funds used during construction</w:t>
            </w:r>
          </w:p>
        </w:tc>
        <w:tc>
          <w:tcPr>
            <w:tcW w:w="12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w:t>
            </w:r>
          </w:p>
        </w:tc>
      </w:tr>
      <w:tr>
        <w:trPr>
          <w:trHeight w:val="261"/>
        </w:trPr>
        <w:tc>
          <w:tcPr>
            <w:tcW w:w="7540" w:type="dxa"/>
            <w:vAlign w:val="bottom"/>
          </w:tcPr>
          <w:p>
            <w:pPr>
              <w:ind w:left="500"/>
              <w:spacing w:after="0"/>
              <w:rPr>
                <w:sz w:val="20"/>
                <w:szCs w:val="20"/>
                <w:color w:val="auto"/>
              </w:rPr>
            </w:pPr>
            <w:r>
              <w:rPr>
                <w:rFonts w:ascii="Arial" w:cs="Arial" w:eastAsia="Arial" w:hAnsi="Arial"/>
                <w:sz w:val="20"/>
                <w:szCs w:val="20"/>
                <w:color w:val="auto"/>
              </w:rPr>
              <w:t>Decoupling mechanism deferrals, net of amortization</w:t>
            </w:r>
          </w:p>
        </w:tc>
        <w:tc>
          <w:tcPr>
            <w:tcW w:w="12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(1)</w:t>
            </w: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0" w:type="dxa"/>
            <w:vAlign w:val="bottom"/>
          </w:tcPr>
          <w:p>
            <w:pPr>
              <w:jc w:val="right"/>
              <w:ind w:right="1"/>
              <w:spacing w:after="0"/>
              <w:rPr>
                <w:sz w:val="20"/>
                <w:szCs w:val="20"/>
                <w:color w:val="auto"/>
              </w:rPr>
            </w:pPr>
            <w:r>
              <w:rPr>
                <w:rFonts w:ascii="Arial" w:cs="Arial" w:eastAsia="Arial" w:hAnsi="Arial"/>
                <w:sz w:val="20"/>
                <w:szCs w:val="20"/>
                <w:color w:val="auto"/>
              </w:rPr>
              <w:t>2</w:t>
            </w:r>
          </w:p>
        </w:tc>
      </w:tr>
      <w:tr>
        <w:trPr>
          <w:trHeight w:val="23"/>
        </w:trPr>
        <w:tc>
          <w:tcPr>
            <w:tcW w:w="7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64"/>
        </w:trPr>
        <w:tc>
          <w:tcPr>
            <w:tcW w:w="7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20"/>
                <w:szCs w:val="20"/>
                <w:color w:val="auto"/>
              </w:rPr>
              <w:t>(Amortization) Deferral of net benefits due to Tax Reform</w:t>
            </w:r>
          </w:p>
        </w:tc>
        <w:tc>
          <w:tcPr>
            <w:tcW w:w="12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(11)</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25</w:t>
            </w:r>
          </w:p>
        </w:tc>
      </w:tr>
      <w:tr>
        <w:trPr>
          <w:trHeight w:val="261"/>
        </w:trPr>
        <w:tc>
          <w:tcPr>
            <w:tcW w:w="7540" w:type="dxa"/>
            <w:vAlign w:val="bottom"/>
          </w:tcPr>
          <w:p>
            <w:pPr>
              <w:ind w:left="500"/>
              <w:spacing w:after="0"/>
              <w:rPr>
                <w:sz w:val="20"/>
                <w:szCs w:val="20"/>
                <w:color w:val="auto"/>
              </w:rPr>
            </w:pPr>
            <w:r>
              <w:rPr>
                <w:rFonts w:ascii="Arial" w:cs="Arial" w:eastAsia="Arial" w:hAnsi="Arial"/>
                <w:sz w:val="20"/>
                <w:szCs w:val="20"/>
                <w:color w:val="auto"/>
              </w:rPr>
              <w:t>Other non-cash income and expenses, net</w:t>
            </w:r>
          </w:p>
        </w:tc>
        <w:tc>
          <w:tcPr>
            <w:tcW w:w="1240" w:type="dxa"/>
            <w:vAlign w:val="bottom"/>
          </w:tcPr>
          <w:p>
            <w:pPr>
              <w:spacing w:after="0"/>
              <w:rPr>
                <w:sz w:val="22"/>
                <w:szCs w:val="22"/>
                <w:color w:val="auto"/>
              </w:rPr>
            </w:pPr>
          </w:p>
        </w:tc>
        <w:tc>
          <w:tcPr>
            <w:tcW w:w="580" w:type="dxa"/>
            <w:vAlign w:val="bottom"/>
          </w:tcPr>
          <w:p>
            <w:pPr>
              <w:jc w:val="right"/>
              <w:ind w:right="1"/>
              <w:spacing w:after="0"/>
              <w:rPr>
                <w:sz w:val="20"/>
                <w:szCs w:val="20"/>
                <w:color w:val="auto"/>
              </w:rPr>
            </w:pPr>
            <w:r>
              <w:rPr>
                <w:rFonts w:ascii="Arial" w:cs="Arial" w:eastAsia="Arial" w:hAnsi="Arial"/>
                <w:sz w:val="20"/>
                <w:szCs w:val="20"/>
                <w:color w:val="auto"/>
              </w:rPr>
              <w:t>21</w:t>
            </w: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0" w:type="dxa"/>
            <w:vAlign w:val="bottom"/>
          </w:tcPr>
          <w:p>
            <w:pPr>
              <w:jc w:val="right"/>
              <w:ind w:right="1"/>
              <w:spacing w:after="0"/>
              <w:rPr>
                <w:sz w:val="20"/>
                <w:szCs w:val="20"/>
                <w:color w:val="auto"/>
              </w:rPr>
            </w:pPr>
            <w:r>
              <w:rPr>
                <w:rFonts w:ascii="Arial" w:cs="Arial" w:eastAsia="Arial" w:hAnsi="Arial"/>
                <w:sz w:val="20"/>
                <w:szCs w:val="20"/>
                <w:color w:val="auto"/>
              </w:rPr>
              <w:t>4</w:t>
            </w:r>
          </w:p>
        </w:tc>
      </w:tr>
      <w:tr>
        <w:trPr>
          <w:trHeight w:val="23"/>
        </w:trPr>
        <w:tc>
          <w:tcPr>
            <w:tcW w:w="7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64"/>
        </w:trPr>
        <w:tc>
          <w:tcPr>
            <w:tcW w:w="7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20"/>
                <w:szCs w:val="20"/>
                <w:color w:val="auto"/>
              </w:rPr>
              <w:t>Changes in working capital:</w:t>
            </w:r>
          </w:p>
        </w:tc>
        <w:tc>
          <w:tcPr>
            <w:tcW w:w="12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r>
      <w:tr>
        <w:trPr>
          <w:trHeight w:val="261"/>
        </w:trPr>
        <w:tc>
          <w:tcPr>
            <w:tcW w:w="7540" w:type="dxa"/>
            <w:vAlign w:val="bottom"/>
          </w:tcPr>
          <w:p>
            <w:pPr>
              <w:ind w:left="720"/>
              <w:spacing w:after="0"/>
              <w:rPr>
                <w:sz w:val="20"/>
                <w:szCs w:val="20"/>
                <w:color w:val="auto"/>
              </w:rPr>
            </w:pPr>
            <w:r>
              <w:rPr>
                <w:rFonts w:ascii="Arial" w:cs="Arial" w:eastAsia="Arial" w:hAnsi="Arial"/>
                <w:sz w:val="20"/>
                <w:szCs w:val="20"/>
                <w:color w:val="auto"/>
              </w:rPr>
              <w:t>Decrease in accounts receivable and unbilled revenues</w:t>
            </w:r>
          </w:p>
        </w:tc>
        <w:tc>
          <w:tcPr>
            <w:tcW w:w="1240" w:type="dxa"/>
            <w:vAlign w:val="bottom"/>
          </w:tcPr>
          <w:p>
            <w:pPr>
              <w:spacing w:after="0"/>
              <w:rPr>
                <w:sz w:val="22"/>
                <w:szCs w:val="22"/>
                <w:color w:val="auto"/>
              </w:rPr>
            </w:pPr>
          </w:p>
        </w:tc>
        <w:tc>
          <w:tcPr>
            <w:tcW w:w="580" w:type="dxa"/>
            <w:vAlign w:val="bottom"/>
          </w:tcPr>
          <w:p>
            <w:pPr>
              <w:jc w:val="right"/>
              <w:ind w:right="1"/>
              <w:spacing w:after="0"/>
              <w:rPr>
                <w:sz w:val="20"/>
                <w:szCs w:val="20"/>
                <w:color w:val="auto"/>
              </w:rPr>
            </w:pPr>
            <w:r>
              <w:rPr>
                <w:rFonts w:ascii="Arial" w:cs="Arial" w:eastAsia="Arial" w:hAnsi="Arial"/>
                <w:sz w:val="20"/>
                <w:szCs w:val="20"/>
                <w:color w:val="auto"/>
              </w:rPr>
              <w:t>63</w:t>
            </w: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0" w:type="dxa"/>
            <w:vAlign w:val="bottom"/>
          </w:tcPr>
          <w:p>
            <w:pPr>
              <w:jc w:val="right"/>
              <w:ind w:right="1"/>
              <w:spacing w:after="0"/>
              <w:rPr>
                <w:sz w:val="20"/>
                <w:szCs w:val="20"/>
                <w:color w:val="auto"/>
              </w:rPr>
            </w:pPr>
            <w:r>
              <w:rPr>
                <w:rFonts w:ascii="Arial" w:cs="Arial" w:eastAsia="Arial" w:hAnsi="Arial"/>
                <w:sz w:val="20"/>
                <w:szCs w:val="20"/>
                <w:color w:val="auto"/>
              </w:rPr>
              <w:t>26</w:t>
            </w:r>
          </w:p>
        </w:tc>
      </w:tr>
      <w:tr>
        <w:trPr>
          <w:trHeight w:val="23"/>
        </w:trPr>
        <w:tc>
          <w:tcPr>
            <w:tcW w:w="7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64"/>
        </w:trPr>
        <w:tc>
          <w:tcPr>
            <w:tcW w:w="7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(Increase) in inventories</w:t>
            </w:r>
          </w:p>
        </w:tc>
        <w:tc>
          <w:tcPr>
            <w:tcW w:w="12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(17)</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(7)</w:t>
            </w:r>
          </w:p>
        </w:tc>
      </w:tr>
      <w:tr>
        <w:trPr>
          <w:trHeight w:val="261"/>
        </w:trPr>
        <w:tc>
          <w:tcPr>
            <w:tcW w:w="7540" w:type="dxa"/>
            <w:vAlign w:val="bottom"/>
          </w:tcPr>
          <w:p>
            <w:pPr>
              <w:ind w:left="720"/>
              <w:spacing w:after="0"/>
              <w:rPr>
                <w:sz w:val="20"/>
                <w:szCs w:val="20"/>
                <w:color w:val="auto"/>
              </w:rPr>
            </w:pPr>
            <w:r>
              <w:rPr>
                <w:rFonts w:ascii="Arial" w:cs="Arial" w:eastAsia="Arial" w:hAnsi="Arial"/>
                <w:sz w:val="20"/>
                <w:szCs w:val="20"/>
                <w:color w:val="auto"/>
              </w:rPr>
              <w:t>Decrease in margin deposits, net</w:t>
            </w:r>
          </w:p>
        </w:tc>
        <w:tc>
          <w:tcPr>
            <w:tcW w:w="1240" w:type="dxa"/>
            <w:vAlign w:val="bottom"/>
          </w:tcPr>
          <w:p>
            <w:pPr>
              <w:spacing w:after="0"/>
              <w:rPr>
                <w:sz w:val="22"/>
                <w:szCs w:val="22"/>
                <w:color w:val="auto"/>
              </w:rPr>
            </w:pPr>
          </w:p>
        </w:tc>
        <w:tc>
          <w:tcPr>
            <w:tcW w:w="580" w:type="dxa"/>
            <w:vAlign w:val="bottom"/>
          </w:tcPr>
          <w:p>
            <w:pPr>
              <w:jc w:val="right"/>
              <w:ind w:right="1"/>
              <w:spacing w:after="0"/>
              <w:rPr>
                <w:sz w:val="20"/>
                <w:szCs w:val="20"/>
                <w:color w:val="auto"/>
              </w:rPr>
            </w:pPr>
            <w:r>
              <w:rPr>
                <w:rFonts w:ascii="Arial" w:cs="Arial" w:eastAsia="Arial" w:hAnsi="Arial"/>
                <w:sz w:val="20"/>
                <w:szCs w:val="20"/>
                <w:color w:val="auto"/>
              </w:rPr>
              <w:t>11</w:t>
            </w: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0" w:type="dxa"/>
            <w:vAlign w:val="bottom"/>
          </w:tcPr>
          <w:p>
            <w:pPr>
              <w:jc w:val="right"/>
              <w:ind w:right="1"/>
              <w:spacing w:after="0"/>
              <w:rPr>
                <w:sz w:val="20"/>
                <w:szCs w:val="20"/>
                <w:color w:val="auto"/>
              </w:rPr>
            </w:pPr>
            <w:r>
              <w:rPr>
                <w:rFonts w:ascii="Arial" w:cs="Arial" w:eastAsia="Arial" w:hAnsi="Arial"/>
                <w:sz w:val="20"/>
                <w:szCs w:val="20"/>
                <w:color w:val="auto"/>
              </w:rPr>
              <w:t>4</w:t>
            </w:r>
          </w:p>
        </w:tc>
      </w:tr>
      <w:tr>
        <w:trPr>
          <w:trHeight w:val="23"/>
        </w:trPr>
        <w:tc>
          <w:tcPr>
            <w:tcW w:w="7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64"/>
        </w:trPr>
        <w:tc>
          <w:tcPr>
            <w:tcW w:w="7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(Decrease) in accounts payable and accrued liabilities</w:t>
            </w:r>
          </w:p>
        </w:tc>
        <w:tc>
          <w:tcPr>
            <w:tcW w:w="12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(65)</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(20)</w:t>
            </w:r>
          </w:p>
        </w:tc>
      </w:tr>
      <w:tr>
        <w:trPr>
          <w:trHeight w:val="261"/>
        </w:trPr>
        <w:tc>
          <w:tcPr>
            <w:tcW w:w="7540" w:type="dxa"/>
            <w:vAlign w:val="bottom"/>
          </w:tcPr>
          <w:p>
            <w:pPr>
              <w:ind w:left="720"/>
              <w:spacing w:after="0"/>
              <w:rPr>
                <w:sz w:val="20"/>
                <w:szCs w:val="20"/>
                <w:color w:val="auto"/>
              </w:rPr>
            </w:pPr>
            <w:r>
              <w:rPr>
                <w:rFonts w:ascii="Arial" w:cs="Arial" w:eastAsia="Arial" w:hAnsi="Arial"/>
                <w:sz w:val="20"/>
                <w:szCs w:val="20"/>
                <w:color w:val="auto"/>
              </w:rPr>
              <w:t>Other working capital items, net</w:t>
            </w:r>
          </w:p>
        </w:tc>
        <w:tc>
          <w:tcPr>
            <w:tcW w:w="1240" w:type="dxa"/>
            <w:vAlign w:val="bottom"/>
          </w:tcPr>
          <w:p>
            <w:pPr>
              <w:spacing w:after="0"/>
              <w:rPr>
                <w:sz w:val="22"/>
                <w:szCs w:val="22"/>
                <w:color w:val="auto"/>
              </w:rPr>
            </w:pPr>
          </w:p>
        </w:tc>
        <w:tc>
          <w:tcPr>
            <w:tcW w:w="580" w:type="dxa"/>
            <w:vAlign w:val="bottom"/>
          </w:tcPr>
          <w:p>
            <w:pPr>
              <w:jc w:val="right"/>
              <w:ind w:right="1"/>
              <w:spacing w:after="0"/>
              <w:rPr>
                <w:sz w:val="20"/>
                <w:szCs w:val="20"/>
                <w:color w:val="auto"/>
              </w:rPr>
            </w:pPr>
            <w:r>
              <w:rPr>
                <w:rFonts w:ascii="Arial" w:cs="Arial" w:eastAsia="Arial" w:hAnsi="Arial"/>
                <w:sz w:val="20"/>
                <w:szCs w:val="20"/>
                <w:color w:val="auto"/>
              </w:rPr>
              <w:t>16</w:t>
            </w: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0" w:type="dxa"/>
            <w:vAlign w:val="bottom"/>
          </w:tcPr>
          <w:p>
            <w:pPr>
              <w:jc w:val="right"/>
              <w:ind w:right="1"/>
              <w:spacing w:after="0"/>
              <w:rPr>
                <w:sz w:val="20"/>
                <w:szCs w:val="20"/>
                <w:color w:val="auto"/>
              </w:rPr>
            </w:pPr>
            <w:r>
              <w:rPr>
                <w:rFonts w:ascii="Arial" w:cs="Arial" w:eastAsia="Arial" w:hAnsi="Arial"/>
                <w:sz w:val="20"/>
                <w:szCs w:val="20"/>
                <w:color w:val="auto"/>
              </w:rPr>
              <w:t>13</w:t>
            </w:r>
          </w:p>
        </w:tc>
      </w:tr>
      <w:tr>
        <w:trPr>
          <w:trHeight w:val="23"/>
        </w:trPr>
        <w:tc>
          <w:tcPr>
            <w:tcW w:w="7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84"/>
        </w:trPr>
        <w:tc>
          <w:tcPr>
            <w:tcW w:w="7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20"/>
                <w:szCs w:val="20"/>
                <w:color w:val="auto"/>
              </w:rPr>
              <w:t>Other, net</w:t>
            </w:r>
          </w:p>
        </w:tc>
        <w:tc>
          <w:tcPr>
            <w:tcW w:w="12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(16)</w:t>
            </w:r>
          </w:p>
        </w:tc>
        <w:tc>
          <w:tcPr>
            <w:tcW w:w="2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(17)</w:t>
            </w:r>
          </w:p>
        </w:tc>
      </w:tr>
      <w:tr>
        <w:trPr>
          <w:trHeight w:val="254"/>
        </w:trPr>
        <w:tc>
          <w:tcPr>
            <w:tcW w:w="7540" w:type="dxa"/>
            <w:vAlign w:val="bottom"/>
          </w:tcPr>
          <w:p>
            <w:pPr>
              <w:ind w:left="720"/>
              <w:spacing w:after="0"/>
              <w:rPr>
                <w:sz w:val="20"/>
                <w:szCs w:val="20"/>
                <w:color w:val="auto"/>
              </w:rPr>
            </w:pPr>
            <w:r>
              <w:rPr>
                <w:rFonts w:ascii="Arial" w:cs="Arial" w:eastAsia="Arial" w:hAnsi="Arial"/>
                <w:sz w:val="20"/>
                <w:szCs w:val="20"/>
                <w:b w:val="1"/>
                <w:bCs w:val="1"/>
                <w:color w:val="auto"/>
              </w:rPr>
              <w:t>Net cash provided by operating activities</w:t>
            </w:r>
          </w:p>
        </w:tc>
        <w:tc>
          <w:tcPr>
            <w:tcW w:w="124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b w:val="1"/>
                <w:bCs w:val="1"/>
                <w:color w:val="auto"/>
              </w:rPr>
              <w:t>314</w:t>
            </w:r>
          </w:p>
        </w:tc>
        <w:tc>
          <w:tcPr>
            <w:tcW w:w="22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b w:val="1"/>
                <w:bCs w:val="1"/>
                <w:color w:val="auto"/>
              </w:rPr>
              <w:t>338</w:t>
            </w:r>
          </w:p>
        </w:tc>
      </w:tr>
      <w:tr>
        <w:trPr>
          <w:trHeight w:val="23"/>
        </w:trPr>
        <w:tc>
          <w:tcPr>
            <w:tcW w:w="75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10"/>
        </w:trPr>
        <w:tc>
          <w:tcPr>
            <w:tcW w:w="75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61"/>
        </w:trPr>
        <w:tc>
          <w:tcPr>
            <w:tcW w:w="7540" w:type="dxa"/>
            <w:vAlign w:val="bottom"/>
          </w:tcPr>
          <w:p>
            <w:pPr>
              <w:ind w:left="40"/>
              <w:spacing w:after="0"/>
              <w:rPr>
                <w:sz w:val="20"/>
                <w:szCs w:val="20"/>
                <w:color w:val="auto"/>
              </w:rPr>
            </w:pPr>
            <w:r>
              <w:rPr>
                <w:rFonts w:ascii="Arial" w:cs="Arial" w:eastAsia="Arial" w:hAnsi="Arial"/>
                <w:sz w:val="20"/>
                <w:szCs w:val="20"/>
                <w:b w:val="1"/>
                <w:bCs w:val="1"/>
                <w:color w:val="auto"/>
              </w:rPr>
              <w:t>Cash flows from investing activities:</w:t>
            </w:r>
          </w:p>
        </w:tc>
        <w:tc>
          <w:tcPr>
            <w:tcW w:w="1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3"/>
        </w:trPr>
        <w:tc>
          <w:tcPr>
            <w:tcW w:w="7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64"/>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Capital expenditures</w:t>
            </w:r>
          </w:p>
        </w:tc>
        <w:tc>
          <w:tcPr>
            <w:tcW w:w="12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(271)</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(266)</w:t>
            </w:r>
          </w:p>
        </w:tc>
      </w:tr>
      <w:tr>
        <w:trPr>
          <w:trHeight w:val="261"/>
        </w:trPr>
        <w:tc>
          <w:tcPr>
            <w:tcW w:w="7540" w:type="dxa"/>
            <w:vAlign w:val="bottom"/>
          </w:tcPr>
          <w:p>
            <w:pPr>
              <w:ind w:left="280"/>
              <w:spacing w:after="0"/>
              <w:rPr>
                <w:sz w:val="20"/>
                <w:szCs w:val="20"/>
                <w:color w:val="auto"/>
              </w:rPr>
            </w:pPr>
            <w:r>
              <w:rPr>
                <w:rFonts w:ascii="Arial" w:cs="Arial" w:eastAsia="Arial" w:hAnsi="Arial"/>
                <w:sz w:val="20"/>
                <w:szCs w:val="20"/>
                <w:color w:val="auto"/>
              </w:rPr>
              <w:t>Sales of Nuclear decommissioning trust securities</w:t>
            </w:r>
          </w:p>
        </w:tc>
        <w:tc>
          <w:tcPr>
            <w:tcW w:w="1240" w:type="dxa"/>
            <w:vAlign w:val="bottom"/>
          </w:tcPr>
          <w:p>
            <w:pPr>
              <w:spacing w:after="0"/>
              <w:rPr>
                <w:sz w:val="22"/>
                <w:szCs w:val="22"/>
                <w:color w:val="auto"/>
              </w:rPr>
            </w:pPr>
          </w:p>
        </w:tc>
        <w:tc>
          <w:tcPr>
            <w:tcW w:w="580" w:type="dxa"/>
            <w:vAlign w:val="bottom"/>
          </w:tcPr>
          <w:p>
            <w:pPr>
              <w:jc w:val="right"/>
              <w:ind w:right="1"/>
              <w:spacing w:after="0"/>
              <w:rPr>
                <w:sz w:val="20"/>
                <w:szCs w:val="20"/>
                <w:color w:val="auto"/>
              </w:rPr>
            </w:pPr>
            <w:r>
              <w:rPr>
                <w:rFonts w:ascii="Arial" w:cs="Arial" w:eastAsia="Arial" w:hAnsi="Arial"/>
                <w:sz w:val="20"/>
                <w:szCs w:val="20"/>
                <w:color w:val="auto"/>
              </w:rPr>
              <w:t>7</w:t>
            </w: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0" w:type="dxa"/>
            <w:vAlign w:val="bottom"/>
          </w:tcPr>
          <w:p>
            <w:pPr>
              <w:jc w:val="right"/>
              <w:ind w:right="1"/>
              <w:spacing w:after="0"/>
              <w:rPr>
                <w:sz w:val="20"/>
                <w:szCs w:val="20"/>
                <w:color w:val="auto"/>
              </w:rPr>
            </w:pPr>
            <w:r>
              <w:rPr>
                <w:rFonts w:ascii="Arial" w:cs="Arial" w:eastAsia="Arial" w:hAnsi="Arial"/>
                <w:sz w:val="20"/>
                <w:szCs w:val="20"/>
                <w:color w:val="auto"/>
              </w:rPr>
              <w:t>6</w:t>
            </w:r>
          </w:p>
        </w:tc>
      </w:tr>
      <w:tr>
        <w:trPr>
          <w:trHeight w:val="23"/>
        </w:trPr>
        <w:tc>
          <w:tcPr>
            <w:tcW w:w="7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64"/>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Purchases of Nuclear decommissioning trust securities</w:t>
            </w:r>
          </w:p>
        </w:tc>
        <w:tc>
          <w:tcPr>
            <w:tcW w:w="12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w:t>
            </w:r>
          </w:p>
        </w:tc>
      </w:tr>
      <w:tr>
        <w:trPr>
          <w:trHeight w:val="261"/>
        </w:trPr>
        <w:tc>
          <w:tcPr>
            <w:tcW w:w="7540" w:type="dxa"/>
            <w:vAlign w:val="bottom"/>
          </w:tcPr>
          <w:p>
            <w:pPr>
              <w:ind w:left="280"/>
              <w:spacing w:after="0"/>
              <w:rPr>
                <w:sz w:val="20"/>
                <w:szCs w:val="20"/>
                <w:color w:val="auto"/>
              </w:rPr>
            </w:pPr>
            <w:r>
              <w:rPr>
                <w:rFonts w:ascii="Arial" w:cs="Arial" w:eastAsia="Arial" w:hAnsi="Arial"/>
                <w:sz w:val="20"/>
                <w:szCs w:val="20"/>
                <w:color w:val="auto"/>
              </w:rPr>
              <w:t>Other, net</w:t>
            </w:r>
          </w:p>
        </w:tc>
        <w:tc>
          <w:tcPr>
            <w:tcW w:w="12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(2)</w:t>
            </w: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0" w:type="dxa"/>
            <w:vAlign w:val="bottom"/>
          </w:tcPr>
          <w:p>
            <w:pPr>
              <w:jc w:val="right"/>
              <w:ind w:right="1"/>
              <w:spacing w:after="0"/>
              <w:rPr>
                <w:sz w:val="20"/>
                <w:szCs w:val="20"/>
                <w:color w:val="auto"/>
              </w:rPr>
            </w:pPr>
            <w:r>
              <w:rPr>
                <w:rFonts w:ascii="Arial" w:cs="Arial" w:eastAsia="Arial" w:hAnsi="Arial"/>
                <w:sz w:val="20"/>
                <w:szCs w:val="20"/>
                <w:color w:val="auto"/>
              </w:rPr>
              <w:t>—</w:t>
            </w:r>
          </w:p>
        </w:tc>
      </w:tr>
      <w:tr>
        <w:trPr>
          <w:trHeight w:val="23"/>
        </w:trPr>
        <w:tc>
          <w:tcPr>
            <w:tcW w:w="75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77"/>
        </w:trPr>
        <w:tc>
          <w:tcPr>
            <w:tcW w:w="7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b w:val="1"/>
                <w:bCs w:val="1"/>
                <w:color w:val="auto"/>
              </w:rPr>
              <w:t>Net cash used in investing activities</w:t>
            </w:r>
          </w:p>
        </w:tc>
        <w:tc>
          <w:tcPr>
            <w:tcW w:w="12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(271)</w:t>
            </w:r>
          </w:p>
        </w:tc>
        <w:tc>
          <w:tcPr>
            <w:tcW w:w="2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(265)</w:t>
            </w:r>
          </w:p>
        </w:tc>
      </w:tr>
      <w:tr>
        <w:trPr>
          <w:trHeight w:val="210"/>
        </w:trPr>
        <w:tc>
          <w:tcPr>
            <w:tcW w:w="75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r>
      <w:tr>
        <w:trPr>
          <w:trHeight w:val="26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b w:val="1"/>
                <w:bCs w:val="1"/>
                <w:color w:val="auto"/>
              </w:rPr>
              <w:t>Cash flows from financing activities:</w:t>
            </w:r>
          </w:p>
        </w:tc>
        <w:tc>
          <w:tcPr>
            <w:tcW w:w="12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r>
      <w:tr>
        <w:trPr>
          <w:trHeight w:val="261"/>
        </w:trPr>
        <w:tc>
          <w:tcPr>
            <w:tcW w:w="7540" w:type="dxa"/>
            <w:vAlign w:val="bottom"/>
          </w:tcPr>
          <w:p>
            <w:pPr>
              <w:ind w:left="280"/>
              <w:spacing w:after="0"/>
              <w:rPr>
                <w:sz w:val="20"/>
                <w:szCs w:val="20"/>
                <w:color w:val="auto"/>
              </w:rPr>
            </w:pPr>
            <w:r>
              <w:rPr>
                <w:rFonts w:ascii="Arial" w:cs="Arial" w:eastAsia="Arial" w:hAnsi="Arial"/>
                <w:sz w:val="20"/>
                <w:szCs w:val="20"/>
                <w:color w:val="auto"/>
              </w:rPr>
              <w:t>Proceeds from issuance of long-term debt</w:t>
            </w:r>
          </w:p>
        </w:tc>
        <w:tc>
          <w:tcPr>
            <w:tcW w:w="1240" w:type="dxa"/>
            <w:vAlign w:val="bottom"/>
          </w:tcPr>
          <w:p>
            <w:pPr>
              <w:spacing w:after="0"/>
              <w:rPr>
                <w:sz w:val="22"/>
                <w:szCs w:val="22"/>
                <w:color w:val="auto"/>
              </w:rPr>
            </w:pPr>
          </w:p>
        </w:tc>
        <w:tc>
          <w:tcPr>
            <w:tcW w:w="580" w:type="dxa"/>
            <w:vAlign w:val="bottom"/>
          </w:tcPr>
          <w:p>
            <w:pPr>
              <w:jc w:val="right"/>
              <w:ind w:right="1"/>
              <w:spacing w:after="0"/>
              <w:rPr>
                <w:sz w:val="20"/>
                <w:szCs w:val="20"/>
                <w:color w:val="auto"/>
              </w:rPr>
            </w:pPr>
            <w:r>
              <w:rPr>
                <w:rFonts w:ascii="Arial" w:cs="Arial" w:eastAsia="Arial" w:hAnsi="Arial"/>
                <w:sz w:val="20"/>
                <w:szCs w:val="20"/>
                <w:color w:val="auto"/>
              </w:rPr>
              <w:t>200</w:t>
            </w: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0" w:type="dxa"/>
            <w:vAlign w:val="bottom"/>
          </w:tcPr>
          <w:p>
            <w:pPr>
              <w:jc w:val="right"/>
              <w:ind w:right="1"/>
              <w:spacing w:after="0"/>
              <w:rPr>
                <w:sz w:val="20"/>
                <w:szCs w:val="20"/>
                <w:color w:val="auto"/>
              </w:rPr>
            </w:pPr>
            <w:r>
              <w:rPr>
                <w:rFonts w:ascii="Arial" w:cs="Arial" w:eastAsia="Arial" w:hAnsi="Arial"/>
                <w:sz w:val="20"/>
                <w:szCs w:val="20"/>
                <w:color w:val="auto"/>
              </w:rPr>
              <w:t>—</w:t>
            </w:r>
          </w:p>
        </w:tc>
      </w:tr>
      <w:tr>
        <w:trPr>
          <w:trHeight w:val="23"/>
        </w:trPr>
        <w:tc>
          <w:tcPr>
            <w:tcW w:w="7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64"/>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Payments on long-term debt</w:t>
            </w:r>
          </w:p>
        </w:tc>
        <w:tc>
          <w:tcPr>
            <w:tcW w:w="12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(300)</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r>
      <w:tr>
        <w:trPr>
          <w:trHeight w:val="261"/>
        </w:trPr>
        <w:tc>
          <w:tcPr>
            <w:tcW w:w="7540" w:type="dxa"/>
            <w:vAlign w:val="bottom"/>
          </w:tcPr>
          <w:p>
            <w:pPr>
              <w:ind w:left="280"/>
              <w:spacing w:after="0"/>
              <w:rPr>
                <w:sz w:val="20"/>
                <w:szCs w:val="20"/>
                <w:color w:val="auto"/>
              </w:rPr>
            </w:pPr>
            <w:r>
              <w:rPr>
                <w:rFonts w:ascii="Arial" w:cs="Arial" w:eastAsia="Arial" w:hAnsi="Arial"/>
                <w:sz w:val="20"/>
                <w:szCs w:val="20"/>
                <w:color w:val="auto"/>
              </w:rPr>
              <w:t>Issuance of commercial paper, net</w:t>
            </w:r>
          </w:p>
        </w:tc>
        <w:tc>
          <w:tcPr>
            <w:tcW w:w="1240" w:type="dxa"/>
            <w:vAlign w:val="bottom"/>
          </w:tcPr>
          <w:p>
            <w:pPr>
              <w:spacing w:after="0"/>
              <w:rPr>
                <w:sz w:val="22"/>
                <w:szCs w:val="22"/>
                <w:color w:val="auto"/>
              </w:rPr>
            </w:pPr>
          </w:p>
        </w:tc>
        <w:tc>
          <w:tcPr>
            <w:tcW w:w="580" w:type="dxa"/>
            <w:vAlign w:val="bottom"/>
          </w:tcPr>
          <w:p>
            <w:pPr>
              <w:jc w:val="right"/>
              <w:ind w:right="1"/>
              <w:spacing w:after="0"/>
              <w:rPr>
                <w:sz w:val="20"/>
                <w:szCs w:val="20"/>
                <w:color w:val="auto"/>
              </w:rPr>
            </w:pPr>
            <w:r>
              <w:rPr>
                <w:rFonts w:ascii="Arial" w:cs="Arial" w:eastAsia="Arial" w:hAnsi="Arial"/>
                <w:sz w:val="20"/>
                <w:szCs w:val="20"/>
                <w:color w:val="auto"/>
              </w:rPr>
              <w:t>17</w:t>
            </w: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0" w:type="dxa"/>
            <w:vAlign w:val="bottom"/>
          </w:tcPr>
          <w:p>
            <w:pPr>
              <w:jc w:val="right"/>
              <w:ind w:right="1"/>
              <w:spacing w:after="0"/>
              <w:rPr>
                <w:sz w:val="20"/>
                <w:szCs w:val="20"/>
                <w:color w:val="auto"/>
              </w:rPr>
            </w:pPr>
            <w:r>
              <w:rPr>
                <w:rFonts w:ascii="Arial" w:cs="Arial" w:eastAsia="Arial" w:hAnsi="Arial"/>
                <w:sz w:val="20"/>
                <w:szCs w:val="20"/>
                <w:color w:val="auto"/>
              </w:rPr>
              <w:t>—</w:t>
            </w:r>
          </w:p>
        </w:tc>
      </w:tr>
      <w:tr>
        <w:trPr>
          <w:trHeight w:val="23"/>
        </w:trPr>
        <w:tc>
          <w:tcPr>
            <w:tcW w:w="7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64"/>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Dividends paid</w:t>
            </w:r>
          </w:p>
        </w:tc>
        <w:tc>
          <w:tcPr>
            <w:tcW w:w="12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(65)</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(61)</w:t>
            </w:r>
          </w:p>
        </w:tc>
      </w:tr>
      <w:tr>
        <w:trPr>
          <w:trHeight w:val="261"/>
        </w:trPr>
        <w:tc>
          <w:tcPr>
            <w:tcW w:w="7540" w:type="dxa"/>
            <w:vAlign w:val="bottom"/>
          </w:tcPr>
          <w:p>
            <w:pPr>
              <w:ind w:left="280"/>
              <w:spacing w:after="0"/>
              <w:rPr>
                <w:sz w:val="20"/>
                <w:szCs w:val="20"/>
                <w:color w:val="auto"/>
              </w:rPr>
            </w:pPr>
            <w:r>
              <w:rPr>
                <w:rFonts w:ascii="Arial" w:cs="Arial" w:eastAsia="Arial" w:hAnsi="Arial"/>
                <w:sz w:val="20"/>
                <w:szCs w:val="20"/>
                <w:color w:val="auto"/>
              </w:rPr>
              <w:t>Other</w:t>
            </w:r>
          </w:p>
        </w:tc>
        <w:tc>
          <w:tcPr>
            <w:tcW w:w="12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(3)</w:t>
            </w: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3"/>
        </w:trPr>
        <w:tc>
          <w:tcPr>
            <w:tcW w:w="75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77"/>
        </w:trPr>
        <w:tc>
          <w:tcPr>
            <w:tcW w:w="7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b w:val="1"/>
                <w:bCs w:val="1"/>
                <w:color w:val="auto"/>
              </w:rPr>
              <w:t>Net cash used in financing activities</w:t>
            </w:r>
          </w:p>
        </w:tc>
        <w:tc>
          <w:tcPr>
            <w:tcW w:w="12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(151)</w:t>
            </w:r>
          </w:p>
        </w:tc>
        <w:tc>
          <w:tcPr>
            <w:tcW w:w="2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(64)</w:t>
            </w:r>
          </w:p>
        </w:tc>
      </w:tr>
      <w:tr>
        <w:trPr>
          <w:trHeight w:val="254"/>
        </w:trPr>
        <w:tc>
          <w:tcPr>
            <w:tcW w:w="7540" w:type="dxa"/>
            <w:vAlign w:val="bottom"/>
          </w:tcPr>
          <w:p>
            <w:pPr>
              <w:ind w:left="40"/>
              <w:spacing w:after="0"/>
              <w:rPr>
                <w:sz w:val="20"/>
                <w:szCs w:val="20"/>
                <w:color w:val="auto"/>
              </w:rPr>
            </w:pPr>
            <w:r>
              <w:rPr>
                <w:rFonts w:ascii="Arial" w:cs="Arial" w:eastAsia="Arial" w:hAnsi="Arial"/>
                <w:sz w:val="20"/>
                <w:szCs w:val="20"/>
                <w:b w:val="1"/>
                <w:bCs w:val="1"/>
                <w:color w:val="auto"/>
              </w:rPr>
              <w:t>(Decrease) increase in cash and cash equivalents</w:t>
            </w:r>
          </w:p>
        </w:tc>
        <w:tc>
          <w:tcPr>
            <w:tcW w:w="124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20"/>
                <w:szCs w:val="20"/>
                <w:b w:val="1"/>
                <w:bCs w:val="1"/>
                <w:color w:val="auto"/>
              </w:rPr>
              <w:t>(108)</w:t>
            </w:r>
          </w:p>
        </w:tc>
        <w:tc>
          <w:tcPr>
            <w:tcW w:w="22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b w:val="1"/>
                <w:bCs w:val="1"/>
                <w:color w:val="auto"/>
              </w:rPr>
              <w:t>9</w:t>
            </w:r>
          </w:p>
        </w:tc>
      </w:tr>
      <w:tr>
        <w:trPr>
          <w:trHeight w:val="23"/>
        </w:trPr>
        <w:tc>
          <w:tcPr>
            <w:tcW w:w="7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8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b w:val="1"/>
                <w:bCs w:val="1"/>
                <w:color w:val="auto"/>
              </w:rPr>
              <w:t>Cash and cash equivalents, beginning of period</w:t>
            </w:r>
          </w:p>
        </w:tc>
        <w:tc>
          <w:tcPr>
            <w:tcW w:w="12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b w:val="1"/>
                <w:bCs w:val="1"/>
                <w:color w:val="auto"/>
              </w:rPr>
              <w:t>119</w:t>
            </w:r>
          </w:p>
        </w:tc>
        <w:tc>
          <w:tcPr>
            <w:tcW w:w="2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b w:val="1"/>
                <w:bCs w:val="1"/>
                <w:color w:val="auto"/>
              </w:rPr>
              <w:t>39</w:t>
            </w:r>
          </w:p>
        </w:tc>
      </w:tr>
      <w:tr>
        <w:trPr>
          <w:trHeight w:val="312"/>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20"/>
                <w:szCs w:val="20"/>
                <w:b w:val="1"/>
                <w:bCs w:val="1"/>
                <w:color w:val="auto"/>
              </w:rPr>
              <w:t>Cash and cash equivalents, end of period</w:t>
            </w:r>
          </w:p>
        </w:tc>
        <w:tc>
          <w:tcPr>
            <w:tcW w:w="1240" w:type="dxa"/>
            <w:vAlign w:val="bottom"/>
            <w:tcBorders>
              <w:top w:val="single" w:sz="8" w:color="auto"/>
              <w:bottom w:val="single" w:sz="8" w:color="auto"/>
            </w:tcBorders>
          </w:tcPr>
          <w:p>
            <w:pPr>
              <w:jc w:val="right"/>
              <w:ind w:right="1021"/>
              <w:spacing w:after="0"/>
              <w:rPr>
                <w:sz w:val="20"/>
                <w:szCs w:val="20"/>
                <w:color w:val="auto"/>
              </w:rPr>
            </w:pPr>
            <w:r>
              <w:rPr>
                <w:rFonts w:ascii="Arial" w:cs="Arial" w:eastAsia="Arial" w:hAnsi="Arial"/>
                <w:sz w:val="20"/>
                <w:szCs w:val="20"/>
                <w:b w:val="1"/>
                <w:bCs w:val="1"/>
                <w:color w:val="auto"/>
                <w:w w:val="89"/>
              </w:rPr>
              <w:t>$</w:t>
            </w:r>
          </w:p>
        </w:tc>
        <w:tc>
          <w:tcPr>
            <w:tcW w:w="5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b w:val="1"/>
                <w:bCs w:val="1"/>
                <w:color w:val="auto"/>
              </w:rPr>
              <w:t>11</w:t>
            </w:r>
          </w:p>
        </w:tc>
        <w:tc>
          <w:tcPr>
            <w:tcW w:w="220" w:type="dxa"/>
            <w:vAlign w:val="bottom"/>
            <w:tcBorders>
              <w:bottom w:val="single" w:sz="8" w:color="CCEEFF"/>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1021"/>
              <w:spacing w:after="0"/>
              <w:rPr>
                <w:sz w:val="20"/>
                <w:szCs w:val="20"/>
                <w:color w:val="auto"/>
              </w:rPr>
            </w:pPr>
            <w:r>
              <w:rPr>
                <w:rFonts w:ascii="Arial" w:cs="Arial" w:eastAsia="Arial" w:hAnsi="Arial"/>
                <w:sz w:val="20"/>
                <w:szCs w:val="20"/>
                <w:b w:val="1"/>
                <w:bCs w:val="1"/>
                <w:color w:val="auto"/>
                <w:w w:val="89"/>
              </w:rPr>
              <w:t>$</w:t>
            </w:r>
          </w:p>
        </w:tc>
        <w:tc>
          <w:tcPr>
            <w:tcW w:w="6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b w:val="1"/>
                <w:bCs w:val="1"/>
                <w:color w:val="auto"/>
              </w:rPr>
              <w:t>48</w:t>
            </w:r>
          </w:p>
        </w:tc>
      </w:tr>
      <w:tr>
        <w:trPr>
          <w:trHeight w:val="255"/>
        </w:trPr>
        <w:tc>
          <w:tcPr>
            <w:tcW w:w="75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r>
      <w:tr>
        <w:trPr>
          <w:trHeight w:val="261"/>
        </w:trPr>
        <w:tc>
          <w:tcPr>
            <w:tcW w:w="7540" w:type="dxa"/>
            <w:vAlign w:val="bottom"/>
          </w:tcPr>
          <w:p>
            <w:pPr>
              <w:ind w:left="40"/>
              <w:spacing w:after="0"/>
              <w:rPr>
                <w:sz w:val="20"/>
                <w:szCs w:val="20"/>
                <w:color w:val="auto"/>
              </w:rPr>
            </w:pPr>
            <w:r>
              <w:rPr>
                <w:rFonts w:ascii="Arial" w:cs="Arial" w:eastAsia="Arial" w:hAnsi="Arial"/>
                <w:sz w:val="20"/>
                <w:szCs w:val="20"/>
                <w:b w:val="1"/>
                <w:bCs w:val="1"/>
                <w:color w:val="auto"/>
              </w:rPr>
              <w:t>Supplemental cash flow information is as follows:</w:t>
            </w:r>
          </w:p>
        </w:tc>
        <w:tc>
          <w:tcPr>
            <w:tcW w:w="1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3"/>
        </w:trPr>
        <w:tc>
          <w:tcPr>
            <w:tcW w:w="7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64"/>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Cash paid for interest, net of amounts capitalized</w:t>
            </w:r>
          </w:p>
        </w:tc>
        <w:tc>
          <w:tcPr>
            <w:tcW w:w="1240" w:type="dxa"/>
            <w:vAlign w:val="bottom"/>
            <w:tcBorders>
              <w:bottom w:val="single" w:sz="8" w:color="CCEEFF"/>
            </w:tcBorders>
            <w:shd w:val="clear" w:color="auto" w:fill="CCEEFF"/>
          </w:tcPr>
          <w:p>
            <w:pPr>
              <w:jc w:val="right"/>
              <w:ind w:right="1021"/>
              <w:spacing w:after="0"/>
              <w:rPr>
                <w:sz w:val="20"/>
                <w:szCs w:val="20"/>
                <w:color w:val="auto"/>
              </w:rPr>
            </w:pPr>
            <w:r>
              <w:rPr>
                <w:rFonts w:ascii="Arial" w:cs="Arial" w:eastAsia="Arial" w:hAnsi="Arial"/>
                <w:sz w:val="20"/>
                <w:szCs w:val="20"/>
                <w:color w:val="auto"/>
                <w:w w:val="89"/>
              </w:rPr>
              <w:t>$</w:t>
            </w:r>
          </w:p>
        </w:tc>
        <w:tc>
          <w:tcPr>
            <w:tcW w:w="5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60</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21"/>
              <w:spacing w:after="0"/>
              <w:rPr>
                <w:sz w:val="20"/>
                <w:szCs w:val="20"/>
                <w:color w:val="auto"/>
              </w:rPr>
            </w:pPr>
            <w:r>
              <w:rPr>
                <w:rFonts w:ascii="Arial" w:cs="Arial" w:eastAsia="Arial" w:hAnsi="Arial"/>
                <w:sz w:val="20"/>
                <w:szCs w:val="20"/>
                <w:color w:val="auto"/>
                <w:w w:val="89"/>
              </w:rPr>
              <w:t>$</w:t>
            </w:r>
          </w:p>
        </w:tc>
        <w:tc>
          <w:tcPr>
            <w:tcW w:w="6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58</w:t>
            </w:r>
          </w:p>
        </w:tc>
      </w:tr>
      <w:tr>
        <w:trPr>
          <w:trHeight w:val="261"/>
        </w:trPr>
        <w:tc>
          <w:tcPr>
            <w:tcW w:w="7540" w:type="dxa"/>
            <w:vAlign w:val="bottom"/>
          </w:tcPr>
          <w:p>
            <w:pPr>
              <w:ind w:left="280"/>
              <w:spacing w:after="0"/>
              <w:rPr>
                <w:sz w:val="20"/>
                <w:szCs w:val="20"/>
                <w:color w:val="auto"/>
              </w:rPr>
            </w:pPr>
            <w:r>
              <w:rPr>
                <w:rFonts w:ascii="Arial" w:cs="Arial" w:eastAsia="Arial" w:hAnsi="Arial"/>
                <w:sz w:val="20"/>
                <w:szCs w:val="20"/>
                <w:color w:val="auto"/>
              </w:rPr>
              <w:t>Cash paid for income taxes</w:t>
            </w:r>
          </w:p>
        </w:tc>
        <w:tc>
          <w:tcPr>
            <w:tcW w:w="1240" w:type="dxa"/>
            <w:vAlign w:val="bottom"/>
          </w:tcPr>
          <w:p>
            <w:pPr>
              <w:spacing w:after="0"/>
              <w:rPr>
                <w:sz w:val="22"/>
                <w:szCs w:val="22"/>
                <w:color w:val="auto"/>
              </w:rPr>
            </w:pPr>
          </w:p>
        </w:tc>
        <w:tc>
          <w:tcPr>
            <w:tcW w:w="580" w:type="dxa"/>
            <w:vAlign w:val="bottom"/>
          </w:tcPr>
          <w:p>
            <w:pPr>
              <w:jc w:val="right"/>
              <w:ind w:right="1"/>
              <w:spacing w:after="0"/>
              <w:rPr>
                <w:sz w:val="20"/>
                <w:szCs w:val="20"/>
                <w:color w:val="auto"/>
              </w:rPr>
            </w:pPr>
            <w:r>
              <w:rPr>
                <w:rFonts w:ascii="Arial" w:cs="Arial" w:eastAsia="Arial" w:hAnsi="Arial"/>
                <w:sz w:val="20"/>
                <w:szCs w:val="20"/>
                <w:color w:val="auto"/>
              </w:rPr>
              <w:t>20</w:t>
            </w: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0" w:type="dxa"/>
            <w:vAlign w:val="bottom"/>
          </w:tcPr>
          <w:p>
            <w:pPr>
              <w:jc w:val="right"/>
              <w:ind w:right="1"/>
              <w:spacing w:after="0"/>
              <w:rPr>
                <w:sz w:val="20"/>
                <w:szCs w:val="20"/>
                <w:color w:val="auto"/>
              </w:rPr>
            </w:pPr>
            <w:r>
              <w:rPr>
                <w:rFonts w:ascii="Arial" w:cs="Arial" w:eastAsia="Arial" w:hAnsi="Arial"/>
                <w:sz w:val="20"/>
                <w:szCs w:val="20"/>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See accompanying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PORTLAND GENERAL ELECTRIC COMPANY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CONDENSED CONSOLIDATED STATEMENTS OF CASH FLOWS, continued</w:t>
      </w:r>
    </w:p>
    <w:p>
      <w:pPr>
        <w:ind w:left="5220"/>
        <w:spacing w:after="0"/>
        <w:rPr>
          <w:sz w:val="20"/>
          <w:szCs w:val="20"/>
          <w:color w:val="auto"/>
        </w:rPr>
      </w:pPr>
      <w:r>
        <w:rPr>
          <w:rFonts w:ascii="Arial" w:cs="Arial" w:eastAsia="Arial" w:hAnsi="Arial"/>
          <w:sz w:val="20"/>
          <w:szCs w:val="20"/>
          <w:color w:val="auto"/>
        </w:rPr>
        <w:t>(In millions)</w:t>
      </w:r>
    </w:p>
    <w:p>
      <w:pPr>
        <w:ind w:left="5240"/>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Nature of Business</w:t>
      </w:r>
    </w:p>
    <w:p>
      <w:pPr>
        <w:spacing w:after="0" w:line="235"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Portland General Electric Company (PGE or the Company) is a single, vertically integrated electric utility engaged in the generation, purchase, transmission, distribution, and retail sale of electricity in the State of Oregon. The Company also participates in the wholesale market by purchasing and selling electricity and natural gas in an effort to obtain reasonably-priced power for its retail customers. PGE operates as a single segment, with revenues and costs related to its business activities maintained and analyzed on a total electric operations basis. The Company’s corporate headquarters is located in Portland, Oregon and its four thousand square mile, state-approved service area allocation, located entirely within the State of Oregon, encompasses 51 incorporated cities. As of June 30, 2019, PGE served 888 thousand retail customers within a service area of 1.9 million residents, comprising 46% of the state’s population.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Condensed Consolidated Financial Statements</w:t>
      </w:r>
    </w:p>
    <w:p>
      <w:pPr>
        <w:spacing w:after="0" w:line="235"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These condensed consolidated financial statements have been prepared pursuant to the rules and regulations of the United States Securities and Exchange Commission (SEC). Certain information and note disclosures normally included in financial statements prepared in conformity with accounting principles generally accepted in the United States of America (GAAP) have been condensed or omitted pursuant to such regulations, although PGE believes that the disclosures provided are adequate to make the interim information presented not misleading.</w:t>
      </w:r>
    </w:p>
    <w:p>
      <w:pPr>
        <w:spacing w:after="0" w:line="175"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The financial information included herein as of and for the three and six months ended June 30, 2019 and 2018 is unaudited; however, in the opinion of management, such information reflects all adjustments necessary to fairly present the condensed consolidated financial position, condensed consolidated income and comprehensive income, and condensed consolidated cash flows of the Company for these interim periods. All such adjustments are of normal recurring nature, unless otherwise noted. The financial information as of December 31, 2018 is derived from the Company’s audited consolidated financial statements and notes thereto for the year ended December 31, 2018, included in Item 8 of PGE’s Annual Report on Form 10-K, filed with the SEC on February 15, 2019, which should be read in conjunction with such condensed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Comprehensive Income</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 material change occurred in Other comprehensive income in the three and six months ended June 30, 2019 and 2018.</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Estimates</w:t>
      </w:r>
    </w:p>
    <w:p>
      <w:pPr>
        <w:spacing w:after="0" w:line="235" w:lineRule="exact"/>
        <w:rPr>
          <w:sz w:val="20"/>
          <w:szCs w:val="20"/>
          <w:color w:val="auto"/>
        </w:rPr>
      </w:pPr>
    </w:p>
    <w:p>
      <w:pPr>
        <w:jc w:val="both"/>
        <w:ind w:right="620"/>
        <w:spacing w:after="0" w:line="246" w:lineRule="auto"/>
        <w:rPr>
          <w:sz w:val="20"/>
          <w:szCs w:val="20"/>
          <w:color w:val="auto"/>
        </w:rPr>
      </w:pPr>
      <w:r>
        <w:rPr>
          <w:rFonts w:ascii="Arial" w:cs="Arial" w:eastAsia="Arial" w:hAnsi="Arial"/>
          <w:sz w:val="20"/>
          <w:szCs w:val="20"/>
          <w:color w:val="auto"/>
        </w:rPr>
        <w:t>The preparation of condensed consolidated financial statements in accordance with GAAP requires management to make estimates and assumptions that affect the reported amounts of assets and liabilities, and disclosures of gain or loss contingencies, as of the date of the financial statements and the reported amounts of revenues and expenses during the reporting period. Actual results experienced by the Company could differ materially from those estimates.</w:t>
      </w:r>
    </w:p>
    <w:p>
      <w:pPr>
        <w:spacing w:after="0" w:line="205"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Certain costs are estimated for the full year and allocated to interim periods based on estimates of operating time expired, benefit received, or activity associated with the interim period; accordingly, such costs may not be</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121" w:right="3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ind w:left="280" w:right="1960"/>
        <w:spacing w:after="0" w:line="257" w:lineRule="auto"/>
        <w:rPr>
          <w:sz w:val="20"/>
          <w:szCs w:val="20"/>
          <w:color w:val="auto"/>
        </w:rPr>
      </w:pPr>
      <w:r>
        <w:rPr>
          <w:rFonts w:ascii="Arial" w:cs="Arial" w:eastAsia="Arial" w:hAnsi="Arial"/>
          <w:sz w:val="20"/>
          <w:szCs w:val="20"/>
          <w:b w:val="1"/>
          <w:bCs w:val="1"/>
          <w:color w:val="auto"/>
        </w:rPr>
        <w:t xml:space="preserve">PORTLAND GENERAL ELECTRIC COMPANY NOTES TO CONDENSED CONSOLIDATED FINANCIAL STATEMENTS, continued </w:t>
      </w:r>
      <w:r>
        <w:rPr>
          <w:rFonts w:ascii="Arial" w:cs="Arial" w:eastAsia="Arial" w:hAnsi="Arial"/>
          <w:sz w:val="20"/>
          <w:szCs w:val="20"/>
          <w:color w:val="auto"/>
        </w:rPr>
        <w:t>(Unaudited)</w:t>
      </w:r>
    </w:p>
    <w:p>
      <w:pPr>
        <w:spacing w:after="0" w:line="200" w:lineRule="exact"/>
        <w:rPr>
          <w:sz w:val="20"/>
          <w:szCs w:val="20"/>
          <w:color w:val="auto"/>
        </w:rPr>
      </w:pPr>
    </w:p>
    <w:p>
      <w:pPr>
        <w:spacing w:after="0" w:line="245"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reflective of amounts to be recognized for a full year. Due to seasonal fluctuations in electricity sales, as well as the price of wholesale energy and natural gas, interim financial results do not necessarily represent those to be expected for the year.</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235" w:lineRule="exact"/>
        <w:rPr>
          <w:sz w:val="20"/>
          <w:szCs w:val="20"/>
          <w:color w:val="auto"/>
        </w:rPr>
      </w:pPr>
    </w:p>
    <w:p>
      <w:pPr>
        <w:ind w:right="60"/>
        <w:spacing w:after="0" w:line="259" w:lineRule="auto"/>
        <w:rPr>
          <w:sz w:val="20"/>
          <w:szCs w:val="20"/>
          <w:color w:val="auto"/>
        </w:rPr>
      </w:pPr>
      <w:r>
        <w:rPr>
          <w:rFonts w:ascii="Arial" w:cs="Arial" w:eastAsia="Arial" w:hAnsi="Arial"/>
          <w:sz w:val="19"/>
          <w:szCs w:val="19"/>
          <w:color w:val="auto"/>
        </w:rPr>
        <w:t xml:space="preserve">In August 2018, the FASB issued ASU 2018-13 </w:t>
      </w:r>
      <w:r>
        <w:rPr>
          <w:rFonts w:ascii="Arial" w:cs="Arial" w:eastAsia="Arial" w:hAnsi="Arial"/>
          <w:sz w:val="19"/>
          <w:szCs w:val="19"/>
          <w:i w:val="1"/>
          <w:iCs w:val="1"/>
          <w:color w:val="auto"/>
        </w:rPr>
        <w:t>Fair Value Measurement (Topic 820): Disclosure Framework—Changes to the Disclosure</w:t>
      </w:r>
      <w:r>
        <w:rPr>
          <w:rFonts w:ascii="Arial" w:cs="Arial" w:eastAsia="Arial" w:hAnsi="Arial"/>
          <w:sz w:val="19"/>
          <w:szCs w:val="19"/>
          <w:color w:val="auto"/>
        </w:rPr>
        <w:t xml:space="preserve"> </w:t>
      </w:r>
      <w:r>
        <w:rPr>
          <w:rFonts w:ascii="Arial" w:cs="Arial" w:eastAsia="Arial" w:hAnsi="Arial"/>
          <w:sz w:val="19"/>
          <w:szCs w:val="19"/>
          <w:i w:val="1"/>
          <w:iCs w:val="1"/>
          <w:color w:val="auto"/>
        </w:rPr>
        <w:t>Requirements for Fair Value Measurement</w:t>
      </w:r>
      <w:r>
        <w:rPr>
          <w:rFonts w:ascii="Arial" w:cs="Arial" w:eastAsia="Arial" w:hAnsi="Arial"/>
          <w:sz w:val="19"/>
          <w:szCs w:val="19"/>
          <w:color w:val="auto"/>
        </w:rPr>
        <w:t>. ASU 2018-13 amends Topic 820 to add, remove, and clarify disclosure requirements related to fair</w:t>
      </w:r>
      <w:r>
        <w:rPr>
          <w:rFonts w:ascii="Arial" w:cs="Arial" w:eastAsia="Arial" w:hAnsi="Arial"/>
          <w:sz w:val="19"/>
          <w:szCs w:val="19"/>
          <w:i w:val="1"/>
          <w:iCs w:val="1"/>
          <w:color w:val="auto"/>
        </w:rPr>
        <w:t xml:space="preserve"> </w:t>
      </w:r>
      <w:r>
        <w:rPr>
          <w:rFonts w:ascii="Arial" w:cs="Arial" w:eastAsia="Arial" w:hAnsi="Arial"/>
          <w:sz w:val="19"/>
          <w:szCs w:val="19"/>
          <w:color w:val="auto"/>
        </w:rPr>
        <w:t>value measurement disclosures. For calendar year-end entities, the update will be effective for annual periods beginning January 1, 2020, and interim periods within those fiscal years. Early adoption of the amendments is permitted, including adoption in any interim period. As the standard relates only to disclosures, PGE does not expect the adoption to have a material impact on the condensed consolidated financial statements and is still evaluating whether it will early adopt.</w:t>
      </w:r>
    </w:p>
    <w:p>
      <w:pPr>
        <w:spacing w:after="0" w:line="192"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Intangibles—Goodwill and Other—Internal-Use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for Implementation Costs Incurred in a Cloud Computing Arrangement That Is a Service Contract</w:t>
      </w:r>
      <w:r>
        <w:rPr>
          <w:rFonts w:ascii="Arial" w:cs="Arial" w:eastAsia="Arial" w:hAnsi="Arial"/>
          <w:sz w:val="18"/>
          <w:szCs w:val="18"/>
          <w:color w:val="auto"/>
        </w:rPr>
        <w:t>, to provide guidance on</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costs incurred in a cloud computing arrangement that is a service contract. ASU 2018-15 aligns the accounting for such costs with the guidance on capitalizing costs associated with developing or obtaining internal-use software. For calendar year-end entities, the update will be effective for annual periods beginning on January 1, 2020. Early adoption is permitted, including adoption in an interim period. The amendments in this update may be applied either retrospectively or prospectively to all implementation costs incurred after the date of adoption. PGE is in the process of evaluating potential impacts of these amendments and does not plan to early adopt.</w:t>
      </w:r>
    </w:p>
    <w:p>
      <w:pPr>
        <w:spacing w:after="0" w:line="183"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 xml:space="preserve">In August 2018, the FASB issued ASU 2018-14 </w:t>
      </w:r>
      <w:r>
        <w:rPr>
          <w:rFonts w:ascii="Arial" w:cs="Arial" w:eastAsia="Arial" w:hAnsi="Arial"/>
          <w:sz w:val="20"/>
          <w:szCs w:val="20"/>
          <w:i w:val="1"/>
          <w:iCs w:val="1"/>
          <w:color w:val="auto"/>
        </w:rPr>
        <w:t>Compensation—Retirement Benefits—Defined Benefit Plans—General (Subtopic 715-20):</w:t>
      </w:r>
      <w:r>
        <w:rPr>
          <w:rFonts w:ascii="Arial" w:cs="Arial" w:eastAsia="Arial" w:hAnsi="Arial"/>
          <w:sz w:val="20"/>
          <w:szCs w:val="20"/>
          <w:color w:val="auto"/>
        </w:rPr>
        <w:t xml:space="preserve"> </w:t>
      </w:r>
      <w:r>
        <w:rPr>
          <w:rFonts w:ascii="Arial" w:cs="Arial" w:eastAsia="Arial" w:hAnsi="Arial"/>
          <w:sz w:val="20"/>
          <w:szCs w:val="20"/>
          <w:i w:val="1"/>
          <w:iCs w:val="1"/>
          <w:color w:val="auto"/>
        </w:rPr>
        <w:t>Disclosure Framework—Changes to the Disclosure Requirements for Defined Benefit Plans</w:t>
      </w:r>
      <w:r>
        <w:rPr>
          <w:rFonts w:ascii="Arial" w:cs="Arial" w:eastAsia="Arial" w:hAnsi="Arial"/>
          <w:sz w:val="20"/>
          <w:szCs w:val="20"/>
          <w:color w:val="auto"/>
        </w:rPr>
        <w:t>. ASU 2018-14 amends Topic 715 to add, remove,</w:t>
      </w:r>
      <w:r>
        <w:rPr>
          <w:rFonts w:ascii="Arial" w:cs="Arial" w:eastAsia="Arial" w:hAnsi="Arial"/>
          <w:sz w:val="20"/>
          <w:szCs w:val="20"/>
          <w:i w:val="1"/>
          <w:iCs w:val="1"/>
          <w:color w:val="auto"/>
        </w:rPr>
        <w:t xml:space="preserve"> </w:t>
      </w:r>
      <w:r>
        <w:rPr>
          <w:rFonts w:ascii="Arial" w:cs="Arial" w:eastAsia="Arial" w:hAnsi="Arial"/>
          <w:sz w:val="20"/>
          <w:szCs w:val="20"/>
          <w:color w:val="auto"/>
        </w:rPr>
        <w:t>and clarify disclosure requirements related to defined benefit pension and other postretirement plans. For calendar year-end entities, the update will be effective for annual periods beginning on January 1, 2021. Early adoption is permitted. As the standard relates only to disclosures, PGE does not expect the adoption to have a material impact on the condensed consolidated financial statements and is still evaluating whether it will early adopt.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Adopted Accounting Pronouncements</w:t>
      </w:r>
    </w:p>
    <w:p>
      <w:pPr>
        <w:spacing w:after="0" w:line="23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 xml:space="preserve">On January 1, 2019, PGE adopted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which supersedes the current lease accounting requirements for lessees and lessors within Topic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The Company elected the practical expedient provided under ASU 2018-11, </w:t>
      </w:r>
      <w:r>
        <w:rPr>
          <w:rFonts w:ascii="Arial" w:cs="Arial" w:eastAsia="Arial" w:hAnsi="Arial"/>
          <w:sz w:val="18"/>
          <w:szCs w:val="18"/>
          <w:i w:val="1"/>
          <w:iCs w:val="1"/>
          <w:color w:val="auto"/>
        </w:rPr>
        <w:t>Leases (Topic 842) Targeted</w:t>
      </w:r>
      <w:r>
        <w:rPr>
          <w:rFonts w:ascii="Arial" w:cs="Arial" w:eastAsia="Arial" w:hAnsi="Arial"/>
          <w:sz w:val="18"/>
          <w:szCs w:val="18"/>
          <w:color w:val="auto"/>
        </w:rPr>
        <w:t xml:space="preserve"> </w:t>
      </w:r>
      <w:r>
        <w:rPr>
          <w:rFonts w:ascii="Arial" w:cs="Arial" w:eastAsia="Arial" w:hAnsi="Arial"/>
          <w:sz w:val="18"/>
          <w:szCs w:val="18"/>
          <w:i w:val="1"/>
          <w:iCs w:val="1"/>
          <w:color w:val="auto"/>
        </w:rPr>
        <w:t>Improvements</w:t>
      </w:r>
      <w:r>
        <w:rPr>
          <w:rFonts w:ascii="Arial" w:cs="Arial" w:eastAsia="Arial" w:hAnsi="Arial"/>
          <w:sz w:val="18"/>
          <w:szCs w:val="18"/>
          <w:color w:val="auto"/>
        </w:rPr>
        <w:t>, which amended ASU 2016-02 to provide entities an optional transition practical expedient to adopt the new standard with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cumulative effect adjustment as of the beginning of the year of adoption with prior year comparative financial information and disclosures remaining as previously reported. As a result, no adjustments were made to the balance sheet prior to January 1, 2019 and amounts are reported in accordance with historical accounting under Topic 840, while the balance sheet as of June 30, 2019 is presented under Topic 842. The Company also elected the practical expedient provided under ASU 2018-01, </w:t>
      </w:r>
      <w:r>
        <w:rPr>
          <w:rFonts w:ascii="Arial" w:cs="Arial" w:eastAsia="Arial" w:hAnsi="Arial"/>
          <w:sz w:val="18"/>
          <w:szCs w:val="18"/>
          <w:i w:val="1"/>
          <w:iCs w:val="1"/>
          <w:color w:val="auto"/>
        </w:rPr>
        <w:t>Leases (Topic 842) Land Easement Practical Expedient for</w:t>
      </w:r>
      <w:r>
        <w:rPr>
          <w:rFonts w:ascii="Arial" w:cs="Arial" w:eastAsia="Arial" w:hAnsi="Arial"/>
          <w:sz w:val="18"/>
          <w:szCs w:val="18"/>
          <w:color w:val="auto"/>
        </w:rPr>
        <w:t xml:space="preserve"> </w:t>
      </w:r>
      <w:r>
        <w:rPr>
          <w:rFonts w:ascii="Arial" w:cs="Arial" w:eastAsia="Arial" w:hAnsi="Arial"/>
          <w:sz w:val="18"/>
          <w:szCs w:val="18"/>
          <w:i w:val="1"/>
          <w:iCs w:val="1"/>
          <w:color w:val="auto"/>
        </w:rPr>
        <w:t>Transition to Topic 842</w:t>
      </w:r>
      <w:r>
        <w:rPr>
          <w:rFonts w:ascii="Arial" w:cs="Arial" w:eastAsia="Arial" w:hAnsi="Arial"/>
          <w:sz w:val="18"/>
          <w:szCs w:val="18"/>
          <w:color w:val="auto"/>
        </w:rPr>
        <w:t>, which amended ASU 2016-02 to provide entities an optional transition practical expedient to not evaluate under Topic</w:t>
      </w:r>
      <w:r>
        <w:rPr>
          <w:rFonts w:ascii="Arial" w:cs="Arial" w:eastAsia="Arial" w:hAnsi="Arial"/>
          <w:sz w:val="18"/>
          <w:szCs w:val="18"/>
          <w:i w:val="1"/>
          <w:iCs w:val="1"/>
          <w:color w:val="auto"/>
        </w:rPr>
        <w:t xml:space="preserve"> </w:t>
      </w:r>
      <w:r>
        <w:rPr>
          <w:rFonts w:ascii="Arial" w:cs="Arial" w:eastAsia="Arial" w:hAnsi="Arial"/>
          <w:sz w:val="18"/>
          <w:szCs w:val="18"/>
          <w:color w:val="auto"/>
        </w:rPr>
        <w:t>842, existing or expired land easements that were not previously accounted for as leases under the current leases guidance in Topic 840. Effective January 1, 2019, PGE evaluates new or modified land easements under Topic 842.</w:t>
      </w:r>
    </w:p>
    <w:p>
      <w:pPr>
        <w:spacing w:after="0" w:line="188"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PGE's transition to the new lease standard did not result in a material adjustment to beginning retained earnings and the Company expects the adoption of the new standard to have an immaterial impact to its results of operations on</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25"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ind w:left="280" w:right="1960"/>
        <w:spacing w:after="0" w:line="257" w:lineRule="auto"/>
        <w:rPr>
          <w:sz w:val="20"/>
          <w:szCs w:val="20"/>
          <w:color w:val="auto"/>
        </w:rPr>
      </w:pPr>
      <w:r>
        <w:rPr>
          <w:rFonts w:ascii="Arial" w:cs="Arial" w:eastAsia="Arial" w:hAnsi="Arial"/>
          <w:sz w:val="20"/>
          <w:szCs w:val="20"/>
          <w:b w:val="1"/>
          <w:bCs w:val="1"/>
          <w:color w:val="auto"/>
        </w:rPr>
        <w:t xml:space="preserve">PORTLAND GENERAL ELECTRIC COMPANY NOTES TO CONDENSED CONSOLIDATED FINANCIAL STATEMENTS, continued </w:t>
      </w:r>
      <w:r>
        <w:rPr>
          <w:rFonts w:ascii="Arial" w:cs="Arial" w:eastAsia="Arial" w:hAnsi="Arial"/>
          <w:sz w:val="20"/>
          <w:szCs w:val="20"/>
          <w:color w:val="auto"/>
        </w:rPr>
        <w:t>(Unaudited)</w:t>
      </w:r>
    </w:p>
    <w:p>
      <w:pPr>
        <w:spacing w:after="0" w:line="200" w:lineRule="exact"/>
        <w:rPr>
          <w:sz w:val="20"/>
          <w:szCs w:val="20"/>
          <w:color w:val="auto"/>
        </w:rPr>
      </w:pPr>
    </w:p>
    <w:p>
      <w:pPr>
        <w:spacing w:after="0" w:line="245"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an ongoing basis. Upon transition, PGE elected to reassess all arrangements that may contain a lease and their resulting lease classification which resulted in the following balance sheet adjustments as of January 1, 2019: i) the recognition of right-of-use assets and liabilities from operating and finance leases of $44 million pursuant to the new standard; ii) the derecognition of existing build-to-suit assets and liabilities of $131 million that were no longer considered to meet build-to-suit criteria under Topic 842 and were not recognized on the Company’s balance sheet until commencement, which occurred in the second quarter of 2019; and iii) the derecognition of $49 million in lease assets and liabilities related to an existing gas pipeline lateral capital lease that no longer met the definition of a lease under the new standard. The following table illustrates the adjustments made upon adoption of Topic 842 and the corresponding line items affected on the Company’s condensed consolidated balance sheets (in millions):</w:t>
      </w:r>
    </w:p>
    <w:p>
      <w:pPr>
        <w:spacing w:after="0" w:line="351" w:lineRule="exact"/>
        <w:rPr>
          <w:sz w:val="20"/>
          <w:szCs w:val="20"/>
          <w:color w:val="auto"/>
        </w:rPr>
      </w:pPr>
    </w:p>
    <w:tbl>
      <w:tblPr>
        <w:tblLayout w:type="fixed"/>
        <w:tblInd w:w="38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4500" w:type="dxa"/>
            <w:vAlign w:val="bottom"/>
            <w:gridSpan w:val="9"/>
          </w:tcPr>
          <w:p>
            <w:pPr>
              <w:ind w:left="40"/>
              <w:spacing w:after="0"/>
              <w:rPr>
                <w:sz w:val="20"/>
                <w:szCs w:val="20"/>
                <w:color w:val="auto"/>
              </w:rPr>
            </w:pPr>
            <w:r>
              <w:rPr>
                <w:rFonts w:ascii="Arial" w:cs="Arial" w:eastAsia="Arial" w:hAnsi="Arial"/>
                <w:sz w:val="20"/>
                <w:szCs w:val="20"/>
                <w:b w:val="1"/>
                <w:bCs w:val="1"/>
                <w:color w:val="auto"/>
                <w:w w:val="95"/>
              </w:rPr>
              <w:t>January 1, 2019 Topic 842 Adoption Adjustments</w:t>
            </w:r>
          </w:p>
        </w:tc>
        <w:tc>
          <w:tcPr>
            <w:tcW w:w="1360" w:type="dxa"/>
            <w:vAlign w:val="bottom"/>
          </w:tcPr>
          <w:p>
            <w:pPr>
              <w:spacing w:after="0"/>
              <w:rPr>
                <w:sz w:val="22"/>
                <w:szCs w:val="22"/>
                <w:color w:val="auto"/>
              </w:rPr>
            </w:pPr>
          </w:p>
        </w:tc>
      </w:tr>
      <w:tr>
        <w:trPr>
          <w:trHeight w:val="23"/>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7"/>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center"/>
              <w:ind w:right="1"/>
              <w:spacing w:after="0" w:line="228" w:lineRule="exact"/>
              <w:rPr>
                <w:sz w:val="20"/>
                <w:szCs w:val="20"/>
                <w:color w:val="auto"/>
              </w:rPr>
            </w:pPr>
            <w:r>
              <w:rPr>
                <w:rFonts w:ascii="Arial" w:cs="Arial" w:eastAsia="Arial" w:hAnsi="Arial"/>
                <w:sz w:val="20"/>
                <w:szCs w:val="20"/>
                <w:b w:val="1"/>
                <w:bCs w:val="1"/>
                <w:color w:val="auto"/>
                <w:w w:val="87"/>
              </w:rPr>
              <w:t>Increase due to</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center"/>
              <w:ind w:right="360"/>
              <w:spacing w:after="0" w:line="228" w:lineRule="exact"/>
              <w:rPr>
                <w:sz w:val="20"/>
                <w:szCs w:val="20"/>
                <w:color w:val="auto"/>
              </w:rPr>
            </w:pPr>
            <w:r>
              <w:rPr>
                <w:rFonts w:ascii="Arial" w:cs="Arial" w:eastAsia="Arial" w:hAnsi="Arial"/>
                <w:sz w:val="20"/>
                <w:szCs w:val="20"/>
                <w:b w:val="1"/>
                <w:bCs w:val="1"/>
                <w:color w:val="auto"/>
                <w:w w:val="85"/>
              </w:rPr>
              <w:t>Decrease due to</w:t>
            </w:r>
          </w:p>
        </w:tc>
        <w:tc>
          <w:tcPr>
            <w:tcW w:w="160" w:type="dxa"/>
            <w:vAlign w:val="bottom"/>
          </w:tcPr>
          <w:p>
            <w:pPr>
              <w:spacing w:after="0"/>
              <w:rPr>
                <w:sz w:val="19"/>
                <w:szCs w:val="19"/>
                <w:color w:val="auto"/>
              </w:rPr>
            </w:pPr>
          </w:p>
        </w:tc>
        <w:tc>
          <w:tcPr>
            <w:tcW w:w="1760" w:type="dxa"/>
            <w:vAlign w:val="bottom"/>
            <w:gridSpan w:val="2"/>
          </w:tcPr>
          <w:p>
            <w:pPr>
              <w:jc w:val="center"/>
              <w:ind w:right="360"/>
              <w:spacing w:after="0" w:line="228" w:lineRule="exact"/>
              <w:rPr>
                <w:sz w:val="20"/>
                <w:szCs w:val="20"/>
                <w:color w:val="auto"/>
              </w:rPr>
            </w:pPr>
            <w:r>
              <w:rPr>
                <w:rFonts w:ascii="Arial" w:cs="Arial" w:eastAsia="Arial" w:hAnsi="Arial"/>
                <w:sz w:val="20"/>
                <w:szCs w:val="20"/>
                <w:b w:val="1"/>
                <w:bCs w:val="1"/>
                <w:color w:val="auto"/>
                <w:w w:val="85"/>
              </w:rPr>
              <w:t>Decrease due to</w:t>
            </w: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20" w:type="dxa"/>
            <w:vAlign w:val="bottom"/>
            <w:gridSpan w:val="2"/>
          </w:tcPr>
          <w:p>
            <w:pPr>
              <w:jc w:val="center"/>
              <w:spacing w:after="0"/>
              <w:rPr>
                <w:sz w:val="20"/>
                <w:szCs w:val="20"/>
                <w:color w:val="auto"/>
              </w:rPr>
            </w:pPr>
            <w:r>
              <w:rPr>
                <w:rFonts w:ascii="Arial" w:cs="Arial" w:eastAsia="Arial" w:hAnsi="Arial"/>
                <w:sz w:val="20"/>
                <w:szCs w:val="20"/>
                <w:b w:val="1"/>
                <w:bCs w:val="1"/>
                <w:color w:val="auto"/>
                <w:w w:val="88"/>
              </w:rPr>
              <w:t>existing operating</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89"/>
              </w:rPr>
              <w:t>build-to-suit</w:t>
            </w:r>
          </w:p>
        </w:tc>
        <w:tc>
          <w:tcPr>
            <w:tcW w:w="160" w:type="dxa"/>
            <w:vAlign w:val="bottom"/>
          </w:tcPr>
          <w:p>
            <w:pPr>
              <w:spacing w:after="0"/>
              <w:rPr>
                <w:sz w:val="19"/>
                <w:szCs w:val="19"/>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87"/>
              </w:rPr>
              <w:t>capital lease</w:t>
            </w:r>
          </w:p>
        </w:tc>
        <w:tc>
          <w:tcPr>
            <w:tcW w:w="380" w:type="dxa"/>
            <w:vAlign w:val="bottom"/>
          </w:tcPr>
          <w:p>
            <w:pPr>
              <w:spacing w:after="0"/>
              <w:rPr>
                <w:sz w:val="19"/>
                <w:szCs w:val="19"/>
                <w:color w:val="auto"/>
              </w:rPr>
            </w:pPr>
          </w:p>
        </w:tc>
        <w:tc>
          <w:tcPr>
            <w:tcW w:w="1360" w:type="dxa"/>
            <w:vAlign w:val="bottom"/>
          </w:tcPr>
          <w:p>
            <w:pPr>
              <w:jc w:val="right"/>
              <w:ind w:right="561"/>
              <w:spacing w:after="0"/>
              <w:rPr>
                <w:sz w:val="20"/>
                <w:szCs w:val="20"/>
                <w:color w:val="auto"/>
              </w:rPr>
            </w:pPr>
            <w:r>
              <w:rPr>
                <w:rFonts w:ascii="Arial" w:cs="Arial" w:eastAsia="Arial" w:hAnsi="Arial"/>
                <w:sz w:val="20"/>
                <w:szCs w:val="20"/>
                <w:b w:val="1"/>
                <w:bCs w:val="1"/>
                <w:color w:val="auto"/>
              </w:rPr>
              <w:t>Total</w:t>
            </w:r>
          </w:p>
        </w:tc>
      </w:tr>
      <w:tr>
        <w:trPr>
          <w:trHeight w:val="256"/>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620" w:type="dxa"/>
            <w:vAlign w:val="bottom"/>
            <w:gridSpan w:val="2"/>
          </w:tcPr>
          <w:p>
            <w:pPr>
              <w:jc w:val="center"/>
              <w:spacing w:after="0"/>
              <w:rPr>
                <w:sz w:val="20"/>
                <w:szCs w:val="20"/>
                <w:color w:val="auto"/>
              </w:rPr>
            </w:pPr>
            <w:r>
              <w:rPr>
                <w:rFonts w:ascii="Arial" w:cs="Arial" w:eastAsia="Arial" w:hAnsi="Arial"/>
                <w:sz w:val="20"/>
                <w:szCs w:val="20"/>
                <w:b w:val="1"/>
                <w:bCs w:val="1"/>
                <w:color w:val="auto"/>
                <w:w w:val="85"/>
              </w:rPr>
              <w:t>and finance leases</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60" w:type="dxa"/>
            <w:vAlign w:val="bottom"/>
            <w:gridSpan w:val="2"/>
          </w:tcPr>
          <w:p>
            <w:pPr>
              <w:jc w:val="center"/>
              <w:ind w:right="340"/>
              <w:spacing w:after="0"/>
              <w:rPr>
                <w:sz w:val="20"/>
                <w:szCs w:val="20"/>
                <w:color w:val="auto"/>
              </w:rPr>
            </w:pPr>
            <w:r>
              <w:rPr>
                <w:rFonts w:ascii="Arial" w:cs="Arial" w:eastAsia="Arial" w:hAnsi="Arial"/>
                <w:sz w:val="20"/>
                <w:szCs w:val="20"/>
                <w:b w:val="1"/>
                <w:bCs w:val="1"/>
                <w:color w:val="auto"/>
                <w:w w:val="82"/>
              </w:rPr>
              <w:t>reassessment</w:t>
            </w:r>
          </w:p>
        </w:tc>
        <w:tc>
          <w:tcPr>
            <w:tcW w:w="160" w:type="dxa"/>
            <w:vAlign w:val="bottom"/>
          </w:tcPr>
          <w:p>
            <w:pPr>
              <w:spacing w:after="0"/>
              <w:rPr>
                <w:sz w:val="22"/>
                <w:szCs w:val="22"/>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80"/>
              </w:rPr>
              <w:t>reassessment</w:t>
            </w:r>
          </w:p>
        </w:tc>
        <w:tc>
          <w:tcPr>
            <w:tcW w:w="1740" w:type="dxa"/>
            <w:vAlign w:val="bottom"/>
            <w:gridSpan w:val="2"/>
          </w:tcPr>
          <w:p>
            <w:pPr>
              <w:ind w:left="40"/>
              <w:spacing w:after="0"/>
              <w:rPr>
                <w:sz w:val="20"/>
                <w:szCs w:val="20"/>
                <w:color w:val="auto"/>
              </w:rPr>
            </w:pPr>
            <w:r>
              <w:rPr>
                <w:rFonts w:ascii="Arial" w:cs="Arial" w:eastAsia="Arial" w:hAnsi="Arial"/>
                <w:sz w:val="20"/>
                <w:szCs w:val="20"/>
                <w:b w:val="1"/>
                <w:bCs w:val="1"/>
                <w:color w:val="auto"/>
                <w:w w:val="88"/>
              </w:rPr>
              <w:t>Increase/(Decrease)</w:t>
            </w:r>
          </w:p>
        </w:tc>
      </w:tr>
      <w:tr>
        <w:trPr>
          <w:trHeight w:val="23"/>
        </w:trPr>
        <w:tc>
          <w:tcPr>
            <w:tcW w:w="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3180" w:type="dxa"/>
            <w:vAlign w:val="bottom"/>
            <w:gridSpan w:val="3"/>
            <w:shd w:val="clear" w:color="auto" w:fill="CCEEFF"/>
          </w:tcPr>
          <w:p>
            <w:pPr>
              <w:spacing w:after="0" w:line="196" w:lineRule="exact"/>
              <w:rPr>
                <w:sz w:val="20"/>
                <w:szCs w:val="20"/>
                <w:color w:val="auto"/>
              </w:rPr>
            </w:pPr>
            <w:r>
              <w:rPr>
                <w:rFonts w:ascii="Arial" w:cs="Arial" w:eastAsia="Arial" w:hAnsi="Arial"/>
                <w:sz w:val="20"/>
                <w:szCs w:val="20"/>
                <w:color w:val="auto"/>
              </w:rPr>
              <w:t>Assets</w:t>
            </w: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3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r>
      <w:tr>
        <w:trPr>
          <w:trHeight w:val="261"/>
        </w:trPr>
        <w:tc>
          <w:tcPr>
            <w:tcW w:w="20" w:type="dxa"/>
            <w:vAlign w:val="bottom"/>
          </w:tcPr>
          <w:p>
            <w:pPr>
              <w:spacing w:after="0"/>
              <w:rPr>
                <w:sz w:val="22"/>
                <w:szCs w:val="22"/>
                <w:color w:val="auto"/>
              </w:rPr>
            </w:pPr>
          </w:p>
        </w:tc>
        <w:tc>
          <w:tcPr>
            <w:tcW w:w="3180" w:type="dxa"/>
            <w:vAlign w:val="bottom"/>
            <w:gridSpan w:val="3"/>
          </w:tcPr>
          <w:p>
            <w:pPr>
              <w:spacing w:after="0"/>
              <w:rPr>
                <w:sz w:val="20"/>
                <w:szCs w:val="20"/>
                <w:color w:val="auto"/>
              </w:rPr>
            </w:pPr>
            <w:r>
              <w:rPr>
                <w:rFonts w:ascii="Arial" w:cs="Arial" w:eastAsia="Arial" w:hAnsi="Arial"/>
                <w:sz w:val="20"/>
                <w:szCs w:val="20"/>
                <w:color w:val="auto"/>
              </w:rPr>
              <w:t>Electric utility plant, net</w:t>
            </w: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2</w:t>
            </w:r>
          </w:p>
        </w:tc>
        <w:tc>
          <w:tcPr>
            <w:tcW w:w="440" w:type="dxa"/>
            <w:vAlign w:val="bottom"/>
            <w:gridSpan w:val="3"/>
          </w:tcPr>
          <w:p>
            <w:pPr>
              <w:jc w:val="right"/>
              <w:ind w:right="20"/>
              <w:spacing w:after="0"/>
              <w:rPr>
                <w:sz w:val="20"/>
                <w:szCs w:val="20"/>
                <w:color w:val="auto"/>
              </w:rPr>
            </w:pPr>
            <w:r>
              <w:rPr>
                <w:rFonts w:ascii="Arial" w:cs="Arial" w:eastAsia="Arial" w:hAnsi="Arial"/>
                <w:sz w:val="20"/>
                <w:szCs w:val="20"/>
                <w:color w:val="auto"/>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(131)</w:t>
            </w:r>
          </w:p>
        </w:tc>
        <w:tc>
          <w:tcPr>
            <w:tcW w:w="2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(49)</w:t>
            </w:r>
          </w:p>
        </w:tc>
        <w:tc>
          <w:tcPr>
            <w:tcW w:w="200" w:type="dxa"/>
            <w:vAlign w:val="bottom"/>
          </w:tcPr>
          <w:p>
            <w:pPr>
              <w:spacing w:after="0"/>
              <w:rPr>
                <w:sz w:val="22"/>
                <w:szCs w:val="22"/>
                <w:color w:val="auto"/>
              </w:rPr>
            </w:pPr>
          </w:p>
        </w:tc>
        <w:tc>
          <w:tcPr>
            <w:tcW w:w="380" w:type="dxa"/>
            <w:vAlign w:val="bottom"/>
          </w:tcPr>
          <w:p>
            <w:pPr>
              <w:ind w:left="20"/>
              <w:spacing w:after="0"/>
              <w:rPr>
                <w:sz w:val="20"/>
                <w:szCs w:val="20"/>
                <w:color w:val="auto"/>
              </w:rPr>
            </w:pPr>
            <w:r>
              <w:rPr>
                <w:rFonts w:ascii="Arial" w:cs="Arial" w:eastAsia="Arial" w:hAnsi="Arial"/>
                <w:sz w:val="20"/>
                <w:szCs w:val="20"/>
                <w:color w:val="auto"/>
              </w:rPr>
              <w:t>$</w:t>
            </w:r>
          </w:p>
        </w:tc>
        <w:tc>
          <w:tcPr>
            <w:tcW w:w="1360" w:type="dxa"/>
            <w:vAlign w:val="bottom"/>
          </w:tcPr>
          <w:p>
            <w:pPr>
              <w:jc w:val="right"/>
              <w:spacing w:after="0"/>
              <w:rPr>
                <w:sz w:val="20"/>
                <w:szCs w:val="20"/>
                <w:color w:val="auto"/>
              </w:rPr>
            </w:pPr>
            <w:r>
              <w:rPr>
                <w:rFonts w:ascii="Arial" w:cs="Arial" w:eastAsia="Arial" w:hAnsi="Arial"/>
                <w:sz w:val="20"/>
                <w:szCs w:val="20"/>
                <w:color w:val="auto"/>
              </w:rPr>
              <w:t>(178)</w:t>
            </w:r>
          </w:p>
        </w:tc>
      </w:tr>
      <w:tr>
        <w:trPr>
          <w:trHeight w:val="23"/>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4"/>
        </w:trPr>
        <w:tc>
          <w:tcPr>
            <w:tcW w:w="32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20"/>
                <w:szCs w:val="20"/>
                <w:color w:val="auto"/>
              </w:rPr>
              <w:t>Other noncurrent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42</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20"/>
                <w:szCs w:val="20"/>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42</w:t>
            </w:r>
          </w:p>
        </w:tc>
      </w:tr>
      <w:tr>
        <w:trPr>
          <w:trHeight w:val="32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20" w:type="dxa"/>
            <w:vAlign w:val="bottom"/>
            <w:shd w:val="clear" w:color="auto" w:fill="CCEEFF"/>
          </w:tcPr>
          <w:p>
            <w:pPr>
              <w:spacing w:after="0"/>
              <w:rPr>
                <w:sz w:val="18"/>
                <w:szCs w:val="18"/>
                <w:color w:val="auto"/>
              </w:rPr>
            </w:pPr>
          </w:p>
        </w:tc>
        <w:tc>
          <w:tcPr>
            <w:tcW w:w="3180" w:type="dxa"/>
            <w:vAlign w:val="bottom"/>
            <w:gridSpan w:val="3"/>
            <w:shd w:val="clear" w:color="auto" w:fill="CCEEFF"/>
          </w:tcPr>
          <w:p>
            <w:pPr>
              <w:spacing w:after="0" w:line="216" w:lineRule="exact"/>
              <w:rPr>
                <w:sz w:val="20"/>
                <w:szCs w:val="20"/>
                <w:color w:val="auto"/>
              </w:rPr>
            </w:pPr>
            <w:r>
              <w:rPr>
                <w:rFonts w:ascii="Arial" w:cs="Arial" w:eastAsia="Arial" w:hAnsi="Arial"/>
                <w:sz w:val="20"/>
                <w:szCs w:val="20"/>
                <w:color w:val="auto"/>
              </w:rPr>
              <w:t>Liabilities</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23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r>
      <w:tr>
        <w:trPr>
          <w:trHeight w:val="240"/>
        </w:trPr>
        <w:tc>
          <w:tcPr>
            <w:tcW w:w="2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Arial" w:cs="Arial" w:eastAsia="Arial" w:hAnsi="Arial"/>
                <w:sz w:val="20"/>
                <w:szCs w:val="20"/>
                <w:color w:val="auto"/>
                <w:w w:val="98"/>
              </w:rPr>
              <w:t>Accrued expenses and other current</w:t>
            </w: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0"/>
        </w:trPr>
        <w:tc>
          <w:tcPr>
            <w:tcW w:w="3200" w:type="dxa"/>
            <w:vAlign w:val="bottom"/>
            <w:gridSpan w:val="4"/>
          </w:tcPr>
          <w:p>
            <w:pPr>
              <w:ind w:left="20"/>
              <w:spacing w:after="0"/>
              <w:rPr>
                <w:sz w:val="20"/>
                <w:szCs w:val="20"/>
                <w:color w:val="auto"/>
              </w:rPr>
            </w:pPr>
            <w:r>
              <w:rPr>
                <w:rFonts w:ascii="Arial" w:cs="Arial" w:eastAsia="Arial" w:hAnsi="Arial"/>
                <w:sz w:val="20"/>
                <w:szCs w:val="20"/>
                <w:color w:val="auto"/>
              </w:rPr>
              <w:t>liabilities</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(2)</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3</w:t>
            </w:r>
          </w:p>
        </w:tc>
      </w:tr>
      <w:tr>
        <w:trPr>
          <w:trHeight w:val="23"/>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1"/>
        </w:trPr>
        <w:tc>
          <w:tcPr>
            <w:tcW w:w="3200" w:type="dxa"/>
            <w:vAlign w:val="bottom"/>
            <w:gridSpan w:val="4"/>
            <w:shd w:val="clear" w:color="auto" w:fill="CCEEFF"/>
          </w:tcPr>
          <w:p>
            <w:pPr>
              <w:ind w:left="20"/>
              <w:spacing w:after="0"/>
              <w:rPr>
                <w:sz w:val="20"/>
                <w:szCs w:val="20"/>
                <w:color w:val="auto"/>
              </w:rPr>
            </w:pPr>
            <w:r>
              <w:rPr>
                <w:rFonts w:ascii="Arial" w:cs="Arial" w:eastAsia="Arial" w:hAnsi="Arial"/>
                <w:sz w:val="20"/>
                <w:szCs w:val="20"/>
                <w:color w:val="auto"/>
              </w:rPr>
              <w:t>Other noncurrent liabilities</w:t>
            </w: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(131)</w:t>
            </w: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w:t>
            </w:r>
          </w:p>
        </w:tc>
        <w:tc>
          <w:tcPr>
            <w:tcW w:w="2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(139)</w:t>
            </w:r>
          </w:p>
        </w:tc>
      </w:tr>
      <w:tr>
        <w:trPr>
          <w:trHeight w:val="23"/>
        </w:trPr>
        <w:tc>
          <w:tcPr>
            <w:tcW w:w="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2"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For new required disclosures and further information see Note 11, Leases. The transition to the new standard did not have a material impact on the Company's financial position.</w:t>
      </w:r>
    </w:p>
    <w:p>
      <w:pPr>
        <w:spacing w:after="0" w:line="190"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auto"/>
        </w:rPr>
        <w:t xml:space="preserve">On January 1, 2019 PGE adopted ASU 2018-02 </w:t>
      </w:r>
      <w:r>
        <w:rPr>
          <w:rFonts w:ascii="Arial" w:cs="Arial" w:eastAsia="Arial" w:hAnsi="Arial"/>
          <w:sz w:val="20"/>
          <w:szCs w:val="20"/>
          <w:i w:val="1"/>
          <w:iCs w:val="1"/>
          <w:color w:val="auto"/>
        </w:rPr>
        <w:t>Income Statement—Reporting Comprehensive Income (Topic 220): Reclassification of Certain</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Tax Effects from Accumulated Other Comprehensive Income </w:t>
      </w:r>
      <w:r>
        <w:rPr>
          <w:rFonts w:ascii="Arial" w:cs="Arial" w:eastAsia="Arial" w:hAnsi="Arial"/>
          <w:sz w:val="20"/>
          <w:szCs w:val="20"/>
          <w:color w:val="auto"/>
        </w:rPr>
        <w:t>(ASU 2018-02). ASU 2018-02 allows for a reclassification from accumulated</w:t>
      </w:r>
      <w:r>
        <w:rPr>
          <w:rFonts w:ascii="Arial" w:cs="Arial" w:eastAsia="Arial" w:hAnsi="Arial"/>
          <w:sz w:val="20"/>
          <w:szCs w:val="20"/>
          <w:i w:val="1"/>
          <w:iCs w:val="1"/>
          <w:color w:val="auto"/>
        </w:rPr>
        <w:t xml:space="preserve"> </w:t>
      </w:r>
      <w:r>
        <w:rPr>
          <w:rFonts w:ascii="Arial" w:cs="Arial" w:eastAsia="Arial" w:hAnsi="Arial"/>
          <w:sz w:val="20"/>
          <w:szCs w:val="20"/>
          <w:color w:val="auto"/>
        </w:rPr>
        <w:t>other comprehensive income to retained earnings for the stranded tax effects resulting from the United States Tax Cuts and Jobs Act of 2017 (TCJA). The amendments only relate to the reclassification of the income tax effects of the TCJA, and therefore the underlying guidance that requires that the effect of a change in tax laws or rates be included in income from continuing operations is not affected. As a result, PGE reclassified $2 million from Accumulated other compressive loss to Retained earnings during the period of adoption rather than applying the standard retrospectively. The implementation did not result in a material impact to the results of operation, financial position or statements of cash flows.</w:t>
      </w: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25"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line="257" w:lineRule="auto"/>
        <w:rPr>
          <w:sz w:val="20"/>
          <w:szCs w:val="20"/>
          <w:color w:val="auto"/>
        </w:rPr>
      </w:pPr>
      <w:r>
        <w:rPr>
          <w:rFonts w:ascii="Arial" w:cs="Arial" w:eastAsia="Arial" w:hAnsi="Arial"/>
          <w:sz w:val="20"/>
          <w:szCs w:val="20"/>
          <w:b w:val="1"/>
          <w:bCs w:val="1"/>
          <w:color w:val="auto"/>
        </w:rPr>
        <w:t xml:space="preserve">PORTLAND GENERAL ELECTRIC COMPANY NOTES TO CONDENSED CONSOLIDATED FINANCIAL STATEMENTS, continued </w:t>
      </w:r>
      <w:r>
        <w:rPr>
          <w:rFonts w:ascii="Arial" w:cs="Arial" w:eastAsia="Arial" w:hAnsi="Arial"/>
          <w:sz w:val="20"/>
          <w:szCs w:val="20"/>
          <w:color w:val="auto"/>
        </w:rPr>
        <w:t>(Unaudited)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Disaggregated Revenue</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PGE’s revenue, disaggregated by customer type (in millions):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800" w:type="dxa"/>
            <w:vAlign w:val="bottom"/>
          </w:tcPr>
          <w:p>
            <w:pPr>
              <w:spacing w:after="0"/>
              <w:rPr>
                <w:sz w:val="22"/>
                <w:szCs w:val="22"/>
                <w:color w:val="auto"/>
              </w:rPr>
            </w:pPr>
          </w:p>
        </w:tc>
        <w:tc>
          <w:tcPr>
            <w:tcW w:w="3020" w:type="dxa"/>
            <w:vAlign w:val="bottom"/>
            <w:gridSpan w:val="3"/>
          </w:tcPr>
          <w:p>
            <w:pPr>
              <w:jc w:val="right"/>
              <w:spacing w:after="0"/>
              <w:rPr>
                <w:sz w:val="20"/>
                <w:szCs w:val="20"/>
                <w:color w:val="auto"/>
              </w:rPr>
            </w:pPr>
            <w:r>
              <w:rPr>
                <w:rFonts w:ascii="Arial" w:cs="Arial" w:eastAsia="Arial" w:hAnsi="Arial"/>
                <w:sz w:val="20"/>
                <w:szCs w:val="20"/>
                <w:b w:val="1"/>
                <w:bCs w:val="1"/>
                <w:color w:val="auto"/>
              </w:rPr>
              <w:t>Three Months Ended June 30,</w:t>
            </w: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740" w:type="dxa"/>
            <w:vAlign w:val="bottom"/>
            <w:gridSpan w:val="3"/>
          </w:tcPr>
          <w:p>
            <w:pPr>
              <w:jc w:val="right"/>
              <w:ind w:right="221"/>
              <w:spacing w:after="0"/>
              <w:rPr>
                <w:sz w:val="20"/>
                <w:szCs w:val="20"/>
                <w:color w:val="auto"/>
              </w:rPr>
            </w:pPr>
            <w:r>
              <w:rPr>
                <w:rFonts w:ascii="Arial" w:cs="Arial" w:eastAsia="Arial" w:hAnsi="Arial"/>
                <w:sz w:val="20"/>
                <w:szCs w:val="20"/>
                <w:b w:val="1"/>
                <w:bCs w:val="1"/>
                <w:color w:val="auto"/>
                <w:w w:val="92"/>
              </w:rPr>
              <w:t>Six Months Ended June 30,</w:t>
            </w:r>
          </w:p>
        </w:tc>
      </w:tr>
      <w:tr>
        <w:trPr>
          <w:trHeight w:val="23"/>
        </w:trPr>
        <w:tc>
          <w:tcPr>
            <w:tcW w:w="48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4"/>
        </w:trPr>
        <w:tc>
          <w:tcPr>
            <w:tcW w:w="4800" w:type="dxa"/>
            <w:vAlign w:val="bottom"/>
          </w:tcPr>
          <w:p>
            <w:pPr>
              <w:spacing w:after="0"/>
              <w:rPr>
                <w:sz w:val="22"/>
                <w:szCs w:val="22"/>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b w:val="1"/>
                <w:bCs w:val="1"/>
                <w:color w:val="auto"/>
              </w:rPr>
              <w:t>2019</w:t>
            </w:r>
          </w:p>
        </w:tc>
        <w:tc>
          <w:tcPr>
            <w:tcW w:w="540" w:type="dxa"/>
            <w:vAlign w:val="bottom"/>
          </w:tcPr>
          <w:p>
            <w:pPr>
              <w:spacing w:after="0"/>
              <w:rPr>
                <w:sz w:val="22"/>
                <w:szCs w:val="22"/>
                <w:color w:val="auto"/>
              </w:rPr>
            </w:pPr>
          </w:p>
        </w:tc>
        <w:tc>
          <w:tcPr>
            <w:tcW w:w="1300" w:type="dxa"/>
            <w:vAlign w:val="bottom"/>
          </w:tcPr>
          <w:p>
            <w:pPr>
              <w:jc w:val="right"/>
              <w:ind w:right="141"/>
              <w:spacing w:after="0"/>
              <w:rPr>
                <w:sz w:val="20"/>
                <w:szCs w:val="20"/>
                <w:color w:val="auto"/>
              </w:rPr>
            </w:pPr>
            <w:r>
              <w:rPr>
                <w:rFonts w:ascii="Arial" w:cs="Arial" w:eastAsia="Arial" w:hAnsi="Arial"/>
                <w:sz w:val="20"/>
                <w:szCs w:val="20"/>
                <w:b w:val="1"/>
                <w:bCs w:val="1"/>
                <w:color w:val="auto"/>
              </w:rPr>
              <w:t>2018</w:t>
            </w: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ind w:right="421"/>
              <w:spacing w:after="0"/>
              <w:rPr>
                <w:sz w:val="20"/>
                <w:szCs w:val="20"/>
                <w:color w:val="auto"/>
              </w:rPr>
            </w:pPr>
            <w:r>
              <w:rPr>
                <w:rFonts w:ascii="Arial" w:cs="Arial" w:eastAsia="Arial" w:hAnsi="Arial"/>
                <w:sz w:val="20"/>
                <w:szCs w:val="20"/>
                <w:b w:val="1"/>
                <w:bCs w:val="1"/>
                <w:color w:val="auto"/>
              </w:rPr>
              <w:t>2019</w:t>
            </w:r>
          </w:p>
        </w:tc>
        <w:tc>
          <w:tcPr>
            <w:tcW w:w="360" w:type="dxa"/>
            <w:vAlign w:val="bottom"/>
          </w:tcPr>
          <w:p>
            <w:pPr>
              <w:spacing w:after="0"/>
              <w:rPr>
                <w:sz w:val="22"/>
                <w:szCs w:val="22"/>
                <w:color w:val="auto"/>
              </w:rPr>
            </w:pPr>
          </w:p>
        </w:tc>
        <w:tc>
          <w:tcPr>
            <w:tcW w:w="1160" w:type="dxa"/>
            <w:vAlign w:val="bottom"/>
          </w:tcPr>
          <w:p>
            <w:pPr>
              <w:jc w:val="right"/>
              <w:ind w:right="441"/>
              <w:spacing w:after="0"/>
              <w:rPr>
                <w:sz w:val="20"/>
                <w:szCs w:val="20"/>
                <w:color w:val="auto"/>
              </w:rPr>
            </w:pPr>
            <w:r>
              <w:rPr>
                <w:rFonts w:ascii="Arial" w:cs="Arial" w:eastAsia="Arial" w:hAnsi="Arial"/>
                <w:sz w:val="20"/>
                <w:szCs w:val="20"/>
                <w:b w:val="1"/>
                <w:bCs w:val="1"/>
                <w:color w:val="auto"/>
              </w:rPr>
              <w:t>2018</w:t>
            </w:r>
          </w:p>
        </w:tc>
      </w:tr>
      <w:tr>
        <w:trPr>
          <w:trHeight w:val="23"/>
        </w:trPr>
        <w:tc>
          <w:tcPr>
            <w:tcW w:w="48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Retail:</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61"/>
        </w:trPr>
        <w:tc>
          <w:tcPr>
            <w:tcW w:w="4800" w:type="dxa"/>
            <w:vAlign w:val="bottom"/>
          </w:tcPr>
          <w:p>
            <w:pPr>
              <w:ind w:left="280"/>
              <w:spacing w:after="0"/>
              <w:rPr>
                <w:sz w:val="20"/>
                <w:szCs w:val="20"/>
                <w:color w:val="auto"/>
              </w:rPr>
            </w:pPr>
            <w:r>
              <w:rPr>
                <w:rFonts w:ascii="Arial" w:cs="Arial" w:eastAsia="Arial" w:hAnsi="Arial"/>
                <w:sz w:val="20"/>
                <w:szCs w:val="20"/>
                <w:color w:val="auto"/>
              </w:rPr>
              <w:t>Residential</w:t>
            </w:r>
          </w:p>
        </w:tc>
        <w:tc>
          <w:tcPr>
            <w:tcW w:w="1180" w:type="dxa"/>
            <w:vAlign w:val="bottom"/>
          </w:tcPr>
          <w:p>
            <w:pPr>
              <w:jc w:val="right"/>
              <w:ind w:right="961"/>
              <w:spacing w:after="0"/>
              <w:rPr>
                <w:sz w:val="20"/>
                <w:szCs w:val="20"/>
                <w:color w:val="auto"/>
              </w:rPr>
            </w:pPr>
            <w:r>
              <w:rPr>
                <w:rFonts w:ascii="Arial" w:cs="Arial" w:eastAsia="Arial" w:hAnsi="Arial"/>
                <w:sz w:val="20"/>
                <w:szCs w:val="20"/>
                <w:color w:val="auto"/>
                <w:w w:val="89"/>
              </w:rPr>
              <w:t>$</w:t>
            </w:r>
          </w:p>
        </w:tc>
        <w:tc>
          <w:tcPr>
            <w:tcW w:w="540" w:type="dxa"/>
            <w:vAlign w:val="bottom"/>
          </w:tcPr>
          <w:p>
            <w:pPr>
              <w:jc w:val="right"/>
              <w:ind w:right="21"/>
              <w:spacing w:after="0"/>
              <w:rPr>
                <w:sz w:val="20"/>
                <w:szCs w:val="20"/>
                <w:color w:val="auto"/>
              </w:rPr>
            </w:pPr>
            <w:r>
              <w:rPr>
                <w:rFonts w:ascii="Arial" w:cs="Arial" w:eastAsia="Arial" w:hAnsi="Arial"/>
                <w:sz w:val="20"/>
                <w:szCs w:val="20"/>
                <w:color w:val="auto"/>
              </w:rPr>
              <w:t>205</w:t>
            </w:r>
          </w:p>
        </w:tc>
        <w:tc>
          <w:tcPr>
            <w:tcW w:w="1300" w:type="dxa"/>
            <w:vAlign w:val="bottom"/>
          </w:tcPr>
          <w:p>
            <w:pPr>
              <w:jc w:val="right"/>
              <w:ind w:right="1081"/>
              <w:spacing w:after="0"/>
              <w:rPr>
                <w:sz w:val="20"/>
                <w:szCs w:val="20"/>
                <w:color w:val="auto"/>
              </w:rPr>
            </w:pPr>
            <w:r>
              <w:rPr>
                <w:rFonts w:ascii="Arial" w:cs="Arial" w:eastAsia="Arial" w:hAnsi="Arial"/>
                <w:sz w:val="20"/>
                <w:szCs w:val="20"/>
                <w:color w:val="auto"/>
                <w:w w:val="89"/>
              </w:rPr>
              <w:t>$</w:t>
            </w:r>
          </w:p>
        </w:tc>
        <w:tc>
          <w:tcPr>
            <w:tcW w:w="520" w:type="dxa"/>
            <w:vAlign w:val="bottom"/>
          </w:tcPr>
          <w:p>
            <w:pPr>
              <w:jc w:val="right"/>
              <w:ind w:right="121"/>
              <w:spacing w:after="0"/>
              <w:rPr>
                <w:sz w:val="20"/>
                <w:szCs w:val="20"/>
                <w:color w:val="auto"/>
              </w:rPr>
            </w:pPr>
            <w:r>
              <w:rPr>
                <w:rFonts w:ascii="Arial" w:cs="Arial" w:eastAsia="Arial" w:hAnsi="Arial"/>
                <w:sz w:val="20"/>
                <w:szCs w:val="20"/>
                <w:color w:val="auto"/>
                <w:w w:val="83"/>
              </w:rPr>
              <w:t>207</w:t>
            </w:r>
          </w:p>
        </w:tc>
        <w:tc>
          <w:tcPr>
            <w:tcW w:w="3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495</w:t>
            </w:r>
          </w:p>
        </w:tc>
        <w:tc>
          <w:tcPr>
            <w:tcW w:w="36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475</w:t>
            </w:r>
          </w:p>
        </w:tc>
      </w:tr>
      <w:tr>
        <w:trPr>
          <w:trHeight w:val="23"/>
        </w:trPr>
        <w:tc>
          <w:tcPr>
            <w:tcW w:w="4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Commercial</w:t>
            </w:r>
          </w:p>
        </w:tc>
        <w:tc>
          <w:tcPr>
            <w:tcW w:w="1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158</w:t>
            </w:r>
          </w:p>
        </w:tc>
        <w:tc>
          <w:tcPr>
            <w:tcW w:w="13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w w:val="83"/>
              </w:rPr>
              <w:t>162</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312</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313</w:t>
            </w:r>
          </w:p>
        </w:tc>
      </w:tr>
      <w:tr>
        <w:trPr>
          <w:trHeight w:val="261"/>
        </w:trPr>
        <w:tc>
          <w:tcPr>
            <w:tcW w:w="4800" w:type="dxa"/>
            <w:vAlign w:val="bottom"/>
          </w:tcPr>
          <w:p>
            <w:pPr>
              <w:ind w:left="280"/>
              <w:spacing w:after="0"/>
              <w:rPr>
                <w:sz w:val="20"/>
                <w:szCs w:val="20"/>
                <w:color w:val="auto"/>
              </w:rPr>
            </w:pPr>
            <w:r>
              <w:rPr>
                <w:rFonts w:ascii="Arial" w:cs="Arial" w:eastAsia="Arial" w:hAnsi="Arial"/>
                <w:sz w:val="20"/>
                <w:szCs w:val="20"/>
                <w:color w:val="auto"/>
              </w:rPr>
              <w:t>Industrial</w:t>
            </w:r>
          </w:p>
        </w:tc>
        <w:tc>
          <w:tcPr>
            <w:tcW w:w="1180" w:type="dxa"/>
            <w:vAlign w:val="bottom"/>
          </w:tcPr>
          <w:p>
            <w:pPr>
              <w:spacing w:after="0"/>
              <w:rPr>
                <w:sz w:val="22"/>
                <w:szCs w:val="22"/>
                <w:color w:val="auto"/>
              </w:rPr>
            </w:pPr>
          </w:p>
        </w:tc>
        <w:tc>
          <w:tcPr>
            <w:tcW w:w="540" w:type="dxa"/>
            <w:vAlign w:val="bottom"/>
          </w:tcPr>
          <w:p>
            <w:pPr>
              <w:jc w:val="right"/>
              <w:ind w:right="21"/>
              <w:spacing w:after="0"/>
              <w:rPr>
                <w:sz w:val="20"/>
                <w:szCs w:val="20"/>
                <w:color w:val="auto"/>
              </w:rPr>
            </w:pPr>
            <w:r>
              <w:rPr>
                <w:rFonts w:ascii="Arial" w:cs="Arial" w:eastAsia="Arial" w:hAnsi="Arial"/>
                <w:sz w:val="20"/>
                <w:szCs w:val="20"/>
                <w:color w:val="auto"/>
              </w:rPr>
              <w:t>50</w:t>
            </w:r>
          </w:p>
        </w:tc>
        <w:tc>
          <w:tcPr>
            <w:tcW w:w="1300" w:type="dxa"/>
            <w:vAlign w:val="bottom"/>
          </w:tcPr>
          <w:p>
            <w:pPr>
              <w:spacing w:after="0"/>
              <w:rPr>
                <w:sz w:val="22"/>
                <w:szCs w:val="22"/>
                <w:color w:val="auto"/>
              </w:rPr>
            </w:pPr>
          </w:p>
        </w:tc>
        <w:tc>
          <w:tcPr>
            <w:tcW w:w="520" w:type="dxa"/>
            <w:vAlign w:val="bottom"/>
          </w:tcPr>
          <w:p>
            <w:pPr>
              <w:jc w:val="right"/>
              <w:ind w:right="121"/>
              <w:spacing w:after="0"/>
              <w:rPr>
                <w:sz w:val="20"/>
                <w:szCs w:val="20"/>
                <w:color w:val="auto"/>
              </w:rPr>
            </w:pPr>
            <w:r>
              <w:rPr>
                <w:rFonts w:ascii="Arial" w:cs="Arial" w:eastAsia="Arial" w:hAnsi="Arial"/>
                <w:sz w:val="20"/>
                <w:szCs w:val="20"/>
                <w:color w:val="auto"/>
              </w:rPr>
              <w:t>39</w:t>
            </w: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94</w:t>
            </w:r>
          </w:p>
        </w:tc>
        <w:tc>
          <w:tcPr>
            <w:tcW w:w="360" w:type="dxa"/>
            <w:vAlign w:val="bottom"/>
          </w:tcPr>
          <w:p>
            <w:pPr>
              <w:spacing w:after="0"/>
              <w:rPr>
                <w:sz w:val="22"/>
                <w:szCs w:val="22"/>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83</w:t>
            </w:r>
          </w:p>
        </w:tc>
      </w:tr>
      <w:tr>
        <w:trPr>
          <w:trHeight w:val="23"/>
        </w:trPr>
        <w:tc>
          <w:tcPr>
            <w:tcW w:w="4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84"/>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Direct access customers</w:t>
            </w:r>
          </w:p>
        </w:tc>
        <w:tc>
          <w:tcPr>
            <w:tcW w:w="11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10</w:t>
            </w:r>
          </w:p>
        </w:tc>
        <w:tc>
          <w:tcPr>
            <w:tcW w:w="13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rPr>
              <w:t>13</w:t>
            </w:r>
          </w:p>
        </w:tc>
        <w:tc>
          <w:tcPr>
            <w:tcW w:w="3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21</w:t>
            </w: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23</w:t>
            </w:r>
          </w:p>
        </w:tc>
      </w:tr>
      <w:tr>
        <w:trPr>
          <w:trHeight w:val="254"/>
        </w:trPr>
        <w:tc>
          <w:tcPr>
            <w:tcW w:w="4800" w:type="dxa"/>
            <w:vAlign w:val="bottom"/>
          </w:tcPr>
          <w:p>
            <w:pPr>
              <w:ind w:left="500"/>
              <w:spacing w:after="0"/>
              <w:rPr>
                <w:sz w:val="20"/>
                <w:szCs w:val="20"/>
                <w:color w:val="auto"/>
              </w:rPr>
            </w:pPr>
            <w:r>
              <w:rPr>
                <w:rFonts w:ascii="Arial" w:cs="Arial" w:eastAsia="Arial" w:hAnsi="Arial"/>
                <w:sz w:val="20"/>
                <w:szCs w:val="20"/>
                <w:color w:val="auto"/>
              </w:rPr>
              <w:t>Subtotal</w:t>
            </w:r>
          </w:p>
        </w:tc>
        <w:tc>
          <w:tcPr>
            <w:tcW w:w="118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423</w:t>
            </w:r>
          </w:p>
        </w:tc>
        <w:tc>
          <w:tcPr>
            <w:tcW w:w="13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jc w:val="right"/>
              <w:ind w:right="121"/>
              <w:spacing w:after="0"/>
              <w:rPr>
                <w:sz w:val="20"/>
                <w:szCs w:val="20"/>
                <w:color w:val="auto"/>
              </w:rPr>
            </w:pPr>
            <w:r>
              <w:rPr>
                <w:rFonts w:ascii="Arial" w:cs="Arial" w:eastAsia="Arial" w:hAnsi="Arial"/>
                <w:sz w:val="20"/>
                <w:szCs w:val="20"/>
                <w:color w:val="auto"/>
                <w:w w:val="83"/>
              </w:rPr>
              <w:t>421</w:t>
            </w:r>
          </w:p>
        </w:tc>
        <w:tc>
          <w:tcPr>
            <w:tcW w:w="34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922</w:t>
            </w:r>
          </w:p>
        </w:tc>
        <w:tc>
          <w:tcPr>
            <w:tcW w:w="36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894</w:t>
            </w:r>
          </w:p>
        </w:tc>
      </w:tr>
      <w:tr>
        <w:trPr>
          <w:trHeight w:val="23"/>
        </w:trPr>
        <w:tc>
          <w:tcPr>
            <w:tcW w:w="4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Alternative revenue programs, net of amortization</w:t>
            </w:r>
          </w:p>
        </w:tc>
        <w:tc>
          <w:tcPr>
            <w:tcW w:w="1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w:t>
            </w:r>
          </w:p>
        </w:tc>
        <w:tc>
          <w:tcPr>
            <w:tcW w:w="13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w:t>
            </w:r>
          </w:p>
        </w:tc>
      </w:tr>
      <w:tr>
        <w:trPr>
          <w:trHeight w:val="284"/>
        </w:trPr>
        <w:tc>
          <w:tcPr>
            <w:tcW w:w="4800" w:type="dxa"/>
            <w:vAlign w:val="bottom"/>
            <w:tcBorders>
              <w:bottom w:val="single" w:sz="8" w:color="CCEEFF"/>
            </w:tcBorders>
          </w:tcPr>
          <w:p>
            <w:pPr>
              <w:ind w:left="280"/>
              <w:spacing w:after="0" w:line="283" w:lineRule="exact"/>
              <w:rPr>
                <w:sz w:val="20"/>
                <w:szCs w:val="20"/>
                <w:color w:val="auto"/>
              </w:rPr>
            </w:pPr>
            <w:r>
              <w:rPr>
                <w:rFonts w:ascii="Arial" w:cs="Arial" w:eastAsia="Arial" w:hAnsi="Arial"/>
                <w:sz w:val="20"/>
                <w:szCs w:val="20"/>
                <w:color w:val="auto"/>
              </w:rPr>
              <w:t>Other accrued (deferred) revenues, net</w:t>
            </w:r>
            <w:r>
              <w:rPr>
                <w:rFonts w:ascii="Arial" w:cs="Arial" w:eastAsia="Arial" w:hAnsi="Arial"/>
                <w:sz w:val="25"/>
                <w:szCs w:val="25"/>
                <w:color w:val="auto"/>
                <w:vertAlign w:val="superscript"/>
              </w:rPr>
              <w:t>(1)</w:t>
            </w:r>
          </w:p>
        </w:tc>
        <w:tc>
          <w:tcPr>
            <w:tcW w:w="1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6</w:t>
            </w:r>
          </w:p>
        </w:tc>
        <w:tc>
          <w:tcPr>
            <w:tcW w:w="1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(10)</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w:t>
            </w:r>
          </w:p>
        </w:tc>
      </w:tr>
      <w:tr>
        <w:trPr>
          <w:trHeight w:val="257"/>
        </w:trPr>
        <w:tc>
          <w:tcPr>
            <w:tcW w:w="4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20"/>
                <w:szCs w:val="20"/>
                <w:color w:val="auto"/>
              </w:rPr>
              <w:t>Total retail revenues</w:t>
            </w:r>
          </w:p>
        </w:tc>
        <w:tc>
          <w:tcPr>
            <w:tcW w:w="1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427</w:t>
            </w:r>
          </w:p>
        </w:tc>
        <w:tc>
          <w:tcPr>
            <w:tcW w:w="13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w w:val="83"/>
              </w:rPr>
              <w:t>411</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936</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865</w:t>
            </w:r>
          </w:p>
        </w:tc>
      </w:tr>
      <w:tr>
        <w:trPr>
          <w:trHeight w:val="284"/>
        </w:trPr>
        <w:tc>
          <w:tcPr>
            <w:tcW w:w="4800" w:type="dxa"/>
            <w:vAlign w:val="bottom"/>
          </w:tcPr>
          <w:p>
            <w:pPr>
              <w:ind w:left="40"/>
              <w:spacing w:after="0" w:line="283" w:lineRule="exact"/>
              <w:rPr>
                <w:sz w:val="20"/>
                <w:szCs w:val="20"/>
                <w:color w:val="auto"/>
              </w:rPr>
            </w:pPr>
            <w:r>
              <w:rPr>
                <w:rFonts w:ascii="Arial" w:cs="Arial" w:eastAsia="Arial" w:hAnsi="Arial"/>
                <w:sz w:val="20"/>
                <w:szCs w:val="20"/>
                <w:color w:val="auto"/>
              </w:rPr>
              <w:t>Wholesale revenues</w:t>
            </w:r>
            <w:r>
              <w:rPr>
                <w:rFonts w:ascii="Arial" w:cs="Arial" w:eastAsia="Arial" w:hAnsi="Arial"/>
                <w:sz w:val="25"/>
                <w:szCs w:val="25"/>
                <w:color w:val="auto"/>
                <w:vertAlign w:val="superscript"/>
              </w:rPr>
              <w:t>(2)</w:t>
            </w:r>
          </w:p>
        </w:tc>
        <w:tc>
          <w:tcPr>
            <w:tcW w:w="1180" w:type="dxa"/>
            <w:vAlign w:val="bottom"/>
          </w:tcPr>
          <w:p>
            <w:pPr>
              <w:spacing w:after="0"/>
              <w:rPr>
                <w:sz w:val="24"/>
                <w:szCs w:val="24"/>
                <w:color w:val="auto"/>
              </w:rPr>
            </w:pPr>
          </w:p>
        </w:tc>
        <w:tc>
          <w:tcPr>
            <w:tcW w:w="540" w:type="dxa"/>
            <w:vAlign w:val="bottom"/>
          </w:tcPr>
          <w:p>
            <w:pPr>
              <w:jc w:val="right"/>
              <w:ind w:right="21"/>
              <w:spacing w:after="0"/>
              <w:rPr>
                <w:sz w:val="20"/>
                <w:szCs w:val="20"/>
                <w:color w:val="auto"/>
              </w:rPr>
            </w:pPr>
            <w:r>
              <w:rPr>
                <w:rFonts w:ascii="Arial" w:cs="Arial" w:eastAsia="Arial" w:hAnsi="Arial"/>
                <w:sz w:val="20"/>
                <w:szCs w:val="20"/>
                <w:color w:val="auto"/>
              </w:rPr>
              <w:t>16</w:t>
            </w:r>
          </w:p>
        </w:tc>
        <w:tc>
          <w:tcPr>
            <w:tcW w:w="1300" w:type="dxa"/>
            <w:vAlign w:val="bottom"/>
          </w:tcPr>
          <w:p>
            <w:pPr>
              <w:spacing w:after="0"/>
              <w:rPr>
                <w:sz w:val="24"/>
                <w:szCs w:val="24"/>
                <w:color w:val="auto"/>
              </w:rPr>
            </w:pPr>
          </w:p>
        </w:tc>
        <w:tc>
          <w:tcPr>
            <w:tcW w:w="520" w:type="dxa"/>
            <w:vAlign w:val="bottom"/>
          </w:tcPr>
          <w:p>
            <w:pPr>
              <w:jc w:val="right"/>
              <w:ind w:right="121"/>
              <w:spacing w:after="0"/>
              <w:rPr>
                <w:sz w:val="20"/>
                <w:szCs w:val="20"/>
                <w:color w:val="auto"/>
              </w:rPr>
            </w:pPr>
            <w:r>
              <w:rPr>
                <w:rFonts w:ascii="Arial" w:cs="Arial" w:eastAsia="Arial" w:hAnsi="Arial"/>
                <w:sz w:val="20"/>
                <w:szCs w:val="20"/>
                <w:color w:val="auto"/>
              </w:rPr>
              <w:t>24</w:t>
            </w: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53</w:t>
            </w:r>
          </w:p>
        </w:tc>
        <w:tc>
          <w:tcPr>
            <w:tcW w:w="36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52</w:t>
            </w:r>
          </w:p>
        </w:tc>
      </w:tr>
      <w:tr>
        <w:trPr>
          <w:trHeight w:val="28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Other operating revenues</w:t>
            </w:r>
          </w:p>
        </w:tc>
        <w:tc>
          <w:tcPr>
            <w:tcW w:w="11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17</w:t>
            </w:r>
          </w:p>
        </w:tc>
        <w:tc>
          <w:tcPr>
            <w:tcW w:w="13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rPr>
              <w:t>14</w:t>
            </w:r>
          </w:p>
        </w:tc>
        <w:tc>
          <w:tcPr>
            <w:tcW w:w="3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44</w:t>
            </w: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25</w:t>
            </w:r>
          </w:p>
        </w:tc>
      </w:tr>
      <w:tr>
        <w:trPr>
          <w:trHeight w:val="272"/>
        </w:trPr>
        <w:tc>
          <w:tcPr>
            <w:tcW w:w="4800" w:type="dxa"/>
            <w:vAlign w:val="bottom"/>
          </w:tcPr>
          <w:p>
            <w:pPr>
              <w:ind w:left="500"/>
              <w:spacing w:after="0"/>
              <w:rPr>
                <w:sz w:val="20"/>
                <w:szCs w:val="20"/>
                <w:color w:val="auto"/>
              </w:rPr>
            </w:pPr>
            <w:r>
              <w:rPr>
                <w:rFonts w:ascii="Arial" w:cs="Arial" w:eastAsia="Arial" w:hAnsi="Arial"/>
                <w:sz w:val="20"/>
                <w:szCs w:val="20"/>
                <w:color w:val="auto"/>
              </w:rPr>
              <w:t>Total revenues</w:t>
            </w:r>
          </w:p>
        </w:tc>
        <w:tc>
          <w:tcPr>
            <w:tcW w:w="1180" w:type="dxa"/>
            <w:vAlign w:val="bottom"/>
            <w:tcBorders>
              <w:top w:val="single" w:sz="8" w:color="auto"/>
              <w:bottom w:val="single" w:sz="8" w:color="auto"/>
            </w:tcBorders>
          </w:tcPr>
          <w:p>
            <w:pPr>
              <w:jc w:val="right"/>
              <w:ind w:right="961"/>
              <w:spacing w:after="0"/>
              <w:rPr>
                <w:sz w:val="20"/>
                <w:szCs w:val="20"/>
                <w:color w:val="auto"/>
              </w:rPr>
            </w:pPr>
            <w:r>
              <w:rPr>
                <w:rFonts w:ascii="Arial" w:cs="Arial" w:eastAsia="Arial" w:hAnsi="Arial"/>
                <w:sz w:val="20"/>
                <w:szCs w:val="20"/>
                <w:color w:val="auto"/>
                <w:w w:val="89"/>
              </w:rPr>
              <w:t>$</w:t>
            </w:r>
          </w:p>
        </w:tc>
        <w:tc>
          <w:tcPr>
            <w:tcW w:w="5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rPr>
              <w:t>460</w:t>
            </w:r>
          </w:p>
        </w:tc>
        <w:tc>
          <w:tcPr>
            <w:tcW w:w="1300" w:type="dxa"/>
            <w:vAlign w:val="bottom"/>
            <w:tcBorders>
              <w:top w:val="single" w:sz="8" w:color="auto"/>
              <w:bottom w:val="single" w:sz="8" w:color="auto"/>
            </w:tcBorders>
          </w:tcPr>
          <w:p>
            <w:pPr>
              <w:jc w:val="right"/>
              <w:ind w:right="1081"/>
              <w:spacing w:after="0"/>
              <w:rPr>
                <w:sz w:val="20"/>
                <w:szCs w:val="20"/>
                <w:color w:val="auto"/>
              </w:rPr>
            </w:pPr>
            <w:r>
              <w:rPr>
                <w:rFonts w:ascii="Arial" w:cs="Arial" w:eastAsia="Arial" w:hAnsi="Arial"/>
                <w:sz w:val="20"/>
                <w:szCs w:val="20"/>
                <w:color w:val="auto"/>
                <w:w w:val="89"/>
              </w:rPr>
              <w:t>$</w:t>
            </w:r>
          </w:p>
        </w:tc>
        <w:tc>
          <w:tcPr>
            <w:tcW w:w="52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20"/>
                <w:szCs w:val="20"/>
                <w:color w:val="auto"/>
                <w:w w:val="83"/>
              </w:rPr>
              <w:t>449</w:t>
            </w:r>
          </w:p>
        </w:tc>
        <w:tc>
          <w:tcPr>
            <w:tcW w:w="3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1,033</w:t>
            </w:r>
          </w:p>
        </w:tc>
        <w:tc>
          <w:tcPr>
            <w:tcW w:w="36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942</w:t>
            </w:r>
          </w:p>
        </w:tc>
      </w:tr>
      <w:tr>
        <w:trPr>
          <w:trHeight w:val="20"/>
        </w:trPr>
        <w:tc>
          <w:tcPr>
            <w:tcW w:w="48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8"/>
        <w:spacing w:after="0" w:line="254"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Amounts for the three months ended June 30, 2019 and 2018 primarily comprised of $5 million of amortization and $10 million of deferral, respectively, related to the 2018 net tax benefits due to the change in corporate tax rate under the TCJA. Amounts for the six months ended June 30, 2019 and 2018 primarily comprised of $11 million of amortization and $25 million of deferral, respectively, related to the 2018 net tax benefits due to the change in corporate tax rate under the TCJA.</w:t>
      </w:r>
    </w:p>
    <w:p>
      <w:pPr>
        <w:spacing w:after="0" w:line="2" w:lineRule="exact"/>
        <w:rPr>
          <w:rFonts w:ascii="Arial" w:cs="Arial" w:eastAsia="Arial" w:hAnsi="Arial"/>
          <w:sz w:val="18"/>
          <w:szCs w:val="18"/>
          <w:color w:val="auto"/>
        </w:rPr>
      </w:pPr>
    </w:p>
    <w:p>
      <w:pPr>
        <w:ind w:right="40" w:firstLine="8"/>
        <w:spacing w:after="0" w:line="254"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Wholesale revenues include $2 million and $4 million related to electricity commodity contract derivative settlements for the three months ended June 30, 2019 and 2018, respectively, and $13 million and $6 million, respectively, for the six months ended June 30, 2019 and 2018. Price risk management derivative activities are included within total revenues but do not represent revenues from contracts with customers. For further information, see Note 5, Risk Management.</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Retail Revenues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9"/>
          <w:szCs w:val="19"/>
          <w:color w:val="auto"/>
        </w:rPr>
        <w:t>The Company’s primary revenue source is the sale of electricity to customers at regulated tariff-based prices. Retail customers are classified as residential, commercial, or industrial. Residential customers include single-family housing, multiple-family housing (such as apartments, duplexes, and town homes), manufactured homes, and small farms. Residential demand is sensitive to the effects of weather, with demand highest during the winter heating and summer cooling seasons. Commercial customers consist of non-residential customers who accept energy deliveries at voltages equivalent to those delivered to residential customers. Commercial customers include most businesses, small industrial companies, and public street and highway lighting accounts. Industrial customers consist of non-residential customers who accept delivery at higher voltages than commercial customers. Demand from industrial customers is primarily driven by economic conditions, with weather having little impact on energy use by this customer class.</w:t>
      </w:r>
    </w:p>
    <w:p>
      <w:pPr>
        <w:spacing w:after="0" w:line="141" w:lineRule="exact"/>
        <w:rPr>
          <w:sz w:val="20"/>
          <w:szCs w:val="20"/>
          <w:color w:val="auto"/>
        </w:rPr>
      </w:pPr>
    </w:p>
    <w:p>
      <w:pPr>
        <w:ind w:right="500"/>
        <w:spacing w:after="0" w:line="260" w:lineRule="auto"/>
        <w:rPr>
          <w:sz w:val="20"/>
          <w:szCs w:val="20"/>
          <w:color w:val="auto"/>
        </w:rPr>
      </w:pPr>
      <w:r>
        <w:rPr>
          <w:rFonts w:ascii="Arial" w:cs="Arial" w:eastAsia="Arial" w:hAnsi="Arial"/>
          <w:sz w:val="20"/>
          <w:szCs w:val="20"/>
          <w:color w:val="auto"/>
        </w:rPr>
        <w:t>In accordance with state regulations, PGE’s retail customer prices are based on the Company’s cost of service and are determined through general rate case proceedings and various tariff filings with the Public Utility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ind w:left="260" w:right="1980"/>
        <w:spacing w:after="0" w:line="257" w:lineRule="auto"/>
        <w:rPr>
          <w:sz w:val="20"/>
          <w:szCs w:val="20"/>
          <w:color w:val="auto"/>
        </w:rPr>
      </w:pPr>
      <w:r>
        <w:rPr>
          <w:rFonts w:ascii="Arial" w:cs="Arial" w:eastAsia="Arial" w:hAnsi="Arial"/>
          <w:sz w:val="20"/>
          <w:szCs w:val="20"/>
          <w:b w:val="1"/>
          <w:bCs w:val="1"/>
          <w:color w:val="auto"/>
        </w:rPr>
        <w:t xml:space="preserve">PORTLAND GENERAL ELECTRIC COMPANY NOTES TO CONDENSED CONSOLIDATED FINANCIAL STATEMENTS, continued </w:t>
      </w:r>
      <w:r>
        <w:rPr>
          <w:rFonts w:ascii="Arial" w:cs="Arial" w:eastAsia="Arial" w:hAnsi="Arial"/>
          <w:sz w:val="20"/>
          <w:szCs w:val="20"/>
          <w:color w:val="auto"/>
        </w:rPr>
        <w:t>(Unaudited)</w:t>
      </w:r>
    </w:p>
    <w:p>
      <w:pPr>
        <w:spacing w:after="0" w:line="200" w:lineRule="exact"/>
        <w:rPr>
          <w:sz w:val="20"/>
          <w:szCs w:val="20"/>
          <w:color w:val="auto"/>
        </w:rPr>
      </w:pPr>
    </w:p>
    <w:p>
      <w:pPr>
        <w:spacing w:after="0" w:line="245"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of Oregon (OPUC). Additionally, the Company offers pricing options that include a daily market price option, various time-of-use options, and several renewable energy options.</w:t>
      </w:r>
    </w:p>
    <w:p>
      <w:pPr>
        <w:spacing w:after="0" w:line="136"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Retail revenue is billed based on monthly meter readings taken at various cycle dates throughout the month. At the end of each month, PGE estimates the revenue earned from energy deliveries that has not yet been billed to customers. This amount, which is classified as Unbilled revenues in the Company’s condensed consolidated balance sheets, is calculated based on actual net retail system load each month, the number of days from the last meter read date through the last day of the month, and current customer prices.</w:t>
      </w:r>
    </w:p>
    <w:p>
      <w:pPr>
        <w:spacing w:after="0" w:line="136" w:lineRule="exact"/>
        <w:rPr>
          <w:sz w:val="20"/>
          <w:szCs w:val="20"/>
          <w:color w:val="auto"/>
        </w:rPr>
      </w:pPr>
    </w:p>
    <w:p>
      <w:pPr>
        <w:ind w:right="440"/>
        <w:spacing w:after="0" w:line="246" w:lineRule="auto"/>
        <w:rPr>
          <w:sz w:val="20"/>
          <w:szCs w:val="20"/>
          <w:color w:val="auto"/>
        </w:rPr>
      </w:pPr>
      <w:r>
        <w:rPr>
          <w:rFonts w:ascii="Arial" w:cs="Arial" w:eastAsia="Arial" w:hAnsi="Arial"/>
          <w:sz w:val="20"/>
          <w:szCs w:val="20"/>
          <w:color w:val="auto"/>
        </w:rPr>
        <w:t>PGE’s obligation to sell electricity to retail customers generally represents a single performance obligation representing a series of distinct services that are substantially the same and have the same pattern of transfer to the customer that is satisfied over time as customers simultaneously receive and consume the benefits provided. PGE applies the invoice method to measure its progress towards satisfactorily completing its performance obligations.</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Pursuant to regulation by the OPUC, PGE is mandated to maintain several tariff schedules to collect funds from customers associated with activities for the benefit of the general public, such as conservation, low-income housing, energy efficiency, renewable energy programs, and privilege taxes. For such programs, PGE generally collects the funds and remits the amounts to third party agencies that administer the programs. In these arrangements, PGE is considered to be an agent, as PGE’s performance obligation is to facilitate a transaction between customers and the administrators of these programs. Therefore, such amounts are presented on a net basis and are not reflected in Revenues, net within the condensed consolidated statements of income and comprehensive income.</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Wholesale Revenues</w:t>
      </w:r>
    </w:p>
    <w:p>
      <w:pPr>
        <w:spacing w:after="0" w:line="175" w:lineRule="exact"/>
        <w:rPr>
          <w:sz w:val="20"/>
          <w:szCs w:val="20"/>
          <w:color w:val="auto"/>
        </w:rPr>
      </w:pPr>
    </w:p>
    <w:p>
      <w:pPr>
        <w:ind w:right="320"/>
        <w:spacing w:after="0" w:line="246" w:lineRule="auto"/>
        <w:rPr>
          <w:sz w:val="20"/>
          <w:szCs w:val="20"/>
          <w:color w:val="auto"/>
        </w:rPr>
      </w:pPr>
      <w:r>
        <w:rPr>
          <w:rFonts w:ascii="Arial" w:cs="Arial" w:eastAsia="Arial" w:hAnsi="Arial"/>
          <w:sz w:val="20"/>
          <w:szCs w:val="20"/>
          <w:color w:val="auto"/>
        </w:rPr>
        <w:t>PGE participates in the wholesale electricity marketplace in order to balance its supply of power to meet the needs of its retail customers. Interconnected transmission systems in the western United States serve utilities with diverse load requirements and allow the Company to purchase and sell electricity within the region depending upon the relative price and availability of power, hydro, solar and wind conditions, and daily and seasonal retail demand.</w:t>
      </w:r>
    </w:p>
    <w:p>
      <w:pPr>
        <w:spacing w:after="0" w:line="151"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color w:val="auto"/>
        </w:rPr>
        <w:t>PGE’s Wholesale revenues are primarily short-term electricity sales to utilities and power marketers that consist of single performance obligations satisfied as energy is transferred to the counterparty. The Company may choose to net certain purchase and sale transactions in which it would simultaneously receive and deliver physical power with the same counterparty; in such cases, only the net amount of those purchases or sales required to meet retail and wholesale obligations will be physically settled and recorded in Wholesale revenues.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Other Operating Revenues</w:t>
      </w:r>
    </w:p>
    <w:p>
      <w:pPr>
        <w:spacing w:after="0" w:line="175" w:lineRule="exact"/>
        <w:rPr>
          <w:sz w:val="20"/>
          <w:szCs w:val="20"/>
          <w:color w:val="auto"/>
        </w:rPr>
      </w:pPr>
    </w:p>
    <w:p>
      <w:pPr>
        <w:ind w:right="20"/>
        <w:spacing w:after="0" w:line="269" w:lineRule="auto"/>
        <w:rPr>
          <w:sz w:val="20"/>
          <w:szCs w:val="20"/>
          <w:color w:val="auto"/>
        </w:rPr>
      </w:pPr>
      <w:r>
        <w:rPr>
          <w:rFonts w:ascii="Arial" w:cs="Arial" w:eastAsia="Arial" w:hAnsi="Arial"/>
          <w:sz w:val="19"/>
          <w:szCs w:val="19"/>
          <w:color w:val="auto"/>
        </w:rPr>
        <w:t>Other operating revenues consist primarily of gains and losses on the sale of natural gas volumes purchased that exceeded what was needed to fuel the Company’s generating facilities, as well as revenues from transmission services, excess transmission capacity resales, excess fuel sales, utility pole attachment revenues, and other electric services provided to customers.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Arrangements with Multiple Performance Obligations</w:t>
      </w:r>
    </w:p>
    <w:p>
      <w:pPr>
        <w:spacing w:after="0" w:line="235"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Certain contracts with customers, primarily wholesale, may include multiple performance obligations. For such arrangements, PGE allocates revenue to each performance obligation based on its relative standalone selling price. PGE generally determines standalone selling prices based on the prices charged to customers.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line="257" w:lineRule="auto"/>
        <w:rPr>
          <w:sz w:val="20"/>
          <w:szCs w:val="20"/>
          <w:color w:val="auto"/>
        </w:rPr>
      </w:pPr>
      <w:r>
        <w:rPr>
          <w:rFonts w:ascii="Arial" w:cs="Arial" w:eastAsia="Arial" w:hAnsi="Arial"/>
          <w:sz w:val="20"/>
          <w:szCs w:val="20"/>
          <w:b w:val="1"/>
          <w:bCs w:val="1"/>
          <w:color w:val="auto"/>
        </w:rPr>
        <w:t xml:space="preserve">PORTLAND GENERAL ELECTRIC COMPANY NOTES TO CONDENSED CONSOLIDATED FINANCIAL STATEMENTS, continued </w:t>
      </w:r>
      <w:r>
        <w:rPr>
          <w:rFonts w:ascii="Arial" w:cs="Arial" w:eastAsia="Arial" w:hAnsi="Arial"/>
          <w:sz w:val="20"/>
          <w:szCs w:val="20"/>
          <w:color w:val="auto"/>
        </w:rPr>
        <w:t>(Unaudited)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BALANCE SHEET COMPONENTS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Inventories</w:t>
      </w:r>
    </w:p>
    <w:p>
      <w:pPr>
        <w:spacing w:after="0" w:line="235"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PGE’s inventories, which are recorded at average cost, consist primarily of materials and supplies for use in operations, maintenance, and capital activities, as well as fuel, which includes natural gas, coal, and oil for use in the Company’s generating plants. Periodically, the Company assesses inventory for purposes of determining that inventories are recorded at the lower of average cost or net realizable value.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860" w:type="dxa"/>
            <w:vAlign w:val="bottom"/>
          </w:tcPr>
          <w:p>
            <w:pPr>
              <w:spacing w:after="0"/>
              <w:rPr>
                <w:sz w:val="20"/>
                <w:szCs w:val="20"/>
                <w:color w:val="auto"/>
              </w:rPr>
            </w:pPr>
            <w:r>
              <w:rPr>
                <w:rFonts w:ascii="Arial" w:cs="Arial" w:eastAsia="Arial" w:hAnsi="Arial"/>
                <w:sz w:val="20"/>
                <w:szCs w:val="20"/>
                <w:b w:val="1"/>
                <w:bCs w:val="1"/>
                <w:color w:val="auto"/>
              </w:rPr>
              <w:t>Other Current Assets</w:t>
            </w:r>
          </w:p>
        </w:tc>
        <w:tc>
          <w:tcPr>
            <w:tcW w:w="3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6860" w:type="dxa"/>
            <w:vAlign w:val="bottom"/>
          </w:tcPr>
          <w:p>
            <w:pPr>
              <w:spacing w:after="0"/>
              <w:rPr>
                <w:sz w:val="20"/>
                <w:szCs w:val="20"/>
                <w:color w:val="auto"/>
              </w:rPr>
            </w:pPr>
            <w:r>
              <w:rPr>
                <w:rFonts w:ascii="Arial" w:cs="Arial" w:eastAsia="Arial" w:hAnsi="Arial"/>
                <w:sz w:val="20"/>
                <w:szCs w:val="20"/>
                <w:color w:val="auto"/>
              </w:rPr>
              <w:t>Other current assets consist of the following (in millions):</w:t>
            </w: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60" w:type="dxa"/>
            <w:vAlign w:val="bottom"/>
            <w:gridSpan w:val="2"/>
          </w:tcPr>
          <w:p>
            <w:pPr>
              <w:ind w:left="180"/>
              <w:spacing w:after="0"/>
              <w:rPr>
                <w:sz w:val="20"/>
                <w:szCs w:val="20"/>
                <w:color w:val="auto"/>
              </w:rPr>
            </w:pPr>
            <w:r>
              <w:rPr>
                <w:rFonts w:ascii="Arial" w:cs="Arial" w:eastAsia="Arial" w:hAnsi="Arial"/>
                <w:sz w:val="20"/>
                <w:szCs w:val="20"/>
                <w:b w:val="1"/>
                <w:bCs w:val="1"/>
                <w:color w:val="auto"/>
              </w:rPr>
              <w:t>June 30, 2019</w:t>
            </w:r>
          </w:p>
        </w:tc>
        <w:tc>
          <w:tcPr>
            <w:tcW w:w="220" w:type="dxa"/>
            <w:vAlign w:val="bottom"/>
          </w:tcPr>
          <w:p>
            <w:pPr>
              <w:spacing w:after="0"/>
              <w:rPr>
                <w:sz w:val="24"/>
                <w:szCs w:val="24"/>
                <w:color w:val="auto"/>
              </w:rPr>
            </w:pPr>
          </w:p>
        </w:tc>
        <w:tc>
          <w:tcPr>
            <w:tcW w:w="1960" w:type="dxa"/>
            <w:vAlign w:val="bottom"/>
          </w:tcPr>
          <w:p>
            <w:pPr>
              <w:jc w:val="right"/>
              <w:ind w:right="181"/>
              <w:spacing w:after="0"/>
              <w:rPr>
                <w:sz w:val="20"/>
                <w:szCs w:val="20"/>
                <w:color w:val="auto"/>
              </w:rPr>
            </w:pPr>
            <w:r>
              <w:rPr>
                <w:rFonts w:ascii="Arial" w:cs="Arial" w:eastAsia="Arial" w:hAnsi="Arial"/>
                <w:sz w:val="20"/>
                <w:szCs w:val="20"/>
                <w:b w:val="1"/>
                <w:bCs w:val="1"/>
                <w:color w:val="auto"/>
                <w:w w:val="92"/>
              </w:rPr>
              <w:t>December 31, 2018</w:t>
            </w:r>
          </w:p>
        </w:tc>
        <w:tc>
          <w:tcPr>
            <w:tcW w:w="0" w:type="dxa"/>
            <w:vAlign w:val="bottom"/>
          </w:tcPr>
          <w:p>
            <w:pPr>
              <w:spacing w:after="0"/>
              <w:rPr>
                <w:sz w:val="1"/>
                <w:szCs w:val="1"/>
                <w:color w:val="auto"/>
              </w:rPr>
            </w:pPr>
          </w:p>
        </w:tc>
      </w:tr>
      <w:tr>
        <w:trPr>
          <w:trHeight w:val="23"/>
        </w:trPr>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Prepaid expenses</w:t>
            </w:r>
          </w:p>
        </w:tc>
        <w:tc>
          <w:tcPr>
            <w:tcW w:w="3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9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54</w:t>
            </w:r>
          </w:p>
        </w:tc>
        <w:tc>
          <w:tcPr>
            <w:tcW w:w="0" w:type="dxa"/>
            <w:vAlign w:val="bottom"/>
          </w:tcPr>
          <w:p>
            <w:pPr>
              <w:spacing w:after="0"/>
              <w:rPr>
                <w:sz w:val="1"/>
                <w:szCs w:val="1"/>
                <w:color w:val="auto"/>
              </w:rPr>
            </w:pPr>
          </w:p>
        </w:tc>
      </w:tr>
      <w:tr>
        <w:trPr>
          <w:trHeight w:val="261"/>
        </w:trPr>
        <w:tc>
          <w:tcPr>
            <w:tcW w:w="6860" w:type="dxa"/>
            <w:vAlign w:val="bottom"/>
          </w:tcPr>
          <w:p>
            <w:pPr>
              <w:ind w:left="40"/>
              <w:spacing w:after="0"/>
              <w:rPr>
                <w:sz w:val="20"/>
                <w:szCs w:val="20"/>
                <w:color w:val="auto"/>
              </w:rPr>
            </w:pPr>
            <w:r>
              <w:rPr>
                <w:rFonts w:ascii="Arial" w:cs="Arial" w:eastAsia="Arial" w:hAnsi="Arial"/>
                <w:sz w:val="20"/>
                <w:szCs w:val="20"/>
                <w:color w:val="auto"/>
              </w:rPr>
              <w:t>Assets from price risk management activities</w:t>
            </w:r>
          </w:p>
        </w:tc>
        <w:tc>
          <w:tcPr>
            <w:tcW w:w="320" w:type="dxa"/>
            <w:vAlign w:val="bottom"/>
          </w:tcPr>
          <w:p>
            <w:pPr>
              <w:spacing w:after="0"/>
              <w:rPr>
                <w:sz w:val="22"/>
                <w:szCs w:val="22"/>
                <w:color w:val="auto"/>
              </w:rPr>
            </w:pPr>
          </w:p>
        </w:tc>
        <w:tc>
          <w:tcPr>
            <w:tcW w:w="1840" w:type="dxa"/>
            <w:vAlign w:val="bottom"/>
          </w:tcPr>
          <w:p>
            <w:pPr>
              <w:jc w:val="right"/>
              <w:ind w:right="1"/>
              <w:spacing w:after="0"/>
              <w:rPr>
                <w:sz w:val="20"/>
                <w:szCs w:val="20"/>
                <w:color w:val="auto"/>
              </w:rPr>
            </w:pPr>
            <w:r>
              <w:rPr>
                <w:rFonts w:ascii="Arial" w:cs="Arial" w:eastAsia="Arial" w:hAnsi="Arial"/>
                <w:sz w:val="20"/>
                <w:szCs w:val="20"/>
                <w:color w:val="auto"/>
              </w:rPr>
              <w:t>20</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60" w:type="dxa"/>
            <w:vAlign w:val="bottom"/>
          </w:tcPr>
          <w:p>
            <w:pPr>
              <w:jc w:val="right"/>
              <w:ind w:right="1"/>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23"/>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Margin deposits</w:t>
            </w:r>
          </w:p>
        </w:tc>
        <w:tc>
          <w:tcPr>
            <w:tcW w:w="3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61"/>
        </w:trPr>
        <w:tc>
          <w:tcPr>
            <w:tcW w:w="6860" w:type="dxa"/>
            <w:vAlign w:val="bottom"/>
          </w:tcPr>
          <w:p>
            <w:pPr>
              <w:ind w:left="40"/>
              <w:spacing w:after="0"/>
              <w:rPr>
                <w:sz w:val="20"/>
                <w:szCs w:val="20"/>
                <w:color w:val="auto"/>
              </w:rPr>
            </w:pPr>
            <w:r>
              <w:rPr>
                <w:rFonts w:ascii="Arial" w:cs="Arial" w:eastAsia="Arial" w:hAnsi="Arial"/>
                <w:sz w:val="20"/>
                <w:szCs w:val="20"/>
                <w:color w:val="auto"/>
              </w:rPr>
              <w:t>Other</w:t>
            </w:r>
          </w:p>
        </w:tc>
        <w:tc>
          <w:tcPr>
            <w:tcW w:w="320" w:type="dxa"/>
            <w:vAlign w:val="bottom"/>
          </w:tcPr>
          <w:p>
            <w:pPr>
              <w:spacing w:after="0"/>
              <w:rPr>
                <w:sz w:val="22"/>
                <w:szCs w:val="22"/>
                <w:color w:val="auto"/>
              </w:rPr>
            </w:pPr>
          </w:p>
        </w:tc>
        <w:tc>
          <w:tcPr>
            <w:tcW w:w="1840" w:type="dxa"/>
            <w:vAlign w:val="bottom"/>
          </w:tcPr>
          <w:p>
            <w:pPr>
              <w:jc w:val="right"/>
              <w:ind w:right="1"/>
              <w:spacing w:after="0"/>
              <w:rPr>
                <w:sz w:val="20"/>
                <w:szCs w:val="20"/>
                <w:color w:val="auto"/>
              </w:rPr>
            </w:pPr>
            <w:r>
              <w:rPr>
                <w:rFonts w:ascii="Arial" w:cs="Arial" w:eastAsia="Arial" w:hAnsi="Arial"/>
                <w:sz w:val="20"/>
                <w:szCs w:val="20"/>
                <w:color w:val="auto"/>
              </w:rPr>
              <w:t>9</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Other current assets</w:t>
            </w: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69</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90</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20"/>
                <w:szCs w:val="20"/>
                <w:b w:val="1"/>
                <w:bCs w:val="1"/>
                <w:color w:val="auto"/>
              </w:rPr>
              <w:t>Electric Utility Plant, Net</w:t>
            </w: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8"/>
        </w:trPr>
        <w:tc>
          <w:tcPr>
            <w:tcW w:w="68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860" w:type="dxa"/>
            <w:vAlign w:val="bottom"/>
          </w:tcPr>
          <w:p>
            <w:pPr>
              <w:spacing w:after="0"/>
              <w:rPr>
                <w:sz w:val="20"/>
                <w:szCs w:val="20"/>
                <w:color w:val="auto"/>
              </w:rPr>
            </w:pPr>
            <w:r>
              <w:rPr>
                <w:rFonts w:ascii="Arial" w:cs="Arial" w:eastAsia="Arial" w:hAnsi="Arial"/>
                <w:sz w:val="20"/>
                <w:szCs w:val="20"/>
                <w:color w:val="auto"/>
              </w:rPr>
              <w:t>Electric utility plant, net consists of the following (in millions):</w:t>
            </w: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60" w:type="dxa"/>
            <w:vAlign w:val="bottom"/>
            <w:gridSpan w:val="2"/>
          </w:tcPr>
          <w:p>
            <w:pPr>
              <w:ind w:left="180"/>
              <w:spacing w:after="0"/>
              <w:rPr>
                <w:sz w:val="20"/>
                <w:szCs w:val="20"/>
                <w:color w:val="auto"/>
              </w:rPr>
            </w:pPr>
            <w:r>
              <w:rPr>
                <w:rFonts w:ascii="Arial" w:cs="Arial" w:eastAsia="Arial" w:hAnsi="Arial"/>
                <w:sz w:val="20"/>
                <w:szCs w:val="20"/>
                <w:b w:val="1"/>
                <w:bCs w:val="1"/>
                <w:color w:val="auto"/>
              </w:rPr>
              <w:t>June 30, 2019</w:t>
            </w:r>
          </w:p>
        </w:tc>
        <w:tc>
          <w:tcPr>
            <w:tcW w:w="220" w:type="dxa"/>
            <w:vAlign w:val="bottom"/>
          </w:tcPr>
          <w:p>
            <w:pPr>
              <w:spacing w:after="0"/>
              <w:rPr>
                <w:sz w:val="24"/>
                <w:szCs w:val="24"/>
                <w:color w:val="auto"/>
              </w:rPr>
            </w:pPr>
          </w:p>
        </w:tc>
        <w:tc>
          <w:tcPr>
            <w:tcW w:w="1960" w:type="dxa"/>
            <w:vAlign w:val="bottom"/>
          </w:tcPr>
          <w:p>
            <w:pPr>
              <w:jc w:val="right"/>
              <w:ind w:right="181"/>
              <w:spacing w:after="0"/>
              <w:rPr>
                <w:sz w:val="20"/>
                <w:szCs w:val="20"/>
                <w:color w:val="auto"/>
              </w:rPr>
            </w:pPr>
            <w:r>
              <w:rPr>
                <w:rFonts w:ascii="Arial" w:cs="Arial" w:eastAsia="Arial" w:hAnsi="Arial"/>
                <w:sz w:val="20"/>
                <w:szCs w:val="20"/>
                <w:b w:val="1"/>
                <w:bCs w:val="1"/>
                <w:color w:val="auto"/>
                <w:w w:val="92"/>
              </w:rPr>
              <w:t>December 31, 2018</w:t>
            </w:r>
          </w:p>
        </w:tc>
        <w:tc>
          <w:tcPr>
            <w:tcW w:w="0" w:type="dxa"/>
            <w:vAlign w:val="bottom"/>
          </w:tcPr>
          <w:p>
            <w:pPr>
              <w:spacing w:after="0"/>
              <w:rPr>
                <w:sz w:val="1"/>
                <w:szCs w:val="1"/>
                <w:color w:val="auto"/>
              </w:rPr>
            </w:pPr>
          </w:p>
        </w:tc>
      </w:tr>
      <w:tr>
        <w:trPr>
          <w:trHeight w:val="23"/>
        </w:trPr>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Electric utility plant</w:t>
            </w:r>
          </w:p>
        </w:tc>
        <w:tc>
          <w:tcPr>
            <w:tcW w:w="3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10,684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9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10,344</w:t>
            </w:r>
          </w:p>
        </w:tc>
        <w:tc>
          <w:tcPr>
            <w:tcW w:w="0" w:type="dxa"/>
            <w:vAlign w:val="bottom"/>
          </w:tcPr>
          <w:p>
            <w:pPr>
              <w:spacing w:after="0"/>
              <w:rPr>
                <w:sz w:val="1"/>
                <w:szCs w:val="1"/>
                <w:color w:val="auto"/>
              </w:rPr>
            </w:pPr>
          </w:p>
        </w:tc>
      </w:tr>
      <w:tr>
        <w:trPr>
          <w:trHeight w:val="261"/>
        </w:trPr>
        <w:tc>
          <w:tcPr>
            <w:tcW w:w="6860" w:type="dxa"/>
            <w:vAlign w:val="bottom"/>
          </w:tcPr>
          <w:p>
            <w:pPr>
              <w:ind w:left="40"/>
              <w:spacing w:after="0"/>
              <w:rPr>
                <w:sz w:val="20"/>
                <w:szCs w:val="20"/>
                <w:color w:val="auto"/>
              </w:rPr>
            </w:pPr>
            <w:r>
              <w:rPr>
                <w:rFonts w:ascii="Arial" w:cs="Arial" w:eastAsia="Arial" w:hAnsi="Arial"/>
                <w:sz w:val="20"/>
                <w:szCs w:val="20"/>
                <w:color w:val="auto"/>
              </w:rPr>
              <w:t>Construction work-in-progress</w:t>
            </w:r>
          </w:p>
        </w:tc>
        <w:tc>
          <w:tcPr>
            <w:tcW w:w="320" w:type="dxa"/>
            <w:vAlign w:val="bottom"/>
          </w:tcPr>
          <w:p>
            <w:pPr>
              <w:spacing w:after="0"/>
              <w:rPr>
                <w:sz w:val="22"/>
                <w:szCs w:val="22"/>
                <w:color w:val="auto"/>
              </w:rPr>
            </w:pPr>
          </w:p>
        </w:tc>
        <w:tc>
          <w:tcPr>
            <w:tcW w:w="1840" w:type="dxa"/>
            <w:vAlign w:val="bottom"/>
          </w:tcPr>
          <w:p>
            <w:pPr>
              <w:jc w:val="right"/>
              <w:ind w:right="1"/>
              <w:spacing w:after="0"/>
              <w:rPr>
                <w:sz w:val="20"/>
                <w:szCs w:val="20"/>
                <w:color w:val="auto"/>
              </w:rPr>
            </w:pPr>
            <w:r>
              <w:rPr>
                <w:rFonts w:ascii="Arial" w:cs="Arial" w:eastAsia="Arial" w:hAnsi="Arial"/>
                <w:sz w:val="20"/>
                <w:szCs w:val="20"/>
                <w:color w:val="auto"/>
              </w:rPr>
              <w:t>219</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60" w:type="dxa"/>
            <w:vAlign w:val="bottom"/>
          </w:tcPr>
          <w:p>
            <w:pPr>
              <w:jc w:val="right"/>
              <w:ind w:right="1"/>
              <w:spacing w:after="0"/>
              <w:rPr>
                <w:sz w:val="20"/>
                <w:szCs w:val="20"/>
                <w:color w:val="auto"/>
              </w:rPr>
            </w:pPr>
            <w:r>
              <w:rPr>
                <w:rFonts w:ascii="Arial" w:cs="Arial" w:eastAsia="Arial" w:hAnsi="Arial"/>
                <w:sz w:val="20"/>
                <w:szCs w:val="20"/>
                <w:color w:val="auto"/>
              </w:rPr>
              <w:t>346</w:t>
            </w:r>
          </w:p>
        </w:tc>
        <w:tc>
          <w:tcPr>
            <w:tcW w:w="0" w:type="dxa"/>
            <w:vAlign w:val="bottom"/>
          </w:tcPr>
          <w:p>
            <w:pPr>
              <w:spacing w:after="0"/>
              <w:rPr>
                <w:sz w:val="1"/>
                <w:szCs w:val="1"/>
                <w:color w:val="auto"/>
              </w:rPr>
            </w:pPr>
          </w:p>
        </w:tc>
      </w:tr>
      <w:tr>
        <w:trPr>
          <w:trHeight w:val="23"/>
        </w:trPr>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Total cost</w:t>
            </w:r>
          </w:p>
        </w:tc>
        <w:tc>
          <w:tcPr>
            <w:tcW w:w="3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10,903</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10,690</w:t>
            </w:r>
          </w:p>
        </w:tc>
        <w:tc>
          <w:tcPr>
            <w:tcW w:w="0" w:type="dxa"/>
            <w:vAlign w:val="bottom"/>
          </w:tcPr>
          <w:p>
            <w:pPr>
              <w:spacing w:after="0"/>
              <w:rPr>
                <w:sz w:val="1"/>
                <w:szCs w:val="1"/>
                <w:color w:val="auto"/>
              </w:rPr>
            </w:pPr>
          </w:p>
        </w:tc>
      </w:tr>
      <w:tr>
        <w:trPr>
          <w:trHeight w:val="261"/>
        </w:trPr>
        <w:tc>
          <w:tcPr>
            <w:tcW w:w="6860" w:type="dxa"/>
            <w:vAlign w:val="bottom"/>
          </w:tcPr>
          <w:p>
            <w:pPr>
              <w:ind w:left="40"/>
              <w:spacing w:after="0"/>
              <w:rPr>
                <w:sz w:val="20"/>
                <w:szCs w:val="20"/>
                <w:color w:val="auto"/>
              </w:rPr>
            </w:pPr>
            <w:r>
              <w:rPr>
                <w:rFonts w:ascii="Arial" w:cs="Arial" w:eastAsia="Arial" w:hAnsi="Arial"/>
                <w:sz w:val="20"/>
                <w:szCs w:val="20"/>
                <w:color w:val="auto"/>
              </w:rPr>
              <w:t>Less: accumulated depreciation and amortization</w:t>
            </w:r>
          </w:p>
        </w:tc>
        <w:tc>
          <w:tcPr>
            <w:tcW w:w="32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Arial" w:cs="Arial" w:eastAsia="Arial" w:hAnsi="Arial"/>
                <w:sz w:val="20"/>
                <w:szCs w:val="20"/>
                <w:color w:val="auto"/>
              </w:rPr>
              <w:t>(3,951)</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60" w:type="dxa"/>
            <w:vAlign w:val="bottom"/>
          </w:tcPr>
          <w:p>
            <w:pPr>
              <w:jc w:val="right"/>
              <w:spacing w:after="0"/>
              <w:rPr>
                <w:sz w:val="20"/>
                <w:szCs w:val="20"/>
                <w:color w:val="auto"/>
              </w:rPr>
            </w:pPr>
            <w:r>
              <w:rPr>
                <w:rFonts w:ascii="Arial" w:cs="Arial" w:eastAsia="Arial" w:hAnsi="Arial"/>
                <w:sz w:val="20"/>
                <w:szCs w:val="20"/>
                <w:color w:val="auto"/>
              </w:rPr>
              <w:t>(3,803)</w:t>
            </w:r>
          </w:p>
        </w:tc>
        <w:tc>
          <w:tcPr>
            <w:tcW w:w="0" w:type="dxa"/>
            <w:vAlign w:val="bottom"/>
          </w:tcPr>
          <w:p>
            <w:pPr>
              <w:spacing w:after="0"/>
              <w:rPr>
                <w:sz w:val="1"/>
                <w:szCs w:val="1"/>
                <w:color w:val="auto"/>
              </w:rPr>
            </w:pPr>
          </w:p>
        </w:tc>
      </w:tr>
      <w:tr>
        <w:trPr>
          <w:trHeight w:val="23"/>
        </w:trPr>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Electric utility plant, net</w:t>
            </w: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6,952</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6,887</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right="180"/>
        <w:spacing w:after="0" w:line="244" w:lineRule="auto"/>
        <w:rPr>
          <w:sz w:val="20"/>
          <w:szCs w:val="20"/>
          <w:color w:val="auto"/>
        </w:rPr>
      </w:pPr>
      <w:r>
        <w:rPr>
          <w:rFonts w:ascii="Arial" w:cs="Arial" w:eastAsia="Arial" w:hAnsi="Arial"/>
          <w:sz w:val="20"/>
          <w:szCs w:val="20"/>
          <w:color w:val="auto"/>
        </w:rPr>
        <w:t>Accumulated depreciation and amortization in the table above includes accumulated amortization related to intangible assets of $334 million and $302 million as of June 30, 2019 and December 31, 2018, respectively. Amortization expense related to intangible assets was $17 million and $33 million for the three and six months ended June 30, 2019, respectively, and $14 million and $27 million for the three and six months ended June 30, 2018, respectively. The Company’s intangible assets primarily consist of computer software development and hydro licensing costs.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line="257" w:lineRule="auto"/>
        <w:rPr>
          <w:sz w:val="20"/>
          <w:szCs w:val="20"/>
          <w:color w:val="auto"/>
        </w:rPr>
      </w:pPr>
      <w:r>
        <w:rPr>
          <w:rFonts w:ascii="Arial" w:cs="Arial" w:eastAsia="Arial" w:hAnsi="Arial"/>
          <w:sz w:val="20"/>
          <w:szCs w:val="20"/>
          <w:b w:val="1"/>
          <w:bCs w:val="1"/>
          <w:color w:val="auto"/>
        </w:rPr>
        <w:t xml:space="preserve">PORTLAND GENERAL ELECTRIC COMPANY NOTES TO CONDENSED CONSOLIDATED FINANCIAL STATEMENTS, continued </w:t>
      </w:r>
      <w:r>
        <w:rPr>
          <w:rFonts w:ascii="Arial" w:cs="Arial" w:eastAsia="Arial" w:hAnsi="Arial"/>
          <w:sz w:val="20"/>
          <w:szCs w:val="20"/>
          <w:color w:val="auto"/>
        </w:rPr>
        <w:t>(Unaudited)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Regulatory Assets and Liabilities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Regulatory assets and liabilities consist of the following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900" w:type="dxa"/>
            <w:vAlign w:val="bottom"/>
          </w:tcPr>
          <w:p>
            <w:pPr>
              <w:spacing w:after="0"/>
              <w:rPr>
                <w:sz w:val="22"/>
                <w:szCs w:val="22"/>
                <w:color w:val="auto"/>
              </w:rPr>
            </w:pPr>
          </w:p>
        </w:tc>
        <w:tc>
          <w:tcPr>
            <w:tcW w:w="3420" w:type="dxa"/>
            <w:vAlign w:val="bottom"/>
            <w:gridSpan w:val="6"/>
          </w:tcPr>
          <w:p>
            <w:pPr>
              <w:ind w:left="980"/>
              <w:spacing w:after="0"/>
              <w:rPr>
                <w:sz w:val="20"/>
                <w:szCs w:val="20"/>
                <w:color w:val="auto"/>
              </w:rPr>
            </w:pPr>
            <w:r>
              <w:rPr>
                <w:rFonts w:ascii="Arial" w:cs="Arial" w:eastAsia="Arial" w:hAnsi="Arial"/>
                <w:sz w:val="20"/>
                <w:szCs w:val="20"/>
                <w:b w:val="1"/>
                <w:bCs w:val="1"/>
                <w:color w:val="auto"/>
              </w:rPr>
              <w:t>June 30, 2019</w:t>
            </w:r>
          </w:p>
        </w:tc>
        <w:tc>
          <w:tcPr>
            <w:tcW w:w="240" w:type="dxa"/>
            <w:vAlign w:val="bottom"/>
          </w:tcPr>
          <w:p>
            <w:pPr>
              <w:spacing w:after="0"/>
              <w:rPr>
                <w:sz w:val="22"/>
                <w:szCs w:val="22"/>
                <w:color w:val="auto"/>
              </w:rPr>
            </w:pPr>
          </w:p>
        </w:tc>
        <w:tc>
          <w:tcPr>
            <w:tcW w:w="2860" w:type="dxa"/>
            <w:vAlign w:val="bottom"/>
            <w:gridSpan w:val="4"/>
          </w:tcPr>
          <w:p>
            <w:pPr>
              <w:jc w:val="right"/>
              <w:ind w:right="641"/>
              <w:spacing w:after="0"/>
              <w:rPr>
                <w:sz w:val="20"/>
                <w:szCs w:val="20"/>
                <w:color w:val="auto"/>
              </w:rPr>
            </w:pPr>
            <w:r>
              <w:rPr>
                <w:rFonts w:ascii="Arial" w:cs="Arial" w:eastAsia="Arial" w:hAnsi="Arial"/>
                <w:sz w:val="20"/>
                <w:szCs w:val="20"/>
                <w:b w:val="1"/>
                <w:bCs w:val="1"/>
                <w:color w:val="auto"/>
              </w:rPr>
              <w:t>December 31, 2018</w:t>
            </w: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9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Current</w:t>
            </w: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gridSpan w:val="2"/>
          </w:tcPr>
          <w:p>
            <w:pPr>
              <w:ind w:left="20"/>
              <w:spacing w:after="0"/>
              <w:rPr>
                <w:sz w:val="20"/>
                <w:szCs w:val="20"/>
                <w:color w:val="auto"/>
              </w:rPr>
            </w:pPr>
            <w:r>
              <w:rPr>
                <w:rFonts w:ascii="Arial" w:cs="Arial" w:eastAsia="Arial" w:hAnsi="Arial"/>
                <w:sz w:val="20"/>
                <w:szCs w:val="20"/>
                <w:b w:val="1"/>
                <w:bCs w:val="1"/>
                <w:color w:val="auto"/>
              </w:rPr>
              <w:t>Noncurrent</w:t>
            </w:r>
          </w:p>
        </w:tc>
        <w:tc>
          <w:tcPr>
            <w:tcW w:w="240" w:type="dxa"/>
            <w:vAlign w:val="bottom"/>
          </w:tcPr>
          <w:p>
            <w:pPr>
              <w:spacing w:after="0"/>
              <w:rPr>
                <w:sz w:val="22"/>
                <w:szCs w:val="22"/>
                <w:color w:val="auto"/>
              </w:rPr>
            </w:pPr>
          </w:p>
        </w:tc>
        <w:tc>
          <w:tcPr>
            <w:tcW w:w="1140" w:type="dxa"/>
            <w:vAlign w:val="bottom"/>
          </w:tcPr>
          <w:p>
            <w:pPr>
              <w:jc w:val="right"/>
              <w:ind w:right="241"/>
              <w:spacing w:after="0"/>
              <w:rPr>
                <w:sz w:val="20"/>
                <w:szCs w:val="20"/>
                <w:color w:val="auto"/>
              </w:rPr>
            </w:pPr>
            <w:r>
              <w:rPr>
                <w:rFonts w:ascii="Arial" w:cs="Arial" w:eastAsia="Arial" w:hAnsi="Arial"/>
                <w:sz w:val="20"/>
                <w:szCs w:val="20"/>
                <w:b w:val="1"/>
                <w:bCs w:val="1"/>
                <w:color w:val="auto"/>
              </w:rPr>
              <w:t>Current</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101"/>
              <w:spacing w:after="0"/>
              <w:rPr>
                <w:sz w:val="20"/>
                <w:szCs w:val="20"/>
                <w:color w:val="auto"/>
              </w:rPr>
            </w:pPr>
            <w:r>
              <w:rPr>
                <w:rFonts w:ascii="Arial" w:cs="Arial" w:eastAsia="Arial" w:hAnsi="Arial"/>
                <w:sz w:val="20"/>
                <w:szCs w:val="20"/>
                <w:b w:val="1"/>
                <w:bCs w:val="1"/>
                <w:color w:val="auto"/>
                <w:w w:val="92"/>
              </w:rPr>
              <w:t>Noncurrent</w:t>
            </w:r>
          </w:p>
        </w:tc>
        <w:tc>
          <w:tcPr>
            <w:tcW w:w="0" w:type="dxa"/>
            <w:vAlign w:val="bottom"/>
          </w:tcPr>
          <w:p>
            <w:pPr>
              <w:spacing w:after="0"/>
              <w:rPr>
                <w:sz w:val="1"/>
                <w:szCs w:val="1"/>
                <w:color w:val="auto"/>
              </w:rPr>
            </w:pPr>
          </w:p>
        </w:tc>
      </w:tr>
      <w:tr>
        <w:trPr>
          <w:trHeight w:val="23"/>
        </w:trPr>
        <w:tc>
          <w:tcPr>
            <w:tcW w:w="4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Regulatory assets:</w:t>
            </w: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4900" w:type="dxa"/>
            <w:vAlign w:val="bottom"/>
          </w:tcPr>
          <w:p>
            <w:pPr>
              <w:ind w:left="280"/>
              <w:spacing w:after="0"/>
              <w:rPr>
                <w:sz w:val="20"/>
                <w:szCs w:val="20"/>
                <w:color w:val="auto"/>
              </w:rPr>
            </w:pPr>
            <w:r>
              <w:rPr>
                <w:rFonts w:ascii="Arial" w:cs="Arial" w:eastAsia="Arial" w:hAnsi="Arial"/>
                <w:sz w:val="20"/>
                <w:szCs w:val="20"/>
                <w:color w:val="auto"/>
              </w:rPr>
              <w:t>Price risk management</w:t>
            </w:r>
          </w:p>
        </w:tc>
        <w:tc>
          <w:tcPr>
            <w:tcW w:w="1040" w:type="dxa"/>
            <w:vAlign w:val="bottom"/>
          </w:tcPr>
          <w:p>
            <w:pPr>
              <w:jc w:val="right"/>
              <w:ind w:right="821"/>
              <w:spacing w:after="0"/>
              <w:rPr>
                <w:sz w:val="20"/>
                <w:szCs w:val="20"/>
                <w:color w:val="auto"/>
              </w:rPr>
            </w:pPr>
            <w:r>
              <w:rPr>
                <w:rFonts w:ascii="Arial" w:cs="Arial" w:eastAsia="Arial" w:hAnsi="Arial"/>
                <w:sz w:val="20"/>
                <w:szCs w:val="20"/>
                <w:color w:val="auto"/>
                <w:w w:val="89"/>
              </w:rPr>
              <w:t>$</w:t>
            </w:r>
          </w:p>
        </w:tc>
        <w:tc>
          <w:tcPr>
            <w:tcW w:w="340" w:type="dxa"/>
            <w:vAlign w:val="bottom"/>
          </w:tcPr>
          <w:p>
            <w:pPr>
              <w:jc w:val="right"/>
              <w:ind w:right="21"/>
              <w:spacing w:after="0"/>
              <w:rPr>
                <w:sz w:val="20"/>
                <w:szCs w:val="20"/>
                <w:color w:val="auto"/>
              </w:rPr>
            </w:pPr>
            <w:r>
              <w:rPr>
                <w:rFonts w:ascii="Arial" w:cs="Arial" w:eastAsia="Arial" w:hAnsi="Arial"/>
                <w:sz w:val="20"/>
                <w:szCs w:val="20"/>
                <w:color w:val="auto"/>
                <w:w w:val="89"/>
              </w:rPr>
              <w:t>20</w:t>
            </w:r>
          </w:p>
        </w:tc>
        <w:tc>
          <w:tcPr>
            <w:tcW w:w="3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200" w:type="dxa"/>
            <w:vAlign w:val="bottom"/>
          </w:tcPr>
          <w:p>
            <w:pPr>
              <w:jc w:val="right"/>
              <w:ind w:right="1"/>
              <w:spacing w:after="0"/>
              <w:rPr>
                <w:sz w:val="20"/>
                <w:szCs w:val="20"/>
                <w:color w:val="auto"/>
              </w:rPr>
            </w:pPr>
            <w:r>
              <w:rPr>
                <w:rFonts w:ascii="Arial" w:cs="Arial" w:eastAsia="Arial" w:hAnsi="Arial"/>
                <w:sz w:val="20"/>
                <w:szCs w:val="20"/>
                <w:color w:val="auto"/>
              </w:rPr>
              <w:t>73</w:t>
            </w:r>
          </w:p>
        </w:tc>
        <w:tc>
          <w:tcPr>
            <w:tcW w:w="340" w:type="dxa"/>
            <w:vAlign w:val="bottom"/>
          </w:tcPr>
          <w:p>
            <w:pPr>
              <w:spacing w:after="0"/>
              <w:rPr>
                <w:sz w:val="22"/>
                <w:szCs w:val="22"/>
                <w:color w:val="auto"/>
              </w:rPr>
            </w:pPr>
          </w:p>
        </w:tc>
        <w:tc>
          <w:tcPr>
            <w:tcW w:w="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32</w:t>
            </w:r>
          </w:p>
        </w:tc>
        <w:tc>
          <w:tcPr>
            <w:tcW w:w="3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99</w:t>
            </w: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Pension and other postretirement plans</w:t>
            </w:r>
          </w:p>
        </w:tc>
        <w:tc>
          <w:tcPr>
            <w:tcW w:w="10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99"/>
              </w:rPr>
              <w:t>—</w:t>
            </w: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217</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222</w:t>
            </w:r>
          </w:p>
        </w:tc>
        <w:tc>
          <w:tcPr>
            <w:tcW w:w="0" w:type="dxa"/>
            <w:vAlign w:val="bottom"/>
          </w:tcPr>
          <w:p>
            <w:pPr>
              <w:spacing w:after="0"/>
              <w:rPr>
                <w:sz w:val="1"/>
                <w:szCs w:val="1"/>
                <w:color w:val="auto"/>
              </w:rPr>
            </w:pPr>
          </w:p>
        </w:tc>
      </w:tr>
      <w:tr>
        <w:trPr>
          <w:trHeight w:val="261"/>
        </w:trPr>
        <w:tc>
          <w:tcPr>
            <w:tcW w:w="4900" w:type="dxa"/>
            <w:vAlign w:val="bottom"/>
          </w:tcPr>
          <w:p>
            <w:pPr>
              <w:ind w:left="280"/>
              <w:spacing w:after="0"/>
              <w:rPr>
                <w:sz w:val="20"/>
                <w:szCs w:val="20"/>
                <w:color w:val="auto"/>
              </w:rPr>
            </w:pPr>
            <w:r>
              <w:rPr>
                <w:rFonts w:ascii="Arial" w:cs="Arial" w:eastAsia="Arial" w:hAnsi="Arial"/>
                <w:sz w:val="20"/>
                <w:szCs w:val="20"/>
                <w:color w:val="auto"/>
              </w:rPr>
              <w:t>Debt issuance costs</w:t>
            </w:r>
          </w:p>
        </w:tc>
        <w:tc>
          <w:tcPr>
            <w:tcW w:w="1040" w:type="dxa"/>
            <w:vAlign w:val="bottom"/>
          </w:tcPr>
          <w:p>
            <w:pPr>
              <w:spacing w:after="0"/>
              <w:rPr>
                <w:sz w:val="22"/>
                <w:szCs w:val="22"/>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w w:val="99"/>
              </w:rPr>
              <w:t>—</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
              <w:spacing w:after="0"/>
              <w:rPr>
                <w:sz w:val="20"/>
                <w:szCs w:val="20"/>
                <w:color w:val="auto"/>
              </w:rPr>
            </w:pPr>
            <w:r>
              <w:rPr>
                <w:rFonts w:ascii="Arial" w:cs="Arial" w:eastAsia="Arial" w:hAnsi="Arial"/>
                <w:sz w:val="20"/>
                <w:szCs w:val="20"/>
                <w:color w:val="auto"/>
              </w:rPr>
              <w:t>19</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Trojan decommissioning activities</w:t>
            </w:r>
          </w:p>
        </w:tc>
        <w:tc>
          <w:tcPr>
            <w:tcW w:w="10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99"/>
              </w:rPr>
              <w:t>—</w:t>
            </w: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25</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26</w:t>
            </w:r>
          </w:p>
        </w:tc>
        <w:tc>
          <w:tcPr>
            <w:tcW w:w="0" w:type="dxa"/>
            <w:vAlign w:val="bottom"/>
          </w:tcPr>
          <w:p>
            <w:pPr>
              <w:spacing w:after="0"/>
              <w:rPr>
                <w:sz w:val="1"/>
                <w:szCs w:val="1"/>
                <w:color w:val="auto"/>
              </w:rPr>
            </w:pPr>
          </w:p>
        </w:tc>
      </w:tr>
      <w:tr>
        <w:trPr>
          <w:trHeight w:val="261"/>
        </w:trPr>
        <w:tc>
          <w:tcPr>
            <w:tcW w:w="4900" w:type="dxa"/>
            <w:vAlign w:val="bottom"/>
          </w:tcPr>
          <w:p>
            <w:pPr>
              <w:ind w:left="280"/>
              <w:spacing w:after="0"/>
              <w:rPr>
                <w:sz w:val="20"/>
                <w:szCs w:val="20"/>
                <w:color w:val="auto"/>
              </w:rPr>
            </w:pPr>
            <w:r>
              <w:rPr>
                <w:rFonts w:ascii="Arial" w:cs="Arial" w:eastAsia="Arial" w:hAnsi="Arial"/>
                <w:sz w:val="20"/>
                <w:szCs w:val="20"/>
                <w:color w:val="auto"/>
              </w:rPr>
              <w:t>Other</w:t>
            </w:r>
          </w:p>
        </w:tc>
        <w:tc>
          <w:tcPr>
            <w:tcW w:w="1040" w:type="dxa"/>
            <w:vAlign w:val="bottom"/>
          </w:tcPr>
          <w:p>
            <w:pPr>
              <w:spacing w:after="0"/>
              <w:rPr>
                <w:sz w:val="22"/>
                <w:szCs w:val="22"/>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w w:val="89"/>
              </w:rPr>
              <w:t>17</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
              <w:spacing w:after="0"/>
              <w:rPr>
                <w:sz w:val="20"/>
                <w:szCs w:val="20"/>
                <w:color w:val="auto"/>
              </w:rPr>
            </w:pPr>
            <w:r>
              <w:rPr>
                <w:rFonts w:ascii="Arial" w:cs="Arial" w:eastAsia="Arial" w:hAnsi="Arial"/>
                <w:sz w:val="20"/>
                <w:szCs w:val="20"/>
                <w:color w:val="auto"/>
              </w:rPr>
              <w:t>46</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29</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38</w:t>
            </w:r>
          </w:p>
        </w:tc>
        <w:tc>
          <w:tcPr>
            <w:tcW w:w="0" w:type="dxa"/>
            <w:vAlign w:val="bottom"/>
          </w:tcPr>
          <w:p>
            <w:pPr>
              <w:spacing w:after="0"/>
              <w:rPr>
                <w:sz w:val="1"/>
                <w:szCs w:val="1"/>
                <w:color w:val="auto"/>
              </w:rPr>
            </w:pPr>
          </w:p>
        </w:tc>
      </w:tr>
      <w:tr>
        <w:trPr>
          <w:trHeight w:val="23"/>
        </w:trPr>
        <w:tc>
          <w:tcPr>
            <w:tcW w:w="4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20"/>
                <w:szCs w:val="20"/>
                <w:color w:val="auto"/>
              </w:rPr>
              <w:t>Total regulatory assets</w:t>
            </w:r>
          </w:p>
        </w:tc>
        <w:tc>
          <w:tcPr>
            <w:tcW w:w="1040" w:type="dxa"/>
            <w:vAlign w:val="bottom"/>
            <w:tcBorders>
              <w:bottom w:val="single" w:sz="8" w:color="auto"/>
            </w:tcBorders>
            <w:shd w:val="clear" w:color="auto" w:fill="CCEEFF"/>
          </w:tcPr>
          <w:p>
            <w:pPr>
              <w:jc w:val="right"/>
              <w:ind w:right="821"/>
              <w:spacing w:after="0"/>
              <w:rPr>
                <w:sz w:val="20"/>
                <w:szCs w:val="20"/>
                <w:color w:val="auto"/>
              </w:rPr>
            </w:pPr>
            <w:r>
              <w:rPr>
                <w:rFonts w:ascii="Arial" w:cs="Arial" w:eastAsia="Arial" w:hAnsi="Arial"/>
                <w:sz w:val="20"/>
                <w:szCs w:val="20"/>
                <w:color w:val="auto"/>
                <w:w w:val="89"/>
              </w:rPr>
              <w:t>$</w:t>
            </w:r>
          </w:p>
        </w:tc>
        <w:tc>
          <w:tcPr>
            <w:tcW w:w="3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37</w:t>
            </w:r>
          </w:p>
        </w:tc>
        <w:tc>
          <w:tcPr>
            <w:tcW w:w="3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380</w:t>
            </w:r>
          </w:p>
        </w:tc>
        <w:tc>
          <w:tcPr>
            <w:tcW w:w="3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61</w:t>
            </w:r>
          </w:p>
        </w:tc>
        <w:tc>
          <w:tcPr>
            <w:tcW w:w="3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401</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40"/>
              <w:spacing w:after="0"/>
              <w:rPr>
                <w:sz w:val="20"/>
                <w:szCs w:val="20"/>
                <w:color w:val="auto"/>
              </w:rPr>
            </w:pPr>
            <w:r>
              <w:rPr>
                <w:rFonts w:ascii="Arial" w:cs="Arial" w:eastAsia="Arial" w:hAnsi="Arial"/>
                <w:sz w:val="20"/>
                <w:szCs w:val="20"/>
                <w:color w:val="auto"/>
              </w:rPr>
              <w:t>Regulatory liabilities:</w:t>
            </w: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900" w:type="dxa"/>
            <w:vAlign w:val="bottom"/>
            <w:vMerge w:val="continue"/>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Asset retirement removal costs</w:t>
            </w:r>
          </w:p>
        </w:tc>
        <w:tc>
          <w:tcPr>
            <w:tcW w:w="104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20"/>
                <w:szCs w:val="20"/>
                <w:color w:val="auto"/>
                <w:w w:val="89"/>
              </w:rPr>
              <w:t>$</w:t>
            </w:r>
          </w:p>
        </w:tc>
        <w:tc>
          <w:tcPr>
            <w:tcW w:w="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99"/>
              </w:rPr>
              <w:t>—</w:t>
            </w: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1,001</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979</w:t>
            </w:r>
          </w:p>
        </w:tc>
        <w:tc>
          <w:tcPr>
            <w:tcW w:w="0" w:type="dxa"/>
            <w:vAlign w:val="bottom"/>
          </w:tcPr>
          <w:p>
            <w:pPr>
              <w:spacing w:after="0"/>
              <w:rPr>
                <w:sz w:val="1"/>
                <w:szCs w:val="1"/>
                <w:color w:val="auto"/>
              </w:rPr>
            </w:pPr>
          </w:p>
        </w:tc>
      </w:tr>
      <w:tr>
        <w:trPr>
          <w:trHeight w:val="261"/>
        </w:trPr>
        <w:tc>
          <w:tcPr>
            <w:tcW w:w="4900" w:type="dxa"/>
            <w:vAlign w:val="bottom"/>
          </w:tcPr>
          <w:p>
            <w:pPr>
              <w:ind w:left="280"/>
              <w:spacing w:after="0"/>
              <w:rPr>
                <w:sz w:val="20"/>
                <w:szCs w:val="20"/>
                <w:color w:val="auto"/>
              </w:rPr>
            </w:pPr>
            <w:r>
              <w:rPr>
                <w:rFonts w:ascii="Arial" w:cs="Arial" w:eastAsia="Arial" w:hAnsi="Arial"/>
                <w:sz w:val="20"/>
                <w:szCs w:val="20"/>
                <w:color w:val="auto"/>
              </w:rPr>
              <w:t>Deferred income taxes</w:t>
            </w:r>
          </w:p>
        </w:tc>
        <w:tc>
          <w:tcPr>
            <w:tcW w:w="1040" w:type="dxa"/>
            <w:vAlign w:val="bottom"/>
          </w:tcPr>
          <w:p>
            <w:pPr>
              <w:spacing w:after="0"/>
              <w:rPr>
                <w:sz w:val="22"/>
                <w:szCs w:val="22"/>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w w:val="99"/>
              </w:rPr>
              <w:t>—</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
              <w:spacing w:after="0"/>
              <w:rPr>
                <w:sz w:val="20"/>
                <w:szCs w:val="20"/>
                <w:color w:val="auto"/>
              </w:rPr>
            </w:pPr>
            <w:r>
              <w:rPr>
                <w:rFonts w:ascii="Arial" w:cs="Arial" w:eastAsia="Arial" w:hAnsi="Arial"/>
                <w:sz w:val="20"/>
                <w:szCs w:val="20"/>
                <w:color w:val="auto"/>
              </w:rPr>
              <w:t>265</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267</w:t>
            </w: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Trojan decommissioning activities</w:t>
            </w:r>
          </w:p>
        </w:tc>
        <w:tc>
          <w:tcPr>
            <w:tcW w:w="10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w:t>
            </w: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w:t>
            </w: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1"/>
        </w:trPr>
        <w:tc>
          <w:tcPr>
            <w:tcW w:w="4900" w:type="dxa"/>
            <w:vAlign w:val="bottom"/>
          </w:tcPr>
          <w:p>
            <w:pPr>
              <w:ind w:left="280"/>
              <w:spacing w:after="0"/>
              <w:rPr>
                <w:sz w:val="20"/>
                <w:szCs w:val="20"/>
                <w:color w:val="auto"/>
              </w:rPr>
            </w:pPr>
            <w:r>
              <w:rPr>
                <w:rFonts w:ascii="Arial" w:cs="Arial" w:eastAsia="Arial" w:hAnsi="Arial"/>
                <w:sz w:val="20"/>
                <w:szCs w:val="20"/>
                <w:color w:val="auto"/>
              </w:rPr>
              <w:t>Asset retirement obligations</w:t>
            </w:r>
          </w:p>
        </w:tc>
        <w:tc>
          <w:tcPr>
            <w:tcW w:w="1040" w:type="dxa"/>
            <w:vAlign w:val="bottom"/>
          </w:tcPr>
          <w:p>
            <w:pPr>
              <w:spacing w:after="0"/>
              <w:rPr>
                <w:sz w:val="22"/>
                <w:szCs w:val="22"/>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w w:val="99"/>
              </w:rPr>
              <w:t>—</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
              <w:spacing w:after="0"/>
              <w:rPr>
                <w:sz w:val="20"/>
                <w:szCs w:val="20"/>
                <w:color w:val="auto"/>
              </w:rPr>
            </w:pPr>
            <w:r>
              <w:rPr>
                <w:rFonts w:ascii="Arial" w:cs="Arial" w:eastAsia="Arial" w:hAnsi="Arial"/>
                <w:sz w:val="20"/>
                <w:szCs w:val="20"/>
                <w:color w:val="auto"/>
              </w:rPr>
              <w:t>54</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53</w:t>
            </w: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900" w:type="dxa"/>
            <w:vAlign w:val="bottom"/>
            <w:shd w:val="clear" w:color="auto" w:fill="CCEEFF"/>
          </w:tcPr>
          <w:p>
            <w:pPr>
              <w:ind w:left="280"/>
              <w:spacing w:after="0" w:line="283" w:lineRule="exact"/>
              <w:rPr>
                <w:sz w:val="20"/>
                <w:szCs w:val="20"/>
                <w:color w:val="auto"/>
              </w:rPr>
            </w:pPr>
            <w:r>
              <w:rPr>
                <w:rFonts w:ascii="Arial" w:cs="Arial" w:eastAsia="Arial" w:hAnsi="Arial"/>
                <w:sz w:val="20"/>
                <w:szCs w:val="20"/>
                <w:color w:val="auto"/>
              </w:rPr>
              <w:t>Tax Reform Deferral</w:t>
            </w:r>
            <w:r>
              <w:rPr>
                <w:rFonts w:ascii="Arial" w:cs="Arial" w:eastAsia="Arial" w:hAnsi="Arial"/>
                <w:sz w:val="25"/>
                <w:szCs w:val="25"/>
                <w:color w:val="auto"/>
                <w:vertAlign w:val="superscript"/>
              </w:rPr>
              <w:t>(1)</w:t>
            </w:r>
          </w:p>
        </w:tc>
        <w:tc>
          <w:tcPr>
            <w:tcW w:w="104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w w:val="89"/>
              </w:rPr>
              <w:t>22</w:t>
            </w: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12</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23</w:t>
            </w: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r>
        <w:trPr>
          <w:trHeight w:val="261"/>
        </w:trPr>
        <w:tc>
          <w:tcPr>
            <w:tcW w:w="4900" w:type="dxa"/>
            <w:vAlign w:val="bottom"/>
          </w:tcPr>
          <w:p>
            <w:pPr>
              <w:ind w:left="280"/>
              <w:spacing w:after="0"/>
              <w:rPr>
                <w:sz w:val="20"/>
                <w:szCs w:val="20"/>
                <w:color w:val="auto"/>
              </w:rPr>
            </w:pPr>
            <w:r>
              <w:rPr>
                <w:rFonts w:ascii="Arial" w:cs="Arial" w:eastAsia="Arial" w:hAnsi="Arial"/>
                <w:sz w:val="20"/>
                <w:szCs w:val="20"/>
                <w:color w:val="auto"/>
              </w:rPr>
              <w:t>Other</w:t>
            </w:r>
          </w:p>
        </w:tc>
        <w:tc>
          <w:tcPr>
            <w:tcW w:w="1040" w:type="dxa"/>
            <w:vAlign w:val="bottom"/>
          </w:tcPr>
          <w:p>
            <w:pPr>
              <w:spacing w:after="0"/>
              <w:rPr>
                <w:sz w:val="22"/>
                <w:szCs w:val="22"/>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w w:val="89"/>
              </w:rPr>
              <w:t>13</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
              <w:spacing w:after="0"/>
              <w:rPr>
                <w:sz w:val="20"/>
                <w:szCs w:val="20"/>
                <w:color w:val="auto"/>
              </w:rPr>
            </w:pPr>
            <w:r>
              <w:rPr>
                <w:rFonts w:ascii="Arial" w:cs="Arial" w:eastAsia="Arial" w:hAnsi="Arial"/>
                <w:sz w:val="20"/>
                <w:szCs w:val="20"/>
                <w:color w:val="auto"/>
              </w:rPr>
              <w:t>33</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12</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34</w:t>
            </w:r>
          </w:p>
        </w:tc>
        <w:tc>
          <w:tcPr>
            <w:tcW w:w="0" w:type="dxa"/>
            <w:vAlign w:val="bottom"/>
          </w:tcPr>
          <w:p>
            <w:pPr>
              <w:spacing w:after="0"/>
              <w:rPr>
                <w:sz w:val="1"/>
                <w:szCs w:val="1"/>
                <w:color w:val="auto"/>
              </w:rPr>
            </w:pPr>
          </w:p>
        </w:tc>
      </w:tr>
      <w:tr>
        <w:trPr>
          <w:trHeight w:val="23"/>
        </w:trPr>
        <w:tc>
          <w:tcPr>
            <w:tcW w:w="4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20"/>
                <w:szCs w:val="20"/>
                <w:color w:val="auto"/>
              </w:rPr>
              <w:t>Total regulatory liabilities</w:t>
            </w:r>
          </w:p>
        </w:tc>
        <w:tc>
          <w:tcPr>
            <w:tcW w:w="1040" w:type="dxa"/>
            <w:vAlign w:val="bottom"/>
            <w:tcBorders>
              <w:bottom w:val="single" w:sz="8" w:color="auto"/>
            </w:tcBorders>
            <w:shd w:val="clear" w:color="auto" w:fill="CCEEFF"/>
          </w:tcPr>
          <w:p>
            <w:pPr>
              <w:jc w:val="right"/>
              <w:ind w:right="821"/>
              <w:spacing w:after="0"/>
              <w:rPr>
                <w:sz w:val="20"/>
                <w:szCs w:val="20"/>
                <w:color w:val="auto"/>
              </w:rPr>
            </w:pPr>
            <w:r>
              <w:rPr>
                <w:rFonts w:ascii="Arial" w:cs="Arial" w:eastAsia="Arial" w:hAnsi="Arial"/>
                <w:sz w:val="20"/>
                <w:szCs w:val="20"/>
                <w:color w:val="auto"/>
                <w:w w:val="89"/>
              </w:rPr>
              <w:t>$</w:t>
            </w:r>
          </w:p>
        </w:tc>
        <w:tc>
          <w:tcPr>
            <w:tcW w:w="3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37</w:t>
            </w:r>
          </w:p>
        </w:tc>
        <w:tc>
          <w:tcPr>
            <w:tcW w:w="3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w w:val="87"/>
              </w:rPr>
              <w:t>(2)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1,365</w:t>
            </w:r>
          </w:p>
        </w:tc>
        <w:tc>
          <w:tcPr>
            <w:tcW w:w="3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36</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1,355</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Related to the deferral of the 2018 net tax benefits due to the change in corporate tax rate under TCJA, including interest.</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Included in Accrued expenses and other current liabilities in the condensed consolidated balance sheets.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860" w:type="dxa"/>
            <w:vAlign w:val="bottom"/>
          </w:tcPr>
          <w:p>
            <w:pPr>
              <w:spacing w:after="0"/>
              <w:rPr>
                <w:sz w:val="20"/>
                <w:szCs w:val="20"/>
                <w:color w:val="auto"/>
              </w:rPr>
            </w:pPr>
            <w:r>
              <w:rPr>
                <w:rFonts w:ascii="Arial" w:cs="Arial" w:eastAsia="Arial" w:hAnsi="Arial"/>
                <w:sz w:val="20"/>
                <w:szCs w:val="20"/>
                <w:b w:val="1"/>
                <w:bCs w:val="1"/>
                <w:color w:val="auto"/>
              </w:rPr>
              <w:t>Accrued Expenses and Other Current Liabilities</w:t>
            </w:r>
          </w:p>
        </w:tc>
        <w:tc>
          <w:tcPr>
            <w:tcW w:w="1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60" w:type="dxa"/>
            <w:vAlign w:val="bottom"/>
          </w:tcPr>
          <w:p>
            <w:pPr>
              <w:spacing w:after="0"/>
              <w:rPr>
                <w:sz w:val="22"/>
                <w:szCs w:val="22"/>
                <w:color w:val="auto"/>
              </w:rPr>
            </w:pPr>
          </w:p>
        </w:tc>
      </w:tr>
      <w:tr>
        <w:trPr>
          <w:trHeight w:val="459"/>
        </w:trPr>
        <w:tc>
          <w:tcPr>
            <w:tcW w:w="6860" w:type="dxa"/>
            <w:vAlign w:val="bottom"/>
          </w:tcPr>
          <w:p>
            <w:pPr>
              <w:spacing w:after="0"/>
              <w:rPr>
                <w:sz w:val="20"/>
                <w:szCs w:val="20"/>
                <w:color w:val="auto"/>
              </w:rPr>
            </w:pPr>
            <w:r>
              <w:rPr>
                <w:rFonts w:ascii="Arial" w:cs="Arial" w:eastAsia="Arial" w:hAnsi="Arial"/>
                <w:sz w:val="20"/>
                <w:szCs w:val="20"/>
                <w:color w:val="auto"/>
                <w:w w:val="94"/>
              </w:rPr>
              <w:t>Accrued expenses and other current liabilities consist of the following (in millions):</w:t>
            </w:r>
          </w:p>
        </w:tc>
        <w:tc>
          <w:tcPr>
            <w:tcW w:w="1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92"/>
        </w:trPr>
        <w:tc>
          <w:tcPr>
            <w:tcW w:w="686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20"/>
                <w:szCs w:val="20"/>
                <w:b w:val="1"/>
                <w:bCs w:val="1"/>
                <w:color w:val="auto"/>
              </w:rPr>
              <w:t>June 30, 2019</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jc w:val="right"/>
              <w:ind w:right="181"/>
              <w:spacing w:after="0"/>
              <w:rPr>
                <w:sz w:val="20"/>
                <w:szCs w:val="20"/>
                <w:color w:val="auto"/>
              </w:rPr>
            </w:pPr>
            <w:r>
              <w:rPr>
                <w:rFonts w:ascii="Arial" w:cs="Arial" w:eastAsia="Arial" w:hAnsi="Arial"/>
                <w:sz w:val="20"/>
                <w:szCs w:val="20"/>
                <w:b w:val="1"/>
                <w:bCs w:val="1"/>
                <w:color w:val="auto"/>
                <w:w w:val="92"/>
              </w:rPr>
              <w:t>December 31, 2018</w:t>
            </w:r>
          </w:p>
        </w:tc>
      </w:tr>
      <w:tr>
        <w:trPr>
          <w:trHeight w:val="23"/>
        </w:trPr>
        <w:tc>
          <w:tcPr>
            <w:tcW w:w="68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Accrued employee compensation and benefits</w:t>
            </w:r>
          </w:p>
        </w:tc>
        <w:tc>
          <w:tcPr>
            <w:tcW w:w="1720" w:type="dxa"/>
            <w:vAlign w:val="bottom"/>
            <w:tcBorders>
              <w:bottom w:val="single" w:sz="8" w:color="CCEEFF"/>
            </w:tcBorders>
            <w:shd w:val="clear" w:color="auto" w:fill="CCEEFF"/>
          </w:tcPr>
          <w:p>
            <w:pPr>
              <w:jc w:val="right"/>
              <w:ind w:right="1501"/>
              <w:spacing w:after="0"/>
              <w:rPr>
                <w:sz w:val="20"/>
                <w:szCs w:val="20"/>
                <w:color w:val="auto"/>
              </w:rPr>
            </w:pPr>
            <w:r>
              <w:rPr>
                <w:rFonts w:ascii="Arial" w:cs="Arial" w:eastAsia="Arial" w:hAnsi="Arial"/>
                <w:sz w:val="20"/>
                <w:szCs w:val="20"/>
                <w:color w:val="auto"/>
                <w:w w:val="89"/>
              </w:rPr>
              <w:t>$</w:t>
            </w:r>
          </w:p>
        </w:tc>
        <w:tc>
          <w:tcPr>
            <w:tcW w:w="4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58</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9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66</w:t>
            </w:r>
          </w:p>
        </w:tc>
      </w:tr>
      <w:tr>
        <w:trPr>
          <w:trHeight w:val="261"/>
        </w:trPr>
        <w:tc>
          <w:tcPr>
            <w:tcW w:w="6860" w:type="dxa"/>
            <w:vAlign w:val="bottom"/>
          </w:tcPr>
          <w:p>
            <w:pPr>
              <w:ind w:left="40"/>
              <w:spacing w:after="0"/>
              <w:rPr>
                <w:sz w:val="20"/>
                <w:szCs w:val="20"/>
                <w:color w:val="auto"/>
              </w:rPr>
            </w:pPr>
            <w:r>
              <w:rPr>
                <w:rFonts w:ascii="Arial" w:cs="Arial" w:eastAsia="Arial" w:hAnsi="Arial"/>
                <w:sz w:val="20"/>
                <w:szCs w:val="20"/>
                <w:color w:val="auto"/>
              </w:rPr>
              <w:t>Accrued taxes payable</w:t>
            </w:r>
          </w:p>
        </w:tc>
        <w:tc>
          <w:tcPr>
            <w:tcW w:w="1720" w:type="dxa"/>
            <w:vAlign w:val="bottom"/>
          </w:tcPr>
          <w:p>
            <w:pPr>
              <w:spacing w:after="0"/>
              <w:rPr>
                <w:sz w:val="22"/>
                <w:szCs w:val="22"/>
                <w:color w:val="auto"/>
              </w:rPr>
            </w:pPr>
          </w:p>
        </w:tc>
        <w:tc>
          <w:tcPr>
            <w:tcW w:w="440" w:type="dxa"/>
            <w:vAlign w:val="bottom"/>
          </w:tcPr>
          <w:p>
            <w:pPr>
              <w:jc w:val="right"/>
              <w:ind w:right="1"/>
              <w:spacing w:after="0"/>
              <w:rPr>
                <w:sz w:val="20"/>
                <w:szCs w:val="20"/>
                <w:color w:val="auto"/>
              </w:rPr>
            </w:pPr>
            <w:r>
              <w:rPr>
                <w:rFonts w:ascii="Arial" w:cs="Arial" w:eastAsia="Arial" w:hAnsi="Arial"/>
                <w:sz w:val="20"/>
                <w:szCs w:val="20"/>
                <w:color w:val="auto"/>
              </w:rPr>
              <w:t>29</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60" w:type="dxa"/>
            <w:vAlign w:val="bottom"/>
          </w:tcPr>
          <w:p>
            <w:pPr>
              <w:jc w:val="right"/>
              <w:ind w:right="1"/>
              <w:spacing w:after="0"/>
              <w:rPr>
                <w:sz w:val="20"/>
                <w:szCs w:val="20"/>
                <w:color w:val="auto"/>
              </w:rPr>
            </w:pPr>
            <w:r>
              <w:rPr>
                <w:rFonts w:ascii="Arial" w:cs="Arial" w:eastAsia="Arial" w:hAnsi="Arial"/>
                <w:sz w:val="20"/>
                <w:szCs w:val="20"/>
                <w:color w:val="auto"/>
              </w:rPr>
              <w:t>34</w:t>
            </w:r>
          </w:p>
        </w:tc>
      </w:tr>
      <w:tr>
        <w:trPr>
          <w:trHeight w:val="23"/>
        </w:trPr>
        <w:tc>
          <w:tcPr>
            <w:tcW w:w="68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6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Accrued interest payable</w:t>
            </w:r>
          </w:p>
        </w:tc>
        <w:tc>
          <w:tcPr>
            <w:tcW w:w="17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27</w:t>
            </w:r>
          </w:p>
        </w:tc>
      </w:tr>
      <w:tr>
        <w:trPr>
          <w:trHeight w:val="261"/>
        </w:trPr>
        <w:tc>
          <w:tcPr>
            <w:tcW w:w="6860" w:type="dxa"/>
            <w:vAlign w:val="bottom"/>
          </w:tcPr>
          <w:p>
            <w:pPr>
              <w:ind w:left="40"/>
              <w:spacing w:after="0"/>
              <w:rPr>
                <w:sz w:val="20"/>
                <w:szCs w:val="20"/>
                <w:color w:val="auto"/>
              </w:rPr>
            </w:pPr>
            <w:r>
              <w:rPr>
                <w:rFonts w:ascii="Arial" w:cs="Arial" w:eastAsia="Arial" w:hAnsi="Arial"/>
                <w:sz w:val="20"/>
                <w:szCs w:val="20"/>
                <w:color w:val="auto"/>
              </w:rPr>
              <w:t>Accrued dividends payable</w:t>
            </w:r>
          </w:p>
        </w:tc>
        <w:tc>
          <w:tcPr>
            <w:tcW w:w="1720" w:type="dxa"/>
            <w:vAlign w:val="bottom"/>
          </w:tcPr>
          <w:p>
            <w:pPr>
              <w:spacing w:after="0"/>
              <w:rPr>
                <w:sz w:val="22"/>
                <w:szCs w:val="22"/>
                <w:color w:val="auto"/>
              </w:rPr>
            </w:pPr>
          </w:p>
        </w:tc>
        <w:tc>
          <w:tcPr>
            <w:tcW w:w="440" w:type="dxa"/>
            <w:vAlign w:val="bottom"/>
          </w:tcPr>
          <w:p>
            <w:pPr>
              <w:jc w:val="right"/>
              <w:ind w:right="1"/>
              <w:spacing w:after="0"/>
              <w:rPr>
                <w:sz w:val="20"/>
                <w:szCs w:val="20"/>
                <w:color w:val="auto"/>
              </w:rPr>
            </w:pPr>
            <w:r>
              <w:rPr>
                <w:rFonts w:ascii="Arial" w:cs="Arial" w:eastAsia="Arial" w:hAnsi="Arial"/>
                <w:sz w:val="20"/>
                <w:szCs w:val="20"/>
                <w:color w:val="auto"/>
              </w:rPr>
              <w:t>35</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60" w:type="dxa"/>
            <w:vAlign w:val="bottom"/>
          </w:tcPr>
          <w:p>
            <w:pPr>
              <w:jc w:val="right"/>
              <w:ind w:right="1"/>
              <w:spacing w:after="0"/>
              <w:rPr>
                <w:sz w:val="20"/>
                <w:szCs w:val="20"/>
                <w:color w:val="auto"/>
              </w:rPr>
            </w:pPr>
            <w:r>
              <w:rPr>
                <w:rFonts w:ascii="Arial" w:cs="Arial" w:eastAsia="Arial" w:hAnsi="Arial"/>
                <w:sz w:val="20"/>
                <w:szCs w:val="20"/>
                <w:color w:val="auto"/>
              </w:rPr>
              <w:t>34</w:t>
            </w:r>
          </w:p>
        </w:tc>
      </w:tr>
      <w:tr>
        <w:trPr>
          <w:trHeight w:val="23"/>
        </w:trPr>
        <w:tc>
          <w:tcPr>
            <w:tcW w:w="68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6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Regulatory liabilities—current</w:t>
            </w:r>
          </w:p>
        </w:tc>
        <w:tc>
          <w:tcPr>
            <w:tcW w:w="17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36</w:t>
            </w:r>
          </w:p>
        </w:tc>
      </w:tr>
      <w:tr>
        <w:trPr>
          <w:trHeight w:val="261"/>
        </w:trPr>
        <w:tc>
          <w:tcPr>
            <w:tcW w:w="6860" w:type="dxa"/>
            <w:vAlign w:val="bottom"/>
          </w:tcPr>
          <w:p>
            <w:pPr>
              <w:ind w:left="40"/>
              <w:spacing w:after="0"/>
              <w:rPr>
                <w:sz w:val="20"/>
                <w:szCs w:val="20"/>
                <w:color w:val="auto"/>
              </w:rPr>
            </w:pPr>
            <w:r>
              <w:rPr>
                <w:rFonts w:ascii="Arial" w:cs="Arial" w:eastAsia="Arial" w:hAnsi="Arial"/>
                <w:sz w:val="20"/>
                <w:szCs w:val="20"/>
                <w:color w:val="auto"/>
              </w:rPr>
              <w:t>Other</w:t>
            </w:r>
          </w:p>
        </w:tc>
        <w:tc>
          <w:tcPr>
            <w:tcW w:w="1720" w:type="dxa"/>
            <w:vAlign w:val="bottom"/>
          </w:tcPr>
          <w:p>
            <w:pPr>
              <w:spacing w:after="0"/>
              <w:rPr>
                <w:sz w:val="22"/>
                <w:szCs w:val="22"/>
                <w:color w:val="auto"/>
              </w:rPr>
            </w:pPr>
          </w:p>
        </w:tc>
        <w:tc>
          <w:tcPr>
            <w:tcW w:w="440" w:type="dxa"/>
            <w:vAlign w:val="bottom"/>
          </w:tcPr>
          <w:p>
            <w:pPr>
              <w:jc w:val="right"/>
              <w:ind w:right="1"/>
              <w:spacing w:after="0"/>
              <w:rPr>
                <w:sz w:val="20"/>
                <w:szCs w:val="20"/>
                <w:color w:val="auto"/>
              </w:rPr>
            </w:pPr>
            <w:r>
              <w:rPr>
                <w:rFonts w:ascii="Arial" w:cs="Arial" w:eastAsia="Arial" w:hAnsi="Arial"/>
                <w:sz w:val="20"/>
                <w:szCs w:val="20"/>
                <w:color w:val="auto"/>
              </w:rPr>
              <w:t>63</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60" w:type="dxa"/>
            <w:vAlign w:val="bottom"/>
          </w:tcPr>
          <w:p>
            <w:pPr>
              <w:jc w:val="right"/>
              <w:ind w:right="1"/>
              <w:spacing w:after="0"/>
              <w:rPr>
                <w:sz w:val="20"/>
                <w:szCs w:val="20"/>
                <w:color w:val="auto"/>
              </w:rPr>
            </w:pPr>
            <w:r>
              <w:rPr>
                <w:rFonts w:ascii="Arial" w:cs="Arial" w:eastAsia="Arial" w:hAnsi="Arial"/>
                <w:sz w:val="20"/>
                <w:szCs w:val="20"/>
                <w:color w:val="auto"/>
              </w:rPr>
              <w:t>71</w:t>
            </w:r>
          </w:p>
        </w:tc>
      </w:tr>
      <w:tr>
        <w:trPr>
          <w:trHeight w:val="23"/>
        </w:trPr>
        <w:tc>
          <w:tcPr>
            <w:tcW w:w="68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72"/>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Total accrued expenses and other current liabilities</w:t>
            </w:r>
          </w:p>
        </w:tc>
        <w:tc>
          <w:tcPr>
            <w:tcW w:w="1720" w:type="dxa"/>
            <w:vAlign w:val="bottom"/>
            <w:tcBorders>
              <w:bottom w:val="single" w:sz="8" w:color="auto"/>
            </w:tcBorders>
            <w:shd w:val="clear" w:color="auto" w:fill="CCEEFF"/>
          </w:tcPr>
          <w:p>
            <w:pPr>
              <w:jc w:val="right"/>
              <w:ind w:right="1501"/>
              <w:spacing w:after="0"/>
              <w:rPr>
                <w:sz w:val="20"/>
                <w:szCs w:val="20"/>
                <w:color w:val="auto"/>
              </w:rPr>
            </w:pPr>
            <w:r>
              <w:rPr>
                <w:rFonts w:ascii="Arial" w:cs="Arial" w:eastAsia="Arial" w:hAnsi="Arial"/>
                <w:sz w:val="20"/>
                <w:szCs w:val="20"/>
                <w:color w:val="auto"/>
                <w:w w:val="89"/>
              </w:rPr>
              <w:t>$</w:t>
            </w:r>
          </w:p>
        </w:tc>
        <w:tc>
          <w:tcPr>
            <w:tcW w:w="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95"/>
              </w:rPr>
              <w:t>247</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268</w:t>
            </w:r>
          </w:p>
        </w:tc>
      </w:tr>
      <w:tr>
        <w:trPr>
          <w:trHeight w:val="20"/>
        </w:trPr>
        <w:tc>
          <w:tcPr>
            <w:tcW w:w="68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Credit Facilities</w:t>
      </w:r>
    </w:p>
    <w:p>
      <w:pPr>
        <w:spacing w:after="0" w:line="235"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color w:val="auto"/>
        </w:rPr>
        <w:t>As of December 31, 2018, PGE had a $500 million revolving credit facility scheduled to terminate in November 2021. On January 16, 2019, PGE executed an amendment to the credit facility extending the termination date to November 14, 2022 and allowing for unlimited extensions, provided that lenders with a pro-rata share of more than 50% approve the extension request. Pursuant to the terms of the agreement, the revolving credit facility may be used for general corporate purposes, as backup for commercial paper borrowings, and to permit the issuance of standby letters of credit. PGE may borrow for one, two, three, or six months at a fixed interest rate established at the time of</w:t>
      </w:r>
    </w:p>
    <w:p>
      <w:pPr>
        <w:sectPr>
          <w:pgSz w:w="11900" w:h="16838" w:orient="portrait"/>
          <w:cols w:equalWidth="0" w:num="1">
            <w:col w:w="11420"/>
          </w:cols>
          <w:pgMar w:left="240" w:top="125" w:right="239"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line="257" w:lineRule="auto"/>
        <w:rPr>
          <w:sz w:val="20"/>
          <w:szCs w:val="20"/>
          <w:color w:val="auto"/>
        </w:rPr>
      </w:pPr>
      <w:r>
        <w:rPr>
          <w:rFonts w:ascii="Arial" w:cs="Arial" w:eastAsia="Arial" w:hAnsi="Arial"/>
          <w:sz w:val="20"/>
          <w:szCs w:val="20"/>
          <w:b w:val="1"/>
          <w:bCs w:val="1"/>
          <w:color w:val="auto"/>
        </w:rPr>
        <w:t xml:space="preserve">PORTLAND GENERAL ELECTRIC COMPANY NOTES TO CONDENSED CONSOLIDATED FINANCIAL STATEMENTS, continued </w:t>
      </w:r>
      <w:r>
        <w:rPr>
          <w:rFonts w:ascii="Arial" w:cs="Arial" w:eastAsia="Arial" w:hAnsi="Arial"/>
          <w:sz w:val="20"/>
          <w:szCs w:val="20"/>
          <w:color w:val="auto"/>
        </w:rPr>
        <w:t>(Unaudited)</w:t>
      </w:r>
    </w:p>
    <w:p>
      <w:pPr>
        <w:spacing w:after="0" w:line="200" w:lineRule="exact"/>
        <w:rPr>
          <w:sz w:val="20"/>
          <w:szCs w:val="20"/>
          <w:color w:val="auto"/>
        </w:rPr>
      </w:pPr>
    </w:p>
    <w:p>
      <w:pPr>
        <w:spacing w:after="0" w:line="245" w:lineRule="exact"/>
        <w:rPr>
          <w:sz w:val="20"/>
          <w:szCs w:val="20"/>
          <w:color w:val="auto"/>
        </w:rPr>
      </w:pPr>
    </w:p>
    <w:p>
      <w:pPr>
        <w:ind w:right="20"/>
        <w:spacing w:after="0" w:line="263" w:lineRule="auto"/>
        <w:rPr>
          <w:sz w:val="20"/>
          <w:szCs w:val="20"/>
          <w:color w:val="auto"/>
        </w:rPr>
      </w:pPr>
      <w:r>
        <w:rPr>
          <w:rFonts w:ascii="Arial" w:cs="Arial" w:eastAsia="Arial" w:hAnsi="Arial"/>
          <w:sz w:val="19"/>
          <w:szCs w:val="19"/>
          <w:color w:val="auto"/>
        </w:rPr>
        <w:t>the borrowing, or at a variable interest rate for any period up to the then remaining term of the applicable credit facility. The revolving credit facility contains a provision that requires annual fees based on PGE</w:t>
      </w:r>
      <w:r>
        <w:rPr>
          <w:rFonts w:ascii="Arial" w:cs="Arial" w:eastAsia="Arial" w:hAnsi="Arial"/>
          <w:sz w:val="17"/>
          <w:szCs w:val="17"/>
          <w:color w:val="auto"/>
        </w:rPr>
        <w:t>’</w:t>
      </w:r>
      <w:r>
        <w:rPr>
          <w:rFonts w:ascii="Arial" w:cs="Arial" w:eastAsia="Arial" w:hAnsi="Arial"/>
          <w:sz w:val="19"/>
          <w:szCs w:val="19"/>
          <w:color w:val="auto"/>
        </w:rPr>
        <w:t>s unsecured credit ratings, and contains customary covenants and default provisions, including a requirement that limits consolidated indebtedness, as defined in the agreement, to 65% of total capitalization. As of June 30, 2019, PGE was in compliance with this covenant with a 50.3% debt-to-total capital ratio.</w:t>
      </w:r>
    </w:p>
    <w:p>
      <w:pPr>
        <w:spacing w:after="0" w:line="190"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The Company has a commercial paper program under which it may issue commercial paper for terms of up to 270 days, limited to the unused amount of credit under the revolving credit facility.</w:t>
      </w:r>
    </w:p>
    <w:p>
      <w:pPr>
        <w:spacing w:after="0" w:line="190" w:lineRule="exact"/>
        <w:rPr>
          <w:sz w:val="20"/>
          <w:szCs w:val="20"/>
          <w:color w:val="auto"/>
        </w:rPr>
      </w:pPr>
    </w:p>
    <w:p>
      <w:pPr>
        <w:ind w:right="560"/>
        <w:spacing w:after="0" w:line="260" w:lineRule="auto"/>
        <w:rPr>
          <w:sz w:val="20"/>
          <w:szCs w:val="20"/>
          <w:color w:val="auto"/>
        </w:rPr>
      </w:pPr>
      <w:r>
        <w:rPr>
          <w:rFonts w:ascii="Arial" w:cs="Arial" w:eastAsia="Arial" w:hAnsi="Arial"/>
          <w:sz w:val="20"/>
          <w:szCs w:val="20"/>
          <w:color w:val="auto"/>
        </w:rPr>
        <w:t>PGE classifies any borrowings under the revolving credit facility and outstanding commercial paper as Short-term debt on the condensed consolidated balance sheets.</w:t>
      </w:r>
    </w:p>
    <w:p>
      <w:pPr>
        <w:spacing w:after="0" w:line="190" w:lineRule="exact"/>
        <w:rPr>
          <w:sz w:val="20"/>
          <w:szCs w:val="20"/>
          <w:color w:val="auto"/>
        </w:rPr>
      </w:pPr>
    </w:p>
    <w:p>
      <w:pPr>
        <w:jc w:val="both"/>
        <w:ind w:right="120"/>
        <w:spacing w:after="0" w:line="260" w:lineRule="auto"/>
        <w:rPr>
          <w:sz w:val="20"/>
          <w:szCs w:val="20"/>
          <w:color w:val="auto"/>
        </w:rPr>
      </w:pPr>
      <w:r>
        <w:rPr>
          <w:rFonts w:ascii="Arial" w:cs="Arial" w:eastAsia="Arial" w:hAnsi="Arial"/>
          <w:sz w:val="20"/>
          <w:szCs w:val="20"/>
          <w:color w:val="auto"/>
        </w:rPr>
        <w:t>Under the revolving credit facility, as of June 30, 2019, PGE had no borrowings outstanding and $17 million of commercial paper issued. As a result, the aggregate unused available credit capacity under the revolving credit facility was $483 million.</w:t>
      </w:r>
    </w:p>
    <w:p>
      <w:pPr>
        <w:spacing w:after="0" w:line="190" w:lineRule="exact"/>
        <w:rPr>
          <w:sz w:val="20"/>
          <w:szCs w:val="20"/>
          <w:color w:val="auto"/>
        </w:rPr>
      </w:pPr>
    </w:p>
    <w:p>
      <w:pPr>
        <w:jc w:val="both"/>
        <w:ind w:right="120"/>
        <w:spacing w:after="0" w:line="246" w:lineRule="auto"/>
        <w:rPr>
          <w:sz w:val="20"/>
          <w:szCs w:val="20"/>
          <w:color w:val="auto"/>
        </w:rPr>
      </w:pPr>
      <w:r>
        <w:rPr>
          <w:rFonts w:ascii="Arial" w:cs="Arial" w:eastAsia="Arial" w:hAnsi="Arial"/>
          <w:sz w:val="20"/>
          <w:szCs w:val="20"/>
          <w:color w:val="auto"/>
        </w:rPr>
        <w:t>In addition, PGE has four letter of credit facilities that provide a total capacity of $220 million under which the Company can request letters of credit for original terms not to exceed one year. The issuance of such letters of credit is subject to the approval of the issuing institution. Under these facilities, letters of credit for a total of $60 million were outstanding as of June 30, 2019. Letters of credit issued are not reflected on the Company’s condensed consolidated balance sheets.</w:t>
      </w:r>
    </w:p>
    <w:p>
      <w:pPr>
        <w:spacing w:after="0" w:line="205" w:lineRule="exact"/>
        <w:rPr>
          <w:sz w:val="20"/>
          <w:szCs w:val="20"/>
          <w:color w:val="auto"/>
        </w:rPr>
      </w:pPr>
    </w:p>
    <w:p>
      <w:pPr>
        <w:ind w:right="420"/>
        <w:spacing w:after="0" w:line="260" w:lineRule="auto"/>
        <w:rPr>
          <w:sz w:val="20"/>
          <w:szCs w:val="20"/>
          <w:color w:val="auto"/>
        </w:rPr>
      </w:pPr>
      <w:r>
        <w:rPr>
          <w:rFonts w:ascii="Arial" w:cs="Arial" w:eastAsia="Arial" w:hAnsi="Arial"/>
          <w:sz w:val="20"/>
          <w:szCs w:val="20"/>
          <w:color w:val="auto"/>
        </w:rPr>
        <w:t>Pursuant to an order issued by the FERC, the Company is authorized to issue short-term debt in an aggregate amount of up to $900 million through February 6, 2020.</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Long-term Debt</w:t>
      </w:r>
    </w:p>
    <w:p>
      <w:pPr>
        <w:spacing w:after="0" w:line="235"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On April 12, 2019, PGE issued $200 million of 4.30% Series First Mortgage Bonds (FMBs) due in 2049. Proceeds from the transaction were used to repay the $300 million current portion of long-term debt on April 15, 2019.</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Defined Benefit Pension Plan Costs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Components of net periodic benefit cost under the defined benefit pension plan are as follows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800" w:type="dxa"/>
            <w:vAlign w:val="bottom"/>
          </w:tcPr>
          <w:p>
            <w:pPr>
              <w:spacing w:after="0"/>
              <w:rPr>
                <w:sz w:val="22"/>
                <w:szCs w:val="22"/>
                <w:color w:val="auto"/>
              </w:rPr>
            </w:pPr>
          </w:p>
        </w:tc>
        <w:tc>
          <w:tcPr>
            <w:tcW w:w="2860" w:type="dxa"/>
            <w:vAlign w:val="bottom"/>
            <w:gridSpan w:val="6"/>
          </w:tcPr>
          <w:p>
            <w:pPr>
              <w:ind w:left="120"/>
              <w:spacing w:after="0"/>
              <w:rPr>
                <w:sz w:val="20"/>
                <w:szCs w:val="20"/>
                <w:color w:val="auto"/>
              </w:rPr>
            </w:pPr>
            <w:r>
              <w:rPr>
                <w:rFonts w:ascii="Arial" w:cs="Arial" w:eastAsia="Arial" w:hAnsi="Arial"/>
                <w:sz w:val="20"/>
                <w:szCs w:val="20"/>
                <w:b w:val="1"/>
                <w:bCs w:val="1"/>
                <w:color w:val="auto"/>
                <w:w w:val="95"/>
              </w:rPr>
              <w:t>Three Months Ended June 30,</w:t>
            </w:r>
          </w:p>
        </w:tc>
        <w:tc>
          <w:tcPr>
            <w:tcW w:w="180" w:type="dxa"/>
            <w:vAlign w:val="bottom"/>
          </w:tcPr>
          <w:p>
            <w:pPr>
              <w:spacing w:after="0"/>
              <w:rPr>
                <w:sz w:val="22"/>
                <w:szCs w:val="22"/>
                <w:color w:val="auto"/>
              </w:rPr>
            </w:pPr>
          </w:p>
        </w:tc>
        <w:tc>
          <w:tcPr>
            <w:tcW w:w="2580" w:type="dxa"/>
            <w:vAlign w:val="bottom"/>
            <w:gridSpan w:val="4"/>
          </w:tcPr>
          <w:p>
            <w:pPr>
              <w:jc w:val="right"/>
              <w:ind w:right="101"/>
              <w:spacing w:after="0"/>
              <w:rPr>
                <w:sz w:val="20"/>
                <w:szCs w:val="20"/>
                <w:color w:val="auto"/>
              </w:rPr>
            </w:pPr>
            <w:r>
              <w:rPr>
                <w:rFonts w:ascii="Arial" w:cs="Arial" w:eastAsia="Arial" w:hAnsi="Arial"/>
                <w:sz w:val="20"/>
                <w:szCs w:val="20"/>
                <w:b w:val="1"/>
                <w:bCs w:val="1"/>
                <w:color w:val="auto"/>
                <w:w w:val="91"/>
              </w:rPr>
              <w:t>Six Months Ended June 30,</w:t>
            </w:r>
          </w:p>
        </w:tc>
      </w:tr>
      <w:tr>
        <w:trPr>
          <w:trHeight w:val="23"/>
        </w:trPr>
        <w:tc>
          <w:tcPr>
            <w:tcW w:w="58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4"/>
        </w:trPr>
        <w:tc>
          <w:tcPr>
            <w:tcW w:w="58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2019</w:t>
            </w: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ind w:right="341"/>
              <w:spacing w:after="0"/>
              <w:rPr>
                <w:sz w:val="20"/>
                <w:szCs w:val="20"/>
                <w:color w:val="auto"/>
              </w:rPr>
            </w:pPr>
            <w:r>
              <w:rPr>
                <w:rFonts w:ascii="Arial" w:cs="Arial" w:eastAsia="Arial" w:hAnsi="Arial"/>
                <w:sz w:val="20"/>
                <w:szCs w:val="20"/>
                <w:b w:val="1"/>
                <w:bCs w:val="1"/>
                <w:color w:val="auto"/>
              </w:rPr>
              <w:t>2018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341"/>
              <w:spacing w:after="0"/>
              <w:rPr>
                <w:sz w:val="20"/>
                <w:szCs w:val="20"/>
                <w:color w:val="auto"/>
              </w:rPr>
            </w:pPr>
            <w:r>
              <w:rPr>
                <w:rFonts w:ascii="Arial" w:cs="Arial" w:eastAsia="Arial" w:hAnsi="Arial"/>
                <w:sz w:val="20"/>
                <w:szCs w:val="20"/>
                <w:b w:val="1"/>
                <w:bCs w:val="1"/>
                <w:color w:val="auto"/>
              </w:rPr>
              <w:t>2019</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41"/>
              <w:spacing w:after="0"/>
              <w:rPr>
                <w:sz w:val="20"/>
                <w:szCs w:val="20"/>
                <w:color w:val="auto"/>
              </w:rPr>
            </w:pPr>
            <w:r>
              <w:rPr>
                <w:rFonts w:ascii="Arial" w:cs="Arial" w:eastAsia="Arial" w:hAnsi="Arial"/>
                <w:sz w:val="20"/>
                <w:szCs w:val="20"/>
                <w:b w:val="1"/>
                <w:bCs w:val="1"/>
                <w:color w:val="auto"/>
              </w:rPr>
              <w:t>2018</w:t>
            </w:r>
          </w:p>
        </w:tc>
      </w:tr>
      <w:tr>
        <w:trPr>
          <w:trHeight w:val="23"/>
        </w:trPr>
        <w:tc>
          <w:tcPr>
            <w:tcW w:w="58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Service cost</w:t>
            </w:r>
          </w:p>
        </w:tc>
        <w:tc>
          <w:tcPr>
            <w:tcW w:w="860" w:type="dxa"/>
            <w:vAlign w:val="bottom"/>
            <w:tcBorders>
              <w:bottom w:val="single" w:sz="8" w:color="CCEEFF"/>
            </w:tcBorders>
            <w:shd w:val="clear" w:color="auto" w:fill="CCEEFF"/>
          </w:tcPr>
          <w:p>
            <w:pPr>
              <w:jc w:val="right"/>
              <w:ind w:right="641"/>
              <w:spacing w:after="0"/>
              <w:rPr>
                <w:sz w:val="20"/>
                <w:szCs w:val="20"/>
                <w:color w:val="auto"/>
              </w:rPr>
            </w:pPr>
            <w:r>
              <w:rPr>
                <w:rFonts w:ascii="Arial" w:cs="Arial" w:eastAsia="Arial" w:hAnsi="Arial"/>
                <w:sz w:val="20"/>
                <w:szCs w:val="20"/>
                <w:color w:val="auto"/>
                <w:w w:val="89"/>
              </w:rPr>
              <w:t>$</w:t>
            </w:r>
          </w:p>
        </w:tc>
        <w:tc>
          <w:tcPr>
            <w:tcW w:w="4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4</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8</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10</w:t>
            </w:r>
          </w:p>
        </w:tc>
      </w:tr>
      <w:tr>
        <w:trPr>
          <w:trHeight w:val="261"/>
        </w:trPr>
        <w:tc>
          <w:tcPr>
            <w:tcW w:w="5800" w:type="dxa"/>
            <w:vAlign w:val="bottom"/>
          </w:tcPr>
          <w:p>
            <w:pPr>
              <w:ind w:left="40"/>
              <w:spacing w:after="0"/>
              <w:rPr>
                <w:sz w:val="20"/>
                <w:szCs w:val="20"/>
                <w:color w:val="auto"/>
              </w:rPr>
            </w:pPr>
            <w:r>
              <w:rPr>
                <w:rFonts w:ascii="Arial" w:cs="Arial" w:eastAsia="Arial" w:hAnsi="Arial"/>
                <w:sz w:val="20"/>
                <w:szCs w:val="20"/>
                <w:color w:val="auto"/>
              </w:rPr>
              <w:t>Interest cost*</w:t>
            </w:r>
          </w:p>
        </w:tc>
        <w:tc>
          <w:tcPr>
            <w:tcW w:w="860" w:type="dxa"/>
            <w:vAlign w:val="bottom"/>
          </w:tcPr>
          <w:p>
            <w:pPr>
              <w:spacing w:after="0"/>
              <w:rPr>
                <w:sz w:val="22"/>
                <w:szCs w:val="22"/>
                <w:color w:val="auto"/>
              </w:rPr>
            </w:pPr>
          </w:p>
        </w:tc>
        <w:tc>
          <w:tcPr>
            <w:tcW w:w="420" w:type="dxa"/>
            <w:vAlign w:val="bottom"/>
          </w:tcPr>
          <w:p>
            <w:pPr>
              <w:jc w:val="right"/>
              <w:ind w:right="21"/>
              <w:spacing w:after="0"/>
              <w:rPr>
                <w:sz w:val="20"/>
                <w:szCs w:val="20"/>
                <w:color w:val="auto"/>
              </w:rPr>
            </w:pPr>
            <w:r>
              <w:rPr>
                <w:rFonts w:ascii="Arial" w:cs="Arial" w:eastAsia="Arial" w:hAnsi="Arial"/>
                <w:sz w:val="20"/>
                <w:szCs w:val="20"/>
                <w:color w:val="auto"/>
              </w:rPr>
              <w:t>9</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ind w:right="21"/>
              <w:spacing w:after="0"/>
              <w:rPr>
                <w:sz w:val="20"/>
                <w:szCs w:val="20"/>
                <w:color w:val="auto"/>
              </w:rPr>
            </w:pPr>
            <w:r>
              <w:rPr>
                <w:rFonts w:ascii="Arial" w:cs="Arial" w:eastAsia="Arial" w:hAnsi="Arial"/>
                <w:sz w:val="20"/>
                <w:szCs w:val="20"/>
                <w:color w:val="auto"/>
              </w:rPr>
              <w:t>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17</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16</w:t>
            </w:r>
          </w:p>
        </w:tc>
      </w:tr>
      <w:tr>
        <w:trPr>
          <w:trHeight w:val="23"/>
        </w:trPr>
        <w:tc>
          <w:tcPr>
            <w:tcW w:w="5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Expected return on plan assets*</w:t>
            </w:r>
          </w:p>
        </w:tc>
        <w:tc>
          <w:tcPr>
            <w:tcW w:w="8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95"/>
              </w:rPr>
              <w:t>(10)</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(20)</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(21)</w:t>
            </w:r>
          </w:p>
        </w:tc>
      </w:tr>
      <w:tr>
        <w:trPr>
          <w:trHeight w:val="261"/>
        </w:trPr>
        <w:tc>
          <w:tcPr>
            <w:tcW w:w="5800" w:type="dxa"/>
            <w:vAlign w:val="bottom"/>
          </w:tcPr>
          <w:p>
            <w:pPr>
              <w:ind w:left="40"/>
              <w:spacing w:after="0"/>
              <w:rPr>
                <w:sz w:val="20"/>
                <w:szCs w:val="20"/>
                <w:color w:val="auto"/>
              </w:rPr>
            </w:pPr>
            <w:r>
              <w:rPr>
                <w:rFonts w:ascii="Arial" w:cs="Arial" w:eastAsia="Arial" w:hAnsi="Arial"/>
                <w:sz w:val="20"/>
                <w:szCs w:val="20"/>
                <w:color w:val="auto"/>
              </w:rPr>
              <w:t>Amortization of net actuarial loss*</w:t>
            </w:r>
          </w:p>
        </w:tc>
        <w:tc>
          <w:tcPr>
            <w:tcW w:w="860" w:type="dxa"/>
            <w:vAlign w:val="bottom"/>
          </w:tcPr>
          <w:p>
            <w:pPr>
              <w:spacing w:after="0"/>
              <w:rPr>
                <w:sz w:val="22"/>
                <w:szCs w:val="22"/>
                <w:color w:val="auto"/>
              </w:rPr>
            </w:pPr>
          </w:p>
        </w:tc>
        <w:tc>
          <w:tcPr>
            <w:tcW w:w="420" w:type="dxa"/>
            <w:vAlign w:val="bottom"/>
          </w:tcPr>
          <w:p>
            <w:pPr>
              <w:jc w:val="right"/>
              <w:ind w:right="21"/>
              <w:spacing w:after="0"/>
              <w:rPr>
                <w:sz w:val="20"/>
                <w:szCs w:val="20"/>
                <w:color w:val="auto"/>
              </w:rPr>
            </w:pPr>
            <w:r>
              <w:rPr>
                <w:rFonts w:ascii="Arial" w:cs="Arial" w:eastAsia="Arial" w:hAnsi="Arial"/>
                <w:sz w:val="20"/>
                <w:szCs w:val="20"/>
                <w:color w:val="auto"/>
              </w:rPr>
              <w:t>2</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ind w:right="21"/>
              <w:spacing w:after="0"/>
              <w:rPr>
                <w:sz w:val="20"/>
                <w:szCs w:val="20"/>
                <w:color w:val="auto"/>
              </w:rPr>
            </w:pPr>
            <w:r>
              <w:rPr>
                <w:rFonts w:ascii="Arial" w:cs="Arial" w:eastAsia="Arial" w:hAnsi="Arial"/>
                <w:sz w:val="20"/>
                <w:szCs w:val="20"/>
                <w:color w:val="auto"/>
              </w:rPr>
              <w:t>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5</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8</w:t>
            </w:r>
          </w:p>
        </w:tc>
      </w:tr>
      <w:tr>
        <w:trPr>
          <w:trHeight w:val="23"/>
        </w:trPr>
        <w:tc>
          <w:tcPr>
            <w:tcW w:w="58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2"/>
        </w:trPr>
        <w:tc>
          <w:tcPr>
            <w:tcW w:w="5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Net periodic benefit cost</w:t>
            </w:r>
          </w:p>
        </w:tc>
        <w:tc>
          <w:tcPr>
            <w:tcW w:w="860" w:type="dxa"/>
            <w:vAlign w:val="bottom"/>
            <w:tcBorders>
              <w:bottom w:val="single" w:sz="8" w:color="auto"/>
            </w:tcBorders>
            <w:shd w:val="clear" w:color="auto" w:fill="CCEEFF"/>
          </w:tcPr>
          <w:p>
            <w:pPr>
              <w:jc w:val="right"/>
              <w:ind w:right="641"/>
              <w:spacing w:after="0"/>
              <w:rPr>
                <w:sz w:val="20"/>
                <w:szCs w:val="20"/>
                <w:color w:val="auto"/>
              </w:rPr>
            </w:pPr>
            <w:r>
              <w:rPr>
                <w:rFonts w:ascii="Arial" w:cs="Arial" w:eastAsia="Arial" w:hAnsi="Arial"/>
                <w:sz w:val="20"/>
                <w:szCs w:val="20"/>
                <w:color w:val="auto"/>
                <w:w w:val="89"/>
              </w:rPr>
              <w:t>$</w:t>
            </w:r>
          </w:p>
        </w:tc>
        <w:tc>
          <w:tcPr>
            <w:tcW w:w="4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5</w:t>
            </w: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10</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13</w:t>
            </w:r>
          </w:p>
        </w:tc>
      </w:tr>
      <w:tr>
        <w:trPr>
          <w:trHeight w:val="20"/>
        </w:trPr>
        <w:tc>
          <w:tcPr>
            <w:tcW w:w="58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700" w:firstLine="8"/>
        <w:spacing w:after="0" w:line="277" w:lineRule="auto"/>
        <w:tabs>
          <w:tab w:leader="none" w:pos="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expense portion of non-service cost components are included in Miscellaneous income, net within Other income on the Company’s condensed consolidated statements of income and comprehensive income.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ind w:left="360" w:right="1880"/>
        <w:spacing w:after="0" w:line="257" w:lineRule="auto"/>
        <w:rPr>
          <w:sz w:val="20"/>
          <w:szCs w:val="20"/>
          <w:color w:val="auto"/>
        </w:rPr>
      </w:pPr>
      <w:r>
        <w:rPr>
          <w:rFonts w:ascii="Arial" w:cs="Arial" w:eastAsia="Arial" w:hAnsi="Arial"/>
          <w:sz w:val="20"/>
          <w:szCs w:val="20"/>
          <w:b w:val="1"/>
          <w:bCs w:val="1"/>
          <w:color w:val="auto"/>
        </w:rPr>
        <w:t xml:space="preserve">PORTLAND GENERAL ELECTRIC COMPANY NOTES TO CONDENSED CONSOLIDATED FINANCIAL STATEMENTS, continued </w:t>
      </w:r>
      <w:r>
        <w:rPr>
          <w:rFonts w:ascii="Arial" w:cs="Arial" w:eastAsia="Arial" w:hAnsi="Arial"/>
          <w:sz w:val="20"/>
          <w:szCs w:val="20"/>
          <w:color w:val="auto"/>
        </w:rPr>
        <w:t>(Unaudited)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FAIR VALUE OF FINANCIAL INSTRUMENTS</w:t>
      </w:r>
    </w:p>
    <w:p>
      <w:pPr>
        <w:spacing w:after="0" w:line="235" w:lineRule="exact"/>
        <w:rPr>
          <w:sz w:val="20"/>
          <w:szCs w:val="20"/>
          <w:color w:val="auto"/>
        </w:rPr>
      </w:pPr>
    </w:p>
    <w:p>
      <w:pPr>
        <w:ind w:right="80"/>
        <w:spacing w:after="0" w:line="263" w:lineRule="auto"/>
        <w:rPr>
          <w:sz w:val="20"/>
          <w:szCs w:val="20"/>
          <w:color w:val="auto"/>
        </w:rPr>
      </w:pPr>
      <w:r>
        <w:rPr>
          <w:rFonts w:ascii="Arial" w:cs="Arial" w:eastAsia="Arial" w:hAnsi="Arial"/>
          <w:sz w:val="19"/>
          <w:szCs w:val="19"/>
          <w:color w:val="auto"/>
        </w:rPr>
        <w:t>PGE determines the fair value of financial instruments, both assets and liabilities recognized and not recognized in the Company’s condensed consolidated balance sheets, for which it is practicable to estimate fair value as of June 30, 2019 and December 31, 2018. PGE then classifies these financial assets and liabilities based on a fair value hierarchy that is applied to prioritize the inputs to the valuation techniques used to measure fair value. The three levels of the fair value hierarchy and application to the Company are:</w:t>
      </w:r>
    </w:p>
    <w:p>
      <w:pPr>
        <w:spacing w:after="0" w:line="190"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20"/>
          <w:szCs w:val="20"/>
          <w:i w:val="1"/>
          <w:iCs w:val="1"/>
          <w:color w:val="auto"/>
        </w:rPr>
        <w:t>Level 1</w:t>
      </w:r>
      <w:r>
        <w:rPr>
          <w:sz w:val="20"/>
          <w:szCs w:val="20"/>
          <w:color w:val="auto"/>
        </w:rPr>
        <w:tab/>
      </w:r>
      <w:r>
        <w:rPr>
          <w:rFonts w:ascii="Arial" w:cs="Arial" w:eastAsia="Arial" w:hAnsi="Arial"/>
          <w:sz w:val="16"/>
          <w:szCs w:val="16"/>
          <w:color w:val="auto"/>
        </w:rPr>
        <w:t>Quoted prices are available in active markets for identical assets or liabilities as of the measurement date;</w:t>
      </w:r>
    </w:p>
    <w:p>
      <w:pPr>
        <w:spacing w:after="0" w:line="121" w:lineRule="exact"/>
        <w:rPr>
          <w:sz w:val="20"/>
          <w:szCs w:val="20"/>
          <w:color w:val="auto"/>
        </w:rPr>
      </w:pPr>
    </w:p>
    <w:p>
      <w:pPr>
        <w:ind w:left="660" w:right="140"/>
        <w:spacing w:after="0" w:line="387" w:lineRule="auto"/>
        <w:rPr>
          <w:sz w:val="20"/>
          <w:szCs w:val="20"/>
          <w:color w:val="auto"/>
        </w:rPr>
      </w:pPr>
      <w:r>
        <w:rPr>
          <w:rFonts w:ascii="Arial" w:cs="Arial" w:eastAsia="Arial" w:hAnsi="Arial"/>
          <w:sz w:val="20"/>
          <w:szCs w:val="20"/>
          <w:i w:val="1"/>
          <w:iCs w:val="1"/>
          <w:color w:val="auto"/>
        </w:rPr>
        <w:t xml:space="preserve">Level 2 </w:t>
      </w:r>
      <w:r>
        <w:rPr>
          <w:rFonts w:ascii="Arial" w:cs="Arial" w:eastAsia="Arial" w:hAnsi="Arial"/>
          <w:sz w:val="20"/>
          <w:szCs w:val="20"/>
          <w:color w:val="auto"/>
        </w:rPr>
        <w:t>Pricing inputs include those that are directly or indirectly observable in the marketplace as of the measurement date; and</w:t>
      </w:r>
      <w:r>
        <w:rPr>
          <w:rFonts w:ascii="Arial" w:cs="Arial" w:eastAsia="Arial" w:hAnsi="Arial"/>
          <w:sz w:val="20"/>
          <w:szCs w:val="20"/>
          <w:i w:val="1"/>
          <w:iCs w:val="1"/>
          <w:color w:val="auto"/>
        </w:rPr>
        <w:t xml:space="preserve"> Level 3 </w:t>
      </w:r>
      <w:r>
        <w:rPr>
          <w:rFonts w:ascii="Arial" w:cs="Arial" w:eastAsia="Arial" w:hAnsi="Arial"/>
          <w:sz w:val="20"/>
          <w:szCs w:val="20"/>
          <w:color w:val="auto"/>
        </w:rPr>
        <w:t>Pricing inputs include significant inputs that are unobservable for the asset or liability.</w:t>
      </w:r>
    </w:p>
    <w:p>
      <w:pPr>
        <w:spacing w:after="0" w:line="69"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Financial assets and liabilities are classified in their entirety based on the lowest level of input that is significant to the fair value measurement. The Company’s assessment of the significance of a particular input to the fair value measurement requires judgment, and may affect the valuation of fair value assets and liabilities and their placement within the fair value hierarchy. Assets measured at fair value using net asset value (NAV) as a practical expedient are not categorized in the fair value hierarchy. These assets are listed in the totals of the fair value hierarchy to permit the reconciliation to amounts presented in the financial statements.</w:t>
      </w:r>
    </w:p>
    <w:p>
      <w:pPr>
        <w:spacing w:after="0" w:line="194"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PGE recognizes transfers between levels in the fair value hierarchy as of the end of the reporting period for all its financial instruments. Changes to market liquidity conditions, the availability of observable inputs, or changes in the economic structure of a security marketplace may require transfer of the securities between levels. There were no significant transfers between levels during the three and six months ended June 30, 2019 and 2018, except those presented in this note.</w:t>
      </w:r>
    </w:p>
    <w:p>
      <w:pPr>
        <w:spacing w:after="0" w:line="200" w:lineRule="exact"/>
        <w:rPr>
          <w:sz w:val="20"/>
          <w:szCs w:val="20"/>
          <w:color w:val="auto"/>
        </w:rPr>
      </w:pP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00"/>
          </w:cols>
          <w:pgMar w:left="240" w:top="125" w:right="3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ind w:left="280" w:right="1960"/>
        <w:spacing w:after="0" w:line="257" w:lineRule="auto"/>
        <w:rPr>
          <w:sz w:val="20"/>
          <w:szCs w:val="20"/>
          <w:color w:val="auto"/>
        </w:rPr>
      </w:pPr>
      <w:r>
        <w:rPr>
          <w:rFonts w:ascii="Arial" w:cs="Arial" w:eastAsia="Arial" w:hAnsi="Arial"/>
          <w:sz w:val="20"/>
          <w:szCs w:val="20"/>
          <w:b w:val="1"/>
          <w:bCs w:val="1"/>
          <w:color w:val="auto"/>
        </w:rPr>
        <w:t xml:space="preserve">PORTLAND GENERAL ELECTRIC COMPANY NOTES TO CONDENSED CONSOLIDATED FINANCIAL STATEMENTS, continued </w:t>
      </w:r>
      <w:r>
        <w:rPr>
          <w:rFonts w:ascii="Arial" w:cs="Arial" w:eastAsia="Arial" w:hAnsi="Arial"/>
          <w:sz w:val="20"/>
          <w:szCs w:val="20"/>
          <w:color w:val="auto"/>
        </w:rPr>
        <w:t>(Unaudited)</w:t>
      </w:r>
    </w:p>
    <w:p>
      <w:pPr>
        <w:spacing w:after="0" w:line="200" w:lineRule="exact"/>
        <w:rPr>
          <w:sz w:val="20"/>
          <w:szCs w:val="20"/>
          <w:color w:val="auto"/>
        </w:rPr>
      </w:pPr>
    </w:p>
    <w:p>
      <w:pPr>
        <w:spacing w:after="0" w:line="24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Company’s financial assets and liabilities whose values were recognized at fair value are as follows by level within the fair value hierarchy (in millions):</w:t>
      </w:r>
    </w:p>
    <w:p>
      <w:pPr>
        <w:spacing w:after="0" w:line="117" w:lineRule="exact"/>
        <w:rPr>
          <w:sz w:val="20"/>
          <w:szCs w:val="20"/>
          <w:color w:val="auto"/>
        </w:rPr>
      </w:pPr>
    </w:p>
    <w:tbl>
      <w:tblPr>
        <w:tblLayout w:type="fixed"/>
        <w:tblInd w:w="80" w:type="dxa"/>
        <w:tblCellMar>
          <w:top w:w="0" w:type="dxa"/>
          <w:left w:w="0" w:type="dxa"/>
          <w:bottom w:w="0" w:type="dxa"/>
          <w:right w:w="0" w:type="dxa"/>
        </w:tblCellMar>
      </w:tblPr>
      <w:tr>
        <w:trPr>
          <w:trHeight w:val="256"/>
        </w:trPr>
        <w:tc>
          <w:tcPr>
            <w:tcW w:w="4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20" w:type="dxa"/>
            <w:vAlign w:val="bottom"/>
            <w:gridSpan w:val="6"/>
          </w:tcPr>
          <w:p>
            <w:pPr>
              <w:jc w:val="center"/>
              <w:ind w:right="1"/>
              <w:spacing w:after="0"/>
              <w:rPr>
                <w:sz w:val="20"/>
                <w:szCs w:val="20"/>
                <w:color w:val="auto"/>
              </w:rPr>
            </w:pPr>
            <w:r>
              <w:rPr>
                <w:rFonts w:ascii="Arial" w:cs="Arial" w:eastAsia="Arial" w:hAnsi="Arial"/>
                <w:sz w:val="20"/>
                <w:szCs w:val="20"/>
                <w:b w:val="1"/>
                <w:bCs w:val="1"/>
                <w:color w:val="auto"/>
                <w:w w:val="88"/>
              </w:rPr>
              <w:t>As of June 30, 2019</w:t>
            </w: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ind w:left="60"/>
              <w:spacing w:after="0"/>
              <w:rPr>
                <w:sz w:val="20"/>
                <w:szCs w:val="20"/>
                <w:color w:val="auto"/>
              </w:rPr>
            </w:pPr>
            <w:r>
              <w:rPr>
                <w:rFonts w:ascii="Arial" w:cs="Arial" w:eastAsia="Arial" w:hAnsi="Arial"/>
                <w:sz w:val="20"/>
                <w:szCs w:val="20"/>
                <w:b w:val="1"/>
                <w:bCs w:val="1"/>
                <w:color w:val="auto"/>
              </w:rPr>
              <w:t>Level 1</w:t>
            </w:r>
          </w:p>
        </w:tc>
        <w:tc>
          <w:tcPr>
            <w:tcW w:w="180" w:type="dxa"/>
            <w:vAlign w:val="bottom"/>
          </w:tcPr>
          <w:p>
            <w:pPr>
              <w:spacing w:after="0"/>
              <w:rPr>
                <w:sz w:val="24"/>
                <w:szCs w:val="24"/>
                <w:color w:val="auto"/>
              </w:rPr>
            </w:pPr>
          </w:p>
        </w:tc>
        <w:tc>
          <w:tcPr>
            <w:tcW w:w="880" w:type="dxa"/>
            <w:vAlign w:val="bottom"/>
          </w:tcPr>
          <w:p>
            <w:pPr>
              <w:jc w:val="right"/>
              <w:ind w:right="101"/>
              <w:spacing w:after="0"/>
              <w:rPr>
                <w:sz w:val="20"/>
                <w:szCs w:val="20"/>
                <w:color w:val="auto"/>
              </w:rPr>
            </w:pPr>
            <w:r>
              <w:rPr>
                <w:rFonts w:ascii="Arial" w:cs="Arial" w:eastAsia="Arial" w:hAnsi="Arial"/>
                <w:sz w:val="20"/>
                <w:szCs w:val="20"/>
                <w:b w:val="1"/>
                <w:bCs w:val="1"/>
                <w:color w:val="auto"/>
                <w:w w:val="97"/>
              </w:rPr>
              <w:t>Level 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20"/>
                <w:szCs w:val="20"/>
                <w:b w:val="1"/>
                <w:bCs w:val="1"/>
                <w:color w:val="auto"/>
                <w:w w:val="91"/>
              </w:rPr>
              <w:t>Level 3</w:t>
            </w:r>
          </w:p>
        </w:tc>
        <w:tc>
          <w:tcPr>
            <w:tcW w:w="180" w:type="dxa"/>
            <w:vAlign w:val="bottom"/>
          </w:tcPr>
          <w:p>
            <w:pPr>
              <w:spacing w:after="0"/>
              <w:rPr>
                <w:sz w:val="24"/>
                <w:szCs w:val="24"/>
                <w:color w:val="auto"/>
              </w:rPr>
            </w:pPr>
          </w:p>
        </w:tc>
        <w:tc>
          <w:tcPr>
            <w:tcW w:w="1180" w:type="dxa"/>
            <w:vAlign w:val="bottom"/>
            <w:gridSpan w:val="2"/>
          </w:tcPr>
          <w:p>
            <w:pPr>
              <w:ind w:left="60"/>
              <w:spacing w:after="0" w:line="277" w:lineRule="exact"/>
              <w:rPr>
                <w:sz w:val="20"/>
                <w:szCs w:val="20"/>
                <w:color w:val="auto"/>
              </w:rPr>
            </w:pPr>
            <w:r>
              <w:rPr>
                <w:rFonts w:ascii="Arial" w:cs="Arial" w:eastAsia="Arial" w:hAnsi="Arial"/>
                <w:sz w:val="20"/>
                <w:szCs w:val="20"/>
                <w:b w:val="1"/>
                <w:bCs w:val="1"/>
                <w:color w:val="auto"/>
              </w:rPr>
              <w:t>Other</w:t>
            </w:r>
            <w:r>
              <w:rPr>
                <w:rFonts w:ascii="Arial" w:cs="Arial" w:eastAsia="Arial" w:hAnsi="Arial"/>
                <w:sz w:val="25"/>
                <w:szCs w:val="25"/>
                <w:b w:val="1"/>
                <w:bCs w:val="1"/>
                <w:color w:val="auto"/>
                <w:vertAlign w:val="superscript"/>
              </w:rPr>
              <w:t>(2)</w:t>
            </w:r>
          </w:p>
        </w:tc>
        <w:tc>
          <w:tcPr>
            <w:tcW w:w="220" w:type="dxa"/>
            <w:vAlign w:val="bottom"/>
          </w:tcPr>
          <w:p>
            <w:pPr>
              <w:spacing w:after="0"/>
              <w:rPr>
                <w:sz w:val="24"/>
                <w:szCs w:val="24"/>
                <w:color w:val="auto"/>
              </w:rPr>
            </w:pPr>
          </w:p>
        </w:tc>
        <w:tc>
          <w:tcPr>
            <w:tcW w:w="900" w:type="dxa"/>
            <w:vAlign w:val="bottom"/>
          </w:tcPr>
          <w:p>
            <w:pPr>
              <w:jc w:val="right"/>
              <w:ind w:right="261"/>
              <w:spacing w:after="0"/>
              <w:rPr>
                <w:sz w:val="20"/>
                <w:szCs w:val="20"/>
                <w:color w:val="auto"/>
              </w:rPr>
            </w:pPr>
            <w:r>
              <w:rPr>
                <w:rFonts w:ascii="Arial" w:cs="Arial" w:eastAsia="Arial" w:hAnsi="Arial"/>
                <w:sz w:val="20"/>
                <w:szCs w:val="20"/>
                <w:b w:val="1"/>
                <w:bCs w:val="1"/>
                <w:color w:val="auto"/>
              </w:rPr>
              <w:t>Total</w:t>
            </w:r>
          </w:p>
        </w:tc>
        <w:tc>
          <w:tcPr>
            <w:tcW w:w="0" w:type="dxa"/>
            <w:vAlign w:val="bottom"/>
          </w:tcPr>
          <w:p>
            <w:pPr>
              <w:spacing w:after="0"/>
              <w:rPr>
                <w:sz w:val="1"/>
                <w:szCs w:val="1"/>
                <w:color w:val="auto"/>
              </w:rPr>
            </w:pPr>
          </w:p>
        </w:tc>
      </w:tr>
      <w:tr>
        <w:trPr>
          <w:trHeight w:val="244"/>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4740" w:type="dxa"/>
            <w:vAlign w:val="bottom"/>
          </w:tcPr>
          <w:p>
            <w:pPr>
              <w:ind w:left="260"/>
              <w:spacing w:after="0"/>
              <w:rPr>
                <w:sz w:val="20"/>
                <w:szCs w:val="20"/>
                <w:color w:val="auto"/>
              </w:rPr>
            </w:pPr>
            <w:r>
              <w:rPr>
                <w:rFonts w:ascii="Arial" w:cs="Arial" w:eastAsia="Arial" w:hAnsi="Arial"/>
                <w:sz w:val="20"/>
                <w:szCs w:val="20"/>
                <w:color w:val="auto"/>
              </w:rPr>
              <w:t>Cash equivalents</w:t>
            </w: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11</w:t>
            </w:r>
          </w:p>
        </w:tc>
        <w:tc>
          <w:tcPr>
            <w:tcW w:w="2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48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8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740" w:type="dxa"/>
            <w:vAlign w:val="bottom"/>
            <w:shd w:val="clear" w:color="auto" w:fill="CCEEFF"/>
          </w:tcPr>
          <w:p>
            <w:pPr>
              <w:ind w:left="260"/>
              <w:spacing w:after="0" w:line="283" w:lineRule="exact"/>
              <w:rPr>
                <w:sz w:val="20"/>
                <w:szCs w:val="20"/>
                <w:color w:val="auto"/>
              </w:rPr>
            </w:pPr>
            <w:r>
              <w:rPr>
                <w:rFonts w:ascii="Arial" w:cs="Arial" w:eastAsia="Arial" w:hAnsi="Arial"/>
                <w:sz w:val="20"/>
                <w:szCs w:val="20"/>
                <w:color w:val="auto"/>
              </w:rPr>
              <w:t xml:space="preserve">Nuclear decommissioning trust: </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740" w:type="dxa"/>
            <w:vAlign w:val="bottom"/>
          </w:tcPr>
          <w:p>
            <w:pPr>
              <w:ind w:left="480"/>
              <w:spacing w:after="0"/>
              <w:rPr>
                <w:sz w:val="20"/>
                <w:szCs w:val="20"/>
                <w:color w:val="auto"/>
              </w:rPr>
            </w:pPr>
            <w:r>
              <w:rPr>
                <w:rFonts w:ascii="Arial" w:cs="Arial" w:eastAsia="Arial" w:hAnsi="Arial"/>
                <w:sz w:val="20"/>
                <w:szCs w:val="20"/>
                <w:color w:val="auto"/>
              </w:rPr>
              <w:t>Debt securities:</w:t>
            </w: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7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20"/>
                <w:szCs w:val="20"/>
                <w:color w:val="auto"/>
              </w:rPr>
              <w:t>Domestic government</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13</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261"/>
        </w:trPr>
        <w:tc>
          <w:tcPr>
            <w:tcW w:w="4740" w:type="dxa"/>
            <w:vAlign w:val="bottom"/>
          </w:tcPr>
          <w:p>
            <w:pPr>
              <w:ind w:left="700"/>
              <w:spacing w:after="0"/>
              <w:rPr>
                <w:sz w:val="20"/>
                <w:szCs w:val="20"/>
                <w:color w:val="auto"/>
              </w:rPr>
            </w:pPr>
            <w:r>
              <w:rPr>
                <w:rFonts w:ascii="Arial" w:cs="Arial" w:eastAsia="Arial" w:hAnsi="Arial"/>
                <w:sz w:val="20"/>
                <w:szCs w:val="20"/>
                <w:color w:val="auto"/>
              </w:rPr>
              <w:t>Corporate credit</w:t>
            </w:r>
          </w:p>
        </w:tc>
        <w:tc>
          <w:tcPr>
            <w:tcW w:w="200" w:type="dxa"/>
            <w:vAlign w:val="bottom"/>
          </w:tcPr>
          <w:p>
            <w:pPr>
              <w:spacing w:after="0"/>
              <w:rPr>
                <w:sz w:val="22"/>
                <w:szCs w:val="22"/>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12</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2"/>
                <w:szCs w:val="22"/>
                <w:color w:val="auto"/>
              </w:rPr>
            </w:pP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740" w:type="dxa"/>
            <w:vAlign w:val="bottom"/>
            <w:shd w:val="clear" w:color="auto" w:fill="CCEEFF"/>
          </w:tcPr>
          <w:p>
            <w:pPr>
              <w:ind w:left="480"/>
              <w:spacing w:after="0" w:line="283" w:lineRule="exact"/>
              <w:rPr>
                <w:sz w:val="20"/>
                <w:szCs w:val="20"/>
                <w:color w:val="auto"/>
              </w:rPr>
            </w:pPr>
            <w:r>
              <w:rPr>
                <w:rFonts w:ascii="Arial" w:cs="Arial" w:eastAsia="Arial" w:hAnsi="Arial"/>
                <w:sz w:val="20"/>
                <w:szCs w:val="20"/>
                <w:color w:val="auto"/>
              </w:rPr>
              <w:t xml:space="preserve">Money market funds measured at NAV </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11</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284"/>
        </w:trPr>
        <w:tc>
          <w:tcPr>
            <w:tcW w:w="4740" w:type="dxa"/>
            <w:vAlign w:val="bottom"/>
          </w:tcPr>
          <w:p>
            <w:pPr>
              <w:ind w:left="260"/>
              <w:spacing w:after="0" w:line="283" w:lineRule="exact"/>
              <w:rPr>
                <w:sz w:val="20"/>
                <w:szCs w:val="20"/>
                <w:color w:val="auto"/>
              </w:rPr>
            </w:pPr>
            <w:r>
              <w:rPr>
                <w:rFonts w:ascii="Arial" w:cs="Arial" w:eastAsia="Arial" w:hAnsi="Arial"/>
                <w:sz w:val="20"/>
                <w:szCs w:val="20"/>
                <w:color w:val="auto"/>
              </w:rPr>
              <w:t xml:space="preserve">Non-qualified benefit plan trust: </w:t>
            </w:r>
            <w:r>
              <w:rPr>
                <w:rFonts w:ascii="Arial" w:cs="Arial" w:eastAsia="Arial" w:hAnsi="Arial"/>
                <w:sz w:val="25"/>
                <w:szCs w:val="25"/>
                <w:color w:val="auto"/>
                <w:vertAlign w:val="superscript"/>
              </w:rPr>
              <w:t>(3)</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20"/>
                <w:szCs w:val="20"/>
                <w:color w:val="auto"/>
              </w:rPr>
              <w:t>Money market funds</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61"/>
        </w:trPr>
        <w:tc>
          <w:tcPr>
            <w:tcW w:w="4740" w:type="dxa"/>
            <w:vAlign w:val="bottom"/>
          </w:tcPr>
          <w:p>
            <w:pPr>
              <w:ind w:left="480"/>
              <w:spacing w:after="0"/>
              <w:rPr>
                <w:sz w:val="20"/>
                <w:szCs w:val="20"/>
                <w:color w:val="auto"/>
              </w:rPr>
            </w:pPr>
            <w:r>
              <w:rPr>
                <w:rFonts w:ascii="Arial" w:cs="Arial" w:eastAsia="Arial" w:hAnsi="Arial"/>
                <w:sz w:val="20"/>
                <w:szCs w:val="20"/>
                <w:color w:val="auto"/>
              </w:rPr>
              <w:t>Equity securities</w:t>
            </w:r>
          </w:p>
        </w:tc>
        <w:tc>
          <w:tcPr>
            <w:tcW w:w="20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6</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2"/>
                <w:szCs w:val="22"/>
                <w:color w:val="auto"/>
              </w:rPr>
            </w:pP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20"/>
                <w:szCs w:val="20"/>
                <w:color w:val="auto"/>
              </w:rPr>
              <w:t>Debt securities—domestic government</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84"/>
        </w:trPr>
        <w:tc>
          <w:tcPr>
            <w:tcW w:w="4740" w:type="dxa"/>
            <w:vAlign w:val="bottom"/>
          </w:tcPr>
          <w:p>
            <w:pPr>
              <w:ind w:left="260"/>
              <w:spacing w:after="0" w:line="283" w:lineRule="exact"/>
              <w:rPr>
                <w:sz w:val="20"/>
                <w:szCs w:val="20"/>
                <w:color w:val="auto"/>
              </w:rPr>
            </w:pPr>
            <w:r>
              <w:rPr>
                <w:rFonts w:ascii="Arial" w:cs="Arial" w:eastAsia="Arial" w:hAnsi="Arial"/>
                <w:sz w:val="20"/>
                <w:szCs w:val="20"/>
                <w:color w:val="auto"/>
              </w:rPr>
              <w:t xml:space="preserve">Price risk management activities: </w:t>
            </w:r>
            <w:r>
              <w:rPr>
                <w:rFonts w:ascii="Arial" w:cs="Arial" w:eastAsia="Arial" w:hAnsi="Arial"/>
                <w:sz w:val="25"/>
                <w:szCs w:val="25"/>
                <w:color w:val="auto"/>
                <w:vertAlign w:val="superscript"/>
              </w:rPr>
              <w:t>(1) (4)</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20"/>
                <w:szCs w:val="20"/>
                <w:color w:val="auto"/>
              </w:rPr>
              <w:t>Electricity</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14</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61"/>
        </w:trPr>
        <w:tc>
          <w:tcPr>
            <w:tcW w:w="4740" w:type="dxa"/>
            <w:vAlign w:val="bottom"/>
          </w:tcPr>
          <w:p>
            <w:pPr>
              <w:ind w:left="480"/>
              <w:spacing w:after="0"/>
              <w:rPr>
                <w:sz w:val="20"/>
                <w:szCs w:val="20"/>
                <w:color w:val="auto"/>
              </w:rPr>
            </w:pPr>
            <w:r>
              <w:rPr>
                <w:rFonts w:ascii="Arial" w:cs="Arial" w:eastAsia="Arial" w:hAnsi="Arial"/>
                <w:sz w:val="20"/>
                <w:szCs w:val="20"/>
                <w:color w:val="auto"/>
              </w:rPr>
              <w:t>Natural gas</w:t>
            </w:r>
          </w:p>
        </w:tc>
        <w:tc>
          <w:tcPr>
            <w:tcW w:w="200" w:type="dxa"/>
            <w:vAlign w:val="bottom"/>
          </w:tcPr>
          <w:p>
            <w:pPr>
              <w:spacing w:after="0"/>
              <w:rPr>
                <w:sz w:val="22"/>
                <w:szCs w:val="22"/>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1</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2"/>
                <w:szCs w:val="22"/>
                <w:color w:val="auto"/>
              </w:rPr>
            </w:pP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23"/>
        </w:trPr>
        <w:tc>
          <w:tcPr>
            <w:tcW w:w="4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7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29</w:t>
            </w:r>
          </w:p>
        </w:tc>
        <w:tc>
          <w:tcPr>
            <w:tcW w:w="2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46</w:t>
            </w:r>
          </w:p>
        </w:tc>
        <w:tc>
          <w:tcPr>
            <w:tcW w:w="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w:t>
            </w:r>
          </w:p>
        </w:tc>
        <w:tc>
          <w:tcPr>
            <w:tcW w:w="2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11</w:t>
            </w:r>
          </w:p>
        </w:tc>
        <w:tc>
          <w:tcPr>
            <w:tcW w:w="2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88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0"/>
                <w:szCs w:val="20"/>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7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740" w:type="dxa"/>
            <w:vAlign w:val="bottom"/>
            <w:shd w:val="clear" w:color="auto" w:fill="CCEEFF"/>
          </w:tcPr>
          <w:p>
            <w:pPr>
              <w:ind w:left="260"/>
              <w:spacing w:after="0" w:line="283" w:lineRule="exact"/>
              <w:rPr>
                <w:sz w:val="20"/>
                <w:szCs w:val="20"/>
                <w:color w:val="auto"/>
              </w:rPr>
            </w:pPr>
            <w:r>
              <w:rPr>
                <w:rFonts w:ascii="Arial" w:cs="Arial" w:eastAsia="Arial" w:hAnsi="Arial"/>
                <w:sz w:val="20"/>
                <w:szCs w:val="20"/>
                <w:color w:val="auto"/>
              </w:rPr>
              <w:t xml:space="preserve">Price risk management activities: </w:t>
            </w:r>
            <w:r>
              <w:rPr>
                <w:rFonts w:ascii="Arial" w:cs="Arial" w:eastAsia="Arial" w:hAnsi="Arial"/>
                <w:sz w:val="25"/>
                <w:szCs w:val="25"/>
                <w:color w:val="auto"/>
                <w:vertAlign w:val="superscript"/>
              </w:rPr>
              <w:t>(1) (4)</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740" w:type="dxa"/>
            <w:vAlign w:val="bottom"/>
          </w:tcPr>
          <w:p>
            <w:pPr>
              <w:ind w:left="480"/>
              <w:spacing w:after="0"/>
              <w:rPr>
                <w:sz w:val="20"/>
                <w:szCs w:val="20"/>
                <w:color w:val="auto"/>
              </w:rPr>
            </w:pPr>
            <w:r>
              <w:rPr>
                <w:rFonts w:ascii="Arial" w:cs="Arial" w:eastAsia="Arial" w:hAnsi="Arial"/>
                <w:sz w:val="20"/>
                <w:szCs w:val="20"/>
                <w:color w:val="auto"/>
              </w:rPr>
              <w:t>Electricity</w:t>
            </w: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6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8</w:t>
            </w:r>
          </w:p>
        </w:tc>
        <w:tc>
          <w:tcPr>
            <w:tcW w:w="48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69</w:t>
            </w:r>
          </w:p>
        </w:tc>
        <w:tc>
          <w:tcPr>
            <w:tcW w:w="2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8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77</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20"/>
                <w:szCs w:val="20"/>
                <w:color w:val="auto"/>
              </w:rPr>
              <w:t>Natural gas</w:t>
            </w:r>
          </w:p>
        </w:tc>
        <w:tc>
          <w:tcPr>
            <w:tcW w:w="2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34</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5</w:t>
            </w:r>
          </w:p>
        </w:tc>
        <w:tc>
          <w:tcPr>
            <w:tcW w:w="2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39</w:t>
            </w:r>
          </w:p>
        </w:tc>
        <w:tc>
          <w:tcPr>
            <w:tcW w:w="0" w:type="dxa"/>
            <w:vAlign w:val="bottom"/>
          </w:tcPr>
          <w:p>
            <w:pPr>
              <w:spacing w:after="0"/>
              <w:rPr>
                <w:sz w:val="1"/>
                <w:szCs w:val="1"/>
                <w:color w:val="auto"/>
              </w:rPr>
            </w:pPr>
          </w:p>
        </w:tc>
      </w:tr>
      <w:tr>
        <w:trPr>
          <w:trHeight w:val="254"/>
        </w:trPr>
        <w:tc>
          <w:tcPr>
            <w:tcW w:w="4740" w:type="dxa"/>
            <w:vAlign w:val="bottom"/>
          </w:tcPr>
          <w:p>
            <w:pPr>
              <w:spacing w:after="0"/>
              <w:rPr>
                <w:sz w:val="22"/>
                <w:szCs w:val="22"/>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2"/>
                <w:szCs w:val="22"/>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42</w:t>
            </w:r>
          </w:p>
        </w:tc>
        <w:tc>
          <w:tcPr>
            <w:tcW w:w="8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74</w:t>
            </w:r>
          </w:p>
        </w:tc>
        <w:tc>
          <w:tcPr>
            <w:tcW w:w="220" w:type="dxa"/>
            <w:vAlign w:val="bottom"/>
          </w:tcPr>
          <w:p>
            <w:pPr>
              <w:spacing w:after="0"/>
              <w:rPr>
                <w:sz w:val="22"/>
                <w:szCs w:val="22"/>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2"/>
                <w:szCs w:val="22"/>
                <w:color w:val="auto"/>
              </w:rPr>
            </w:pPr>
          </w:p>
        </w:tc>
        <w:tc>
          <w:tcPr>
            <w:tcW w:w="22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90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116</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640" w:hanging="332"/>
        <w:spacing w:after="0" w:line="258"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Activities are subject to regulation, with certain gains and losses deferred pursuant to regulatory accounting and included in Regulatory assets or Regulatory liabilities as appropriate.</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Assets are measured at NAV as a practical expedient and not subject to hierarchy level classification disclosure.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Excludes insurance policies of $29 million, which are recorded at cash surrender value.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further information, see Note 5, Risk Management.</w:t>
      </w: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25" w:right="2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ind w:left="260" w:right="1980"/>
        <w:spacing w:after="0" w:line="257" w:lineRule="auto"/>
        <w:rPr>
          <w:sz w:val="20"/>
          <w:szCs w:val="20"/>
          <w:color w:val="auto"/>
        </w:rPr>
      </w:pPr>
      <w:r>
        <w:rPr>
          <w:rFonts w:ascii="Arial" w:cs="Arial" w:eastAsia="Arial" w:hAnsi="Arial"/>
          <w:sz w:val="20"/>
          <w:szCs w:val="20"/>
          <w:b w:val="1"/>
          <w:bCs w:val="1"/>
          <w:color w:val="auto"/>
        </w:rPr>
        <w:t xml:space="preserve">PORTLAND GENERAL ELECTRIC COMPANY NOTES TO CONDENSED CONSOLIDATED FINANCIAL STATEMENTS, continued </w:t>
      </w:r>
      <w:r>
        <w:rPr>
          <w:rFonts w:ascii="Arial" w:cs="Arial" w:eastAsia="Arial" w:hAnsi="Arial"/>
          <w:sz w:val="20"/>
          <w:szCs w:val="20"/>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80" w:type="dxa"/>
        <w:tblCellMar>
          <w:top w:w="0" w:type="dxa"/>
          <w:left w:w="0" w:type="dxa"/>
          <w:bottom w:w="0" w:type="dxa"/>
          <w:right w:w="0" w:type="dxa"/>
        </w:tblCellMar>
      </w:tblPr>
      <w:tr>
        <w:trPr>
          <w:trHeight w:val="256"/>
        </w:trPr>
        <w:tc>
          <w:tcPr>
            <w:tcW w:w="4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80" w:type="dxa"/>
            <w:vAlign w:val="bottom"/>
            <w:gridSpan w:val="8"/>
          </w:tcPr>
          <w:p>
            <w:pPr>
              <w:jc w:val="center"/>
              <w:ind w:right="400"/>
              <w:spacing w:after="0"/>
              <w:rPr>
                <w:sz w:val="20"/>
                <w:szCs w:val="20"/>
                <w:color w:val="auto"/>
              </w:rPr>
            </w:pPr>
            <w:r>
              <w:rPr>
                <w:rFonts w:ascii="Arial" w:cs="Arial" w:eastAsia="Arial" w:hAnsi="Arial"/>
                <w:sz w:val="20"/>
                <w:szCs w:val="20"/>
                <w:b w:val="1"/>
                <w:bCs w:val="1"/>
                <w:color w:val="auto"/>
                <w:w w:val="88"/>
              </w:rPr>
              <w:t>As of December 31, 2018</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ind w:left="60"/>
              <w:spacing w:after="0"/>
              <w:rPr>
                <w:sz w:val="20"/>
                <w:szCs w:val="20"/>
                <w:color w:val="auto"/>
              </w:rPr>
            </w:pPr>
            <w:r>
              <w:rPr>
                <w:rFonts w:ascii="Arial" w:cs="Arial" w:eastAsia="Arial" w:hAnsi="Arial"/>
                <w:sz w:val="20"/>
                <w:szCs w:val="20"/>
                <w:b w:val="1"/>
                <w:bCs w:val="1"/>
                <w:color w:val="auto"/>
              </w:rPr>
              <w:t>Level 1</w:t>
            </w:r>
          </w:p>
        </w:tc>
        <w:tc>
          <w:tcPr>
            <w:tcW w:w="180" w:type="dxa"/>
            <w:vAlign w:val="bottom"/>
          </w:tcPr>
          <w:p>
            <w:pPr>
              <w:spacing w:after="0"/>
              <w:rPr>
                <w:sz w:val="24"/>
                <w:szCs w:val="24"/>
                <w:color w:val="auto"/>
              </w:rPr>
            </w:pPr>
          </w:p>
        </w:tc>
        <w:tc>
          <w:tcPr>
            <w:tcW w:w="1180" w:type="dxa"/>
            <w:vAlign w:val="bottom"/>
            <w:gridSpan w:val="2"/>
          </w:tcPr>
          <w:p>
            <w:pPr>
              <w:ind w:left="80"/>
              <w:spacing w:after="0"/>
              <w:rPr>
                <w:sz w:val="20"/>
                <w:szCs w:val="20"/>
                <w:color w:val="auto"/>
              </w:rPr>
            </w:pPr>
            <w:r>
              <w:rPr>
                <w:rFonts w:ascii="Arial" w:cs="Arial" w:eastAsia="Arial" w:hAnsi="Arial"/>
                <w:sz w:val="20"/>
                <w:szCs w:val="20"/>
                <w:b w:val="1"/>
                <w:bCs w:val="1"/>
                <w:color w:val="auto"/>
              </w:rPr>
              <w:t>Level 2</w:t>
            </w:r>
          </w:p>
        </w:tc>
        <w:tc>
          <w:tcPr>
            <w:tcW w:w="180" w:type="dxa"/>
            <w:vAlign w:val="bottom"/>
          </w:tcPr>
          <w:p>
            <w:pPr>
              <w:spacing w:after="0"/>
              <w:rPr>
                <w:sz w:val="24"/>
                <w:szCs w:val="2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20"/>
                <w:szCs w:val="20"/>
                <w:b w:val="1"/>
                <w:bCs w:val="1"/>
                <w:color w:val="auto"/>
                <w:w w:val="91"/>
              </w:rPr>
              <w:t>Level 3</w:t>
            </w:r>
          </w:p>
        </w:tc>
        <w:tc>
          <w:tcPr>
            <w:tcW w:w="160" w:type="dxa"/>
            <w:vAlign w:val="bottom"/>
          </w:tcPr>
          <w:p>
            <w:pPr>
              <w:spacing w:after="0"/>
              <w:rPr>
                <w:sz w:val="24"/>
                <w:szCs w:val="24"/>
                <w:color w:val="auto"/>
              </w:rPr>
            </w:pPr>
          </w:p>
        </w:tc>
        <w:tc>
          <w:tcPr>
            <w:tcW w:w="1200" w:type="dxa"/>
            <w:vAlign w:val="bottom"/>
            <w:gridSpan w:val="2"/>
          </w:tcPr>
          <w:p>
            <w:pPr>
              <w:ind w:left="60"/>
              <w:spacing w:after="0" w:line="277" w:lineRule="exact"/>
              <w:rPr>
                <w:sz w:val="20"/>
                <w:szCs w:val="20"/>
                <w:color w:val="auto"/>
              </w:rPr>
            </w:pPr>
            <w:r>
              <w:rPr>
                <w:rFonts w:ascii="Arial" w:cs="Arial" w:eastAsia="Arial" w:hAnsi="Arial"/>
                <w:sz w:val="20"/>
                <w:szCs w:val="20"/>
                <w:b w:val="1"/>
                <w:bCs w:val="1"/>
                <w:color w:val="auto"/>
              </w:rPr>
              <w:t xml:space="preserve">Other </w:t>
            </w:r>
            <w:r>
              <w:rPr>
                <w:rFonts w:ascii="Arial" w:cs="Arial" w:eastAsia="Arial" w:hAnsi="Arial"/>
                <w:sz w:val="25"/>
                <w:szCs w:val="25"/>
                <w:b w:val="1"/>
                <w:bCs w:val="1"/>
                <w:color w:val="auto"/>
                <w:vertAlign w:val="superscript"/>
              </w:rPr>
              <w:t>(2)</w:t>
            </w:r>
          </w:p>
        </w:tc>
        <w:tc>
          <w:tcPr>
            <w:tcW w:w="220" w:type="dxa"/>
            <w:vAlign w:val="bottom"/>
          </w:tcPr>
          <w:p>
            <w:pPr>
              <w:spacing w:after="0"/>
              <w:rPr>
                <w:sz w:val="24"/>
                <w:szCs w:val="24"/>
                <w:color w:val="auto"/>
              </w:rPr>
            </w:pPr>
          </w:p>
        </w:tc>
        <w:tc>
          <w:tcPr>
            <w:tcW w:w="900" w:type="dxa"/>
            <w:vAlign w:val="bottom"/>
          </w:tcPr>
          <w:p>
            <w:pPr>
              <w:jc w:val="right"/>
              <w:ind w:right="261"/>
              <w:spacing w:after="0"/>
              <w:rPr>
                <w:sz w:val="20"/>
                <w:szCs w:val="20"/>
                <w:color w:val="auto"/>
              </w:rPr>
            </w:pPr>
            <w:r>
              <w:rPr>
                <w:rFonts w:ascii="Arial" w:cs="Arial" w:eastAsia="Arial" w:hAnsi="Arial"/>
                <w:sz w:val="20"/>
                <w:szCs w:val="20"/>
                <w:b w:val="1"/>
                <w:bCs w:val="1"/>
                <w:color w:val="auto"/>
              </w:rPr>
              <w:t>Total</w:t>
            </w:r>
          </w:p>
        </w:tc>
        <w:tc>
          <w:tcPr>
            <w:tcW w:w="0" w:type="dxa"/>
            <w:vAlign w:val="bottom"/>
          </w:tcPr>
          <w:p>
            <w:pPr>
              <w:spacing w:after="0"/>
              <w:rPr>
                <w:sz w:val="1"/>
                <w:szCs w:val="1"/>
                <w:color w:val="auto"/>
              </w:rPr>
            </w:pPr>
          </w:p>
        </w:tc>
      </w:tr>
      <w:tr>
        <w:trPr>
          <w:trHeight w:val="244"/>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4740" w:type="dxa"/>
            <w:vAlign w:val="bottom"/>
          </w:tcPr>
          <w:p>
            <w:pPr>
              <w:ind w:left="260"/>
              <w:spacing w:after="0"/>
              <w:rPr>
                <w:sz w:val="20"/>
                <w:szCs w:val="20"/>
                <w:color w:val="auto"/>
              </w:rPr>
            </w:pPr>
            <w:r>
              <w:rPr>
                <w:rFonts w:ascii="Arial" w:cs="Arial" w:eastAsia="Arial" w:hAnsi="Arial"/>
                <w:sz w:val="20"/>
                <w:szCs w:val="20"/>
                <w:color w:val="auto"/>
              </w:rPr>
              <w:t>Cash equivalents</w:t>
            </w: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112</w:t>
            </w:r>
          </w:p>
        </w:tc>
        <w:tc>
          <w:tcPr>
            <w:tcW w:w="2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8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16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20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112</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740" w:type="dxa"/>
            <w:vAlign w:val="bottom"/>
            <w:shd w:val="clear" w:color="auto" w:fill="CCEEFF"/>
          </w:tcPr>
          <w:p>
            <w:pPr>
              <w:ind w:left="260"/>
              <w:spacing w:after="0" w:line="283" w:lineRule="exact"/>
              <w:rPr>
                <w:sz w:val="20"/>
                <w:szCs w:val="20"/>
                <w:color w:val="auto"/>
              </w:rPr>
            </w:pPr>
            <w:r>
              <w:rPr>
                <w:rFonts w:ascii="Arial" w:cs="Arial" w:eastAsia="Arial" w:hAnsi="Arial"/>
                <w:sz w:val="20"/>
                <w:szCs w:val="20"/>
                <w:color w:val="auto"/>
              </w:rPr>
              <w:t xml:space="preserve">Nuclear decommissioning trust: </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740" w:type="dxa"/>
            <w:vAlign w:val="bottom"/>
          </w:tcPr>
          <w:p>
            <w:pPr>
              <w:ind w:left="480"/>
              <w:spacing w:after="0"/>
              <w:rPr>
                <w:sz w:val="20"/>
                <w:szCs w:val="20"/>
                <w:color w:val="auto"/>
              </w:rPr>
            </w:pPr>
            <w:r>
              <w:rPr>
                <w:rFonts w:ascii="Arial" w:cs="Arial" w:eastAsia="Arial" w:hAnsi="Arial"/>
                <w:sz w:val="20"/>
                <w:szCs w:val="20"/>
                <w:color w:val="auto"/>
              </w:rPr>
              <w:t>Debt securities:</w:t>
            </w: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7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20"/>
                <w:szCs w:val="20"/>
                <w:color w:val="auto"/>
              </w:rPr>
              <w:t>Domestic government</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18</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25</w:t>
            </w:r>
          </w:p>
        </w:tc>
        <w:tc>
          <w:tcPr>
            <w:tcW w:w="0" w:type="dxa"/>
            <w:vAlign w:val="bottom"/>
          </w:tcPr>
          <w:p>
            <w:pPr>
              <w:spacing w:after="0"/>
              <w:rPr>
                <w:sz w:val="1"/>
                <w:szCs w:val="1"/>
                <w:color w:val="auto"/>
              </w:rPr>
            </w:pPr>
          </w:p>
        </w:tc>
      </w:tr>
      <w:tr>
        <w:trPr>
          <w:trHeight w:val="261"/>
        </w:trPr>
        <w:tc>
          <w:tcPr>
            <w:tcW w:w="4740" w:type="dxa"/>
            <w:vAlign w:val="bottom"/>
          </w:tcPr>
          <w:p>
            <w:pPr>
              <w:ind w:left="700"/>
              <w:spacing w:after="0"/>
              <w:rPr>
                <w:sz w:val="20"/>
                <w:szCs w:val="20"/>
                <w:color w:val="auto"/>
              </w:rPr>
            </w:pPr>
            <w:r>
              <w:rPr>
                <w:rFonts w:ascii="Arial" w:cs="Arial" w:eastAsia="Arial" w:hAnsi="Arial"/>
                <w:sz w:val="20"/>
                <w:szCs w:val="20"/>
                <w:color w:val="auto"/>
              </w:rPr>
              <w:t>Corporate credit</w:t>
            </w:r>
          </w:p>
        </w:tc>
        <w:tc>
          <w:tcPr>
            <w:tcW w:w="200" w:type="dxa"/>
            <w:vAlign w:val="bottom"/>
          </w:tcPr>
          <w:p>
            <w:pPr>
              <w:spacing w:after="0"/>
              <w:rPr>
                <w:sz w:val="22"/>
                <w:szCs w:val="22"/>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960" w:type="dxa"/>
            <w:vAlign w:val="bottom"/>
          </w:tcPr>
          <w:p>
            <w:pPr>
              <w:jc w:val="right"/>
              <w:ind w:right="21"/>
              <w:spacing w:after="0"/>
              <w:rPr>
                <w:sz w:val="20"/>
                <w:szCs w:val="20"/>
                <w:color w:val="auto"/>
              </w:rPr>
            </w:pPr>
            <w:r>
              <w:rPr>
                <w:rFonts w:ascii="Arial" w:cs="Arial" w:eastAsia="Arial" w:hAnsi="Arial"/>
                <w:sz w:val="20"/>
                <w:szCs w:val="20"/>
                <w:color w:val="auto"/>
              </w:rPr>
              <w:t>10</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2"/>
                <w:szCs w:val="22"/>
                <w:color w:val="auto"/>
              </w:rPr>
            </w:pP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740" w:type="dxa"/>
            <w:vAlign w:val="bottom"/>
            <w:shd w:val="clear" w:color="auto" w:fill="CCEEFF"/>
          </w:tcPr>
          <w:p>
            <w:pPr>
              <w:ind w:left="480"/>
              <w:spacing w:after="0" w:line="283" w:lineRule="exact"/>
              <w:rPr>
                <w:sz w:val="20"/>
                <w:szCs w:val="20"/>
                <w:color w:val="auto"/>
              </w:rPr>
            </w:pPr>
            <w:r>
              <w:rPr>
                <w:rFonts w:ascii="Arial" w:cs="Arial" w:eastAsia="Arial" w:hAnsi="Arial"/>
                <w:sz w:val="20"/>
                <w:szCs w:val="20"/>
                <w:color w:val="auto"/>
              </w:rPr>
              <w:t xml:space="preserve">Money market funds measured at NAV </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7</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84"/>
        </w:trPr>
        <w:tc>
          <w:tcPr>
            <w:tcW w:w="4740" w:type="dxa"/>
            <w:vAlign w:val="bottom"/>
          </w:tcPr>
          <w:p>
            <w:pPr>
              <w:ind w:left="260"/>
              <w:spacing w:after="0" w:line="283" w:lineRule="exact"/>
              <w:rPr>
                <w:sz w:val="20"/>
                <w:szCs w:val="20"/>
                <w:color w:val="auto"/>
              </w:rPr>
            </w:pPr>
            <w:r>
              <w:rPr>
                <w:rFonts w:ascii="Arial" w:cs="Arial" w:eastAsia="Arial" w:hAnsi="Arial"/>
                <w:sz w:val="20"/>
                <w:szCs w:val="20"/>
                <w:color w:val="auto"/>
              </w:rPr>
              <w:t xml:space="preserve">Non-qualified benefit plan trust: </w:t>
            </w:r>
            <w:r>
              <w:rPr>
                <w:rFonts w:ascii="Arial" w:cs="Arial" w:eastAsia="Arial" w:hAnsi="Arial"/>
                <w:sz w:val="25"/>
                <w:szCs w:val="25"/>
                <w:color w:val="auto"/>
                <w:vertAlign w:val="superscript"/>
              </w:rPr>
              <w:t>(3)</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20"/>
                <w:szCs w:val="20"/>
                <w:color w:val="auto"/>
              </w:rPr>
              <w:t>Money market funds</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61"/>
        </w:trPr>
        <w:tc>
          <w:tcPr>
            <w:tcW w:w="4740" w:type="dxa"/>
            <w:vAlign w:val="bottom"/>
          </w:tcPr>
          <w:p>
            <w:pPr>
              <w:ind w:left="480"/>
              <w:spacing w:after="0"/>
              <w:rPr>
                <w:sz w:val="20"/>
                <w:szCs w:val="20"/>
                <w:color w:val="auto"/>
              </w:rPr>
            </w:pPr>
            <w:r>
              <w:rPr>
                <w:rFonts w:ascii="Arial" w:cs="Arial" w:eastAsia="Arial" w:hAnsi="Arial"/>
                <w:sz w:val="20"/>
                <w:szCs w:val="20"/>
                <w:color w:val="auto"/>
              </w:rPr>
              <w:t>Equity securities</w:t>
            </w:r>
          </w:p>
        </w:tc>
        <w:tc>
          <w:tcPr>
            <w:tcW w:w="20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6</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2"/>
                <w:szCs w:val="22"/>
                <w:color w:val="auto"/>
              </w:rPr>
            </w:pP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20"/>
                <w:szCs w:val="20"/>
                <w:color w:val="auto"/>
              </w:rPr>
              <w:t>Debt securities—domestic government</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84"/>
        </w:trPr>
        <w:tc>
          <w:tcPr>
            <w:tcW w:w="4740" w:type="dxa"/>
            <w:vAlign w:val="bottom"/>
          </w:tcPr>
          <w:p>
            <w:pPr>
              <w:ind w:left="260"/>
              <w:spacing w:after="0" w:line="283" w:lineRule="exact"/>
              <w:rPr>
                <w:sz w:val="20"/>
                <w:szCs w:val="20"/>
                <w:color w:val="auto"/>
              </w:rPr>
            </w:pPr>
            <w:r>
              <w:rPr>
                <w:rFonts w:ascii="Arial" w:cs="Arial" w:eastAsia="Arial" w:hAnsi="Arial"/>
                <w:sz w:val="20"/>
                <w:szCs w:val="20"/>
                <w:color w:val="auto"/>
              </w:rPr>
              <w:t xml:space="preserve">Price risk management activities: </w:t>
            </w:r>
            <w:r>
              <w:rPr>
                <w:rFonts w:ascii="Arial" w:cs="Arial" w:eastAsia="Arial" w:hAnsi="Arial"/>
                <w:sz w:val="25"/>
                <w:szCs w:val="25"/>
                <w:color w:val="auto"/>
                <w:vertAlign w:val="superscript"/>
              </w:rPr>
              <w:t>(1) (4)</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20"/>
                <w:szCs w:val="20"/>
                <w:color w:val="auto"/>
              </w:rPr>
              <w:t>Electricity</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9</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261"/>
        </w:trPr>
        <w:tc>
          <w:tcPr>
            <w:tcW w:w="4740" w:type="dxa"/>
            <w:vAlign w:val="bottom"/>
          </w:tcPr>
          <w:p>
            <w:pPr>
              <w:ind w:left="480"/>
              <w:spacing w:after="0"/>
              <w:rPr>
                <w:sz w:val="20"/>
                <w:szCs w:val="20"/>
                <w:color w:val="auto"/>
              </w:rPr>
            </w:pPr>
            <w:r>
              <w:rPr>
                <w:rFonts w:ascii="Arial" w:cs="Arial" w:eastAsia="Arial" w:hAnsi="Arial"/>
                <w:sz w:val="20"/>
                <w:szCs w:val="20"/>
                <w:color w:val="auto"/>
              </w:rPr>
              <w:t>Natural gas</w:t>
            </w:r>
          </w:p>
        </w:tc>
        <w:tc>
          <w:tcPr>
            <w:tcW w:w="200" w:type="dxa"/>
            <w:vAlign w:val="bottom"/>
          </w:tcPr>
          <w:p>
            <w:pPr>
              <w:spacing w:after="0"/>
              <w:rPr>
                <w:sz w:val="22"/>
                <w:szCs w:val="22"/>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960" w:type="dxa"/>
            <w:vAlign w:val="bottom"/>
          </w:tcPr>
          <w:p>
            <w:pPr>
              <w:jc w:val="right"/>
              <w:ind w:right="21"/>
              <w:spacing w:after="0"/>
              <w:rPr>
                <w:sz w:val="20"/>
                <w:szCs w:val="20"/>
                <w:color w:val="auto"/>
              </w:rPr>
            </w:pPr>
            <w:r>
              <w:rPr>
                <w:rFonts w:ascii="Arial" w:cs="Arial" w:eastAsia="Arial" w:hAnsi="Arial"/>
                <w:sz w:val="20"/>
                <w:szCs w:val="20"/>
                <w:color w:val="auto"/>
              </w:rPr>
              <w:t>8</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2"/>
                <w:szCs w:val="22"/>
                <w:color w:val="auto"/>
              </w:rPr>
            </w:pP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23"/>
        </w:trPr>
        <w:tc>
          <w:tcPr>
            <w:tcW w:w="4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7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128</w:t>
            </w:r>
          </w:p>
        </w:tc>
        <w:tc>
          <w:tcPr>
            <w:tcW w:w="2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45</w:t>
            </w:r>
          </w:p>
        </w:tc>
        <w:tc>
          <w:tcPr>
            <w:tcW w:w="2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w:t>
            </w:r>
          </w:p>
        </w:tc>
        <w:tc>
          <w:tcPr>
            <w:tcW w:w="2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7</w:t>
            </w:r>
          </w:p>
        </w:tc>
        <w:tc>
          <w:tcPr>
            <w:tcW w:w="2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183</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0"/>
                <w:szCs w:val="20"/>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7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Interest rate swap derivatives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4</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2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84"/>
        </w:trPr>
        <w:tc>
          <w:tcPr>
            <w:tcW w:w="4740" w:type="dxa"/>
            <w:vAlign w:val="bottom"/>
          </w:tcPr>
          <w:p>
            <w:pPr>
              <w:ind w:left="260"/>
              <w:spacing w:after="0" w:line="283" w:lineRule="exact"/>
              <w:rPr>
                <w:sz w:val="20"/>
                <w:szCs w:val="20"/>
                <w:color w:val="auto"/>
              </w:rPr>
            </w:pPr>
            <w:r>
              <w:rPr>
                <w:rFonts w:ascii="Arial" w:cs="Arial" w:eastAsia="Arial" w:hAnsi="Arial"/>
                <w:sz w:val="20"/>
                <w:szCs w:val="20"/>
                <w:color w:val="auto"/>
              </w:rPr>
              <w:t xml:space="preserve">Price risk management activities: </w:t>
            </w:r>
            <w:r>
              <w:rPr>
                <w:rFonts w:ascii="Arial" w:cs="Arial" w:eastAsia="Arial" w:hAnsi="Arial"/>
                <w:sz w:val="25"/>
                <w:szCs w:val="25"/>
                <w:color w:val="auto"/>
                <w:vertAlign w:val="superscript"/>
              </w:rPr>
              <w:t>(1) (4)</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20"/>
                <w:szCs w:val="20"/>
                <w:color w:val="auto"/>
              </w:rPr>
              <w:t>Electricity</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84</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94</w:t>
            </w:r>
          </w:p>
        </w:tc>
        <w:tc>
          <w:tcPr>
            <w:tcW w:w="0" w:type="dxa"/>
            <w:vAlign w:val="bottom"/>
          </w:tcPr>
          <w:p>
            <w:pPr>
              <w:spacing w:after="0"/>
              <w:rPr>
                <w:sz w:val="1"/>
                <w:szCs w:val="1"/>
                <w:color w:val="auto"/>
              </w:rPr>
            </w:pPr>
          </w:p>
        </w:tc>
      </w:tr>
      <w:tr>
        <w:trPr>
          <w:trHeight w:val="261"/>
        </w:trPr>
        <w:tc>
          <w:tcPr>
            <w:tcW w:w="4740" w:type="dxa"/>
            <w:vAlign w:val="bottom"/>
          </w:tcPr>
          <w:p>
            <w:pPr>
              <w:ind w:left="480"/>
              <w:spacing w:after="0"/>
              <w:rPr>
                <w:sz w:val="20"/>
                <w:szCs w:val="20"/>
                <w:color w:val="auto"/>
              </w:rPr>
            </w:pPr>
            <w:r>
              <w:rPr>
                <w:rFonts w:ascii="Arial" w:cs="Arial" w:eastAsia="Arial" w:hAnsi="Arial"/>
                <w:sz w:val="20"/>
                <w:szCs w:val="20"/>
                <w:color w:val="auto"/>
              </w:rPr>
              <w:t>Natural gas</w:t>
            </w:r>
          </w:p>
        </w:tc>
        <w:tc>
          <w:tcPr>
            <w:tcW w:w="200" w:type="dxa"/>
            <w:vAlign w:val="bottom"/>
          </w:tcPr>
          <w:p>
            <w:pPr>
              <w:spacing w:after="0"/>
              <w:rPr>
                <w:sz w:val="22"/>
                <w:szCs w:val="22"/>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960" w:type="dxa"/>
            <w:vAlign w:val="bottom"/>
          </w:tcPr>
          <w:p>
            <w:pPr>
              <w:jc w:val="right"/>
              <w:ind w:right="21"/>
              <w:spacing w:after="0"/>
              <w:rPr>
                <w:sz w:val="20"/>
                <w:szCs w:val="20"/>
                <w:color w:val="auto"/>
              </w:rPr>
            </w:pPr>
            <w:r>
              <w:rPr>
                <w:rFonts w:ascii="Arial" w:cs="Arial" w:eastAsia="Arial" w:hAnsi="Arial"/>
                <w:sz w:val="20"/>
                <w:szCs w:val="20"/>
                <w:color w:val="auto"/>
              </w:rPr>
              <w:t>51</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7</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2"/>
                <w:szCs w:val="22"/>
                <w:color w:val="auto"/>
              </w:rPr>
            </w:pP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58</w:t>
            </w:r>
          </w:p>
        </w:tc>
        <w:tc>
          <w:tcPr>
            <w:tcW w:w="0" w:type="dxa"/>
            <w:vAlign w:val="bottom"/>
          </w:tcPr>
          <w:p>
            <w:pPr>
              <w:spacing w:after="0"/>
              <w:rPr>
                <w:sz w:val="1"/>
                <w:szCs w:val="1"/>
                <w:color w:val="auto"/>
              </w:rPr>
            </w:pPr>
          </w:p>
        </w:tc>
      </w:tr>
      <w:tr>
        <w:trPr>
          <w:trHeight w:val="23"/>
        </w:trPr>
        <w:tc>
          <w:tcPr>
            <w:tcW w:w="4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7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65</w:t>
            </w:r>
          </w:p>
        </w:tc>
        <w:tc>
          <w:tcPr>
            <w:tcW w:w="2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91</w:t>
            </w:r>
          </w:p>
        </w:tc>
        <w:tc>
          <w:tcPr>
            <w:tcW w:w="2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2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156</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58"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Activities are subject to regulation, with certain gains and losses deferred pursuant to regulatory accounting and included in Regulatory assets or Regulatory liabilities as appropriate.</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Assets are measured at NAV as a practical expedient and not subject to hierarchy level classification disclosure.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Excludes insurance policies of $27 million, which are recorded at cash surrender value.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further information, see Note 5, Risk Management.</w:t>
      </w:r>
    </w:p>
    <w:p>
      <w:pPr>
        <w:spacing w:after="0" w:line="222" w:lineRule="exact"/>
        <w:rPr>
          <w:sz w:val="20"/>
          <w:szCs w:val="20"/>
          <w:color w:val="auto"/>
        </w:rPr>
      </w:pPr>
    </w:p>
    <w:p>
      <w:pPr>
        <w:ind w:right="40"/>
        <w:spacing w:after="0" w:line="258" w:lineRule="auto"/>
        <w:rPr>
          <w:sz w:val="20"/>
          <w:szCs w:val="20"/>
          <w:color w:val="auto"/>
        </w:rPr>
      </w:pPr>
      <w:r>
        <w:rPr>
          <w:rFonts w:ascii="Arial" w:cs="Arial" w:eastAsia="Arial" w:hAnsi="Arial"/>
          <w:sz w:val="19"/>
          <w:szCs w:val="19"/>
          <w:b w:val="1"/>
          <w:bCs w:val="1"/>
          <w:i w:val="1"/>
          <w:iCs w:val="1"/>
          <w:color w:val="auto"/>
        </w:rPr>
        <w:t xml:space="preserve">Cash equivalents </w:t>
      </w:r>
      <w:r>
        <w:rPr>
          <w:rFonts w:ascii="Arial" w:cs="Arial" w:eastAsia="Arial" w:hAnsi="Arial"/>
          <w:sz w:val="19"/>
          <w:szCs w:val="19"/>
          <w:color w:val="auto"/>
        </w:rPr>
        <w:t>are highly liquid investments with maturities of three months or less at the date of acquisition and primarily consist of money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market funds. Such funds seek to maintain a stable net asset value and are comprised of short-term, government funds. Policies of such funds require that the weighted average maturity of securities holdings of such funds do not exceed 90 days and provide investors with the ability to redeem shares of the funds daily at their respective net asset value. These cash equivalents are classified as Level 1 in the fair value hierarchy due to the availability of quoted prices for identical assets in an active market as of the measurement date. Principal markets for money market fund prices include published exchanges such as the National Association of Securities Dealers Automated Quotations (NASDAQ) and the New York Stock Exchange (NYSE).</w:t>
      </w:r>
    </w:p>
    <w:p>
      <w:pPr>
        <w:spacing w:after="0" w:line="193"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b w:val="1"/>
          <w:bCs w:val="1"/>
          <w:i w:val="1"/>
          <w:iCs w:val="1"/>
          <w:color w:val="auto"/>
        </w:rPr>
        <w:t xml:space="preserve">Assets held in the Nuclear decommissioning trust (NDT) and Non-qualified benefit plan (NQBP) trusts </w:t>
      </w:r>
      <w:r>
        <w:rPr>
          <w:rFonts w:ascii="Arial" w:cs="Arial" w:eastAsia="Arial" w:hAnsi="Arial"/>
          <w:sz w:val="20"/>
          <w:szCs w:val="20"/>
          <w:color w:val="auto"/>
        </w:rPr>
        <w:t>are recorded at fair value in PGE’s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condensed consolidated balance sheets and invested in securities that are exposed to interest rate, credit, and market volatility risks. These assets are classified within Level 1, 2, or 3 based on the following factors:</w:t>
      </w:r>
    </w:p>
    <w:p>
      <w:pPr>
        <w:spacing w:after="0" w:line="132" w:lineRule="exact"/>
        <w:rPr>
          <w:sz w:val="20"/>
          <w:szCs w:val="20"/>
          <w:color w:val="auto"/>
        </w:rPr>
      </w:pPr>
    </w:p>
    <w:p>
      <w:pPr>
        <w:ind w:left="660" w:right="500"/>
        <w:spacing w:after="0" w:line="260" w:lineRule="auto"/>
        <w:rPr>
          <w:sz w:val="20"/>
          <w:szCs w:val="20"/>
          <w:color w:val="auto"/>
        </w:rPr>
      </w:pPr>
      <w:r>
        <w:rPr>
          <w:rFonts w:ascii="Arial" w:cs="Arial" w:eastAsia="Arial" w:hAnsi="Arial"/>
          <w:sz w:val="20"/>
          <w:szCs w:val="20"/>
          <w:i w:val="1"/>
          <w:iCs w:val="1"/>
          <w:color w:val="auto"/>
        </w:rPr>
        <w:t>Debt securities</w:t>
      </w:r>
      <w:r>
        <w:rPr>
          <w:rFonts w:ascii="Arial" w:cs="Arial" w:eastAsia="Arial" w:hAnsi="Arial"/>
          <w:sz w:val="20"/>
          <w:szCs w:val="20"/>
          <w:color w:val="auto"/>
        </w:rPr>
        <w:t>—PGE invests in highly-liquid United States Treasury securities to support the investment objectives of the trusts.</w:t>
      </w:r>
      <w:r>
        <w:rPr>
          <w:rFonts w:ascii="Arial" w:cs="Arial" w:eastAsia="Arial" w:hAnsi="Arial"/>
          <w:sz w:val="20"/>
          <w:szCs w:val="20"/>
          <w:i w:val="1"/>
          <w:iCs w:val="1"/>
          <w:color w:val="auto"/>
        </w:rPr>
        <w:t xml:space="preserve"> </w:t>
      </w:r>
      <w:r>
        <w:rPr>
          <w:rFonts w:ascii="Arial" w:cs="Arial" w:eastAsia="Arial" w:hAnsi="Arial"/>
          <w:sz w:val="20"/>
          <w:szCs w:val="20"/>
          <w:color w:val="auto"/>
        </w:rPr>
        <w:t>These domestic government securities are classified as Level 1 in the fair value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line="257" w:lineRule="auto"/>
        <w:rPr>
          <w:sz w:val="20"/>
          <w:szCs w:val="20"/>
          <w:color w:val="auto"/>
        </w:rPr>
      </w:pPr>
      <w:r>
        <w:rPr>
          <w:rFonts w:ascii="Arial" w:cs="Arial" w:eastAsia="Arial" w:hAnsi="Arial"/>
          <w:sz w:val="20"/>
          <w:szCs w:val="20"/>
          <w:b w:val="1"/>
          <w:bCs w:val="1"/>
          <w:color w:val="auto"/>
        </w:rPr>
        <w:t xml:space="preserve">PORTLAND GENERAL ELECTRIC COMPANY NOTES TO CONDENSED CONSOLIDATED FINANCIAL STATEMENTS, continued </w:t>
      </w:r>
      <w:r>
        <w:rPr>
          <w:rFonts w:ascii="Arial" w:cs="Arial" w:eastAsia="Arial" w:hAnsi="Arial"/>
          <w:sz w:val="20"/>
          <w:szCs w:val="20"/>
          <w:color w:val="auto"/>
        </w:rPr>
        <w:t>(Unaudited)</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hierarchy due to the availability of quoted prices for identical assets in an active market as of the measurement date.</w:t>
      </w:r>
    </w:p>
    <w:p>
      <w:pPr>
        <w:spacing w:after="0" w:line="121" w:lineRule="exact"/>
        <w:rPr>
          <w:sz w:val="20"/>
          <w:szCs w:val="20"/>
          <w:color w:val="auto"/>
        </w:rPr>
      </w:pPr>
    </w:p>
    <w:p>
      <w:pPr>
        <w:ind w:left="660"/>
        <w:spacing w:after="0" w:line="263" w:lineRule="auto"/>
        <w:rPr>
          <w:sz w:val="20"/>
          <w:szCs w:val="20"/>
          <w:color w:val="auto"/>
        </w:rPr>
      </w:pPr>
      <w:r>
        <w:rPr>
          <w:rFonts w:ascii="Arial" w:cs="Arial" w:eastAsia="Arial" w:hAnsi="Arial"/>
          <w:sz w:val="19"/>
          <w:szCs w:val="19"/>
          <w:color w:val="auto"/>
        </w:rPr>
        <w:t>Assets classified as Level 2 in the fair value hierarchy include domestic government debt securities, such as municipal debt, and corporate credit securities. Prices are determined by evaluating pricing data such as broker quotes for similar securities and adjusted for observable differences. Significant inputs used in valuation models generally include benchmark yields and issuer spreads. The external credit rating, coupon rate, and maturity of each security are considered in the valuation, as applicable.</w:t>
      </w:r>
    </w:p>
    <w:p>
      <w:pPr>
        <w:spacing w:after="0" w:line="82" w:lineRule="exact"/>
        <w:rPr>
          <w:sz w:val="20"/>
          <w:szCs w:val="20"/>
          <w:color w:val="auto"/>
        </w:rPr>
      </w:pPr>
    </w:p>
    <w:p>
      <w:pPr>
        <w:jc w:val="both"/>
        <w:ind w:left="660" w:right="420"/>
        <w:spacing w:after="0" w:line="250" w:lineRule="auto"/>
        <w:rPr>
          <w:sz w:val="20"/>
          <w:szCs w:val="20"/>
          <w:color w:val="auto"/>
        </w:rPr>
      </w:pPr>
      <w:r>
        <w:rPr>
          <w:rFonts w:ascii="Arial" w:cs="Arial" w:eastAsia="Arial" w:hAnsi="Arial"/>
          <w:sz w:val="20"/>
          <w:szCs w:val="20"/>
          <w:i w:val="1"/>
          <w:iCs w:val="1"/>
          <w:color w:val="auto"/>
        </w:rPr>
        <w:t>Equity securities</w:t>
      </w:r>
      <w:r>
        <w:rPr>
          <w:rFonts w:ascii="Arial" w:cs="Arial" w:eastAsia="Arial" w:hAnsi="Arial"/>
          <w:sz w:val="20"/>
          <w:szCs w:val="20"/>
          <w:color w:val="auto"/>
        </w:rPr>
        <w:t>—Equity mutual fund and common stock securities are classified as Level 1 in the fair value hierarchy due to the</w:t>
      </w:r>
      <w:r>
        <w:rPr>
          <w:rFonts w:ascii="Arial" w:cs="Arial" w:eastAsia="Arial" w:hAnsi="Arial"/>
          <w:sz w:val="20"/>
          <w:szCs w:val="20"/>
          <w:i w:val="1"/>
          <w:iCs w:val="1"/>
          <w:color w:val="auto"/>
        </w:rPr>
        <w:t xml:space="preserve"> </w:t>
      </w:r>
      <w:r>
        <w:rPr>
          <w:rFonts w:ascii="Arial" w:cs="Arial" w:eastAsia="Arial" w:hAnsi="Arial"/>
          <w:sz w:val="20"/>
          <w:szCs w:val="20"/>
          <w:color w:val="auto"/>
        </w:rPr>
        <w:t>availability of quoted prices for identical assets in an active market as of the measurement date. Principal markets for equity prices include published exchanges such as NASDAQ and the NYSE.</w:t>
      </w:r>
    </w:p>
    <w:p>
      <w:pPr>
        <w:spacing w:after="0" w:line="92" w:lineRule="exact"/>
        <w:rPr>
          <w:sz w:val="20"/>
          <w:szCs w:val="20"/>
          <w:color w:val="auto"/>
        </w:rPr>
      </w:pPr>
    </w:p>
    <w:p>
      <w:pPr>
        <w:ind w:left="660" w:right="20"/>
        <w:spacing w:after="0" w:line="263" w:lineRule="auto"/>
        <w:rPr>
          <w:sz w:val="20"/>
          <w:szCs w:val="20"/>
          <w:color w:val="auto"/>
        </w:rPr>
      </w:pPr>
      <w:r>
        <w:rPr>
          <w:rFonts w:ascii="Arial" w:cs="Arial" w:eastAsia="Arial" w:hAnsi="Arial"/>
          <w:sz w:val="19"/>
          <w:szCs w:val="19"/>
          <w:i w:val="1"/>
          <w:iCs w:val="1"/>
          <w:color w:val="auto"/>
        </w:rPr>
        <w:t>Money market funds</w:t>
      </w:r>
      <w:r>
        <w:rPr>
          <w:rFonts w:ascii="Arial" w:cs="Arial" w:eastAsia="Arial" w:hAnsi="Arial"/>
          <w:sz w:val="19"/>
          <w:szCs w:val="19"/>
          <w:color w:val="auto"/>
        </w:rPr>
        <w:t>—PGE invests in money market funds that seek to maintain a stable net asset value. These funds invest in high-quality, short-term, diversified money market instruments, short-term treasury bills, federal agency securities, certificates of deposits, and commercial paper. The Company believes the redemption value of these funds is likely to be the fair value, which is represented by the net asset value. Redemption is permitted daily without written notice.</w:t>
      </w:r>
    </w:p>
    <w:p>
      <w:pPr>
        <w:spacing w:after="0" w:line="190" w:lineRule="exact"/>
        <w:rPr>
          <w:sz w:val="20"/>
          <w:szCs w:val="20"/>
          <w:color w:val="auto"/>
        </w:rPr>
      </w:pPr>
    </w:p>
    <w:p>
      <w:pPr>
        <w:jc w:val="both"/>
        <w:ind w:left="660" w:right="80"/>
        <w:spacing w:after="0" w:line="250" w:lineRule="auto"/>
        <w:rPr>
          <w:sz w:val="20"/>
          <w:szCs w:val="20"/>
          <w:color w:val="auto"/>
        </w:rPr>
      </w:pPr>
      <w:r>
        <w:rPr>
          <w:rFonts w:ascii="Arial" w:cs="Arial" w:eastAsia="Arial" w:hAnsi="Arial"/>
          <w:sz w:val="20"/>
          <w:szCs w:val="20"/>
          <w:color w:val="auto"/>
        </w:rPr>
        <w:t>The NQBP trust is invested in exchange-traded government money market funds and is classified as Level 1 in the fair value hierarchy due to the availability of quoted prices in published exchanges such as NASDAQ and the NYSE. The money market fund in the NDT is valued at NAV as a practical expedient and is not included in the fair value hierarchy.</w:t>
      </w:r>
    </w:p>
    <w:p>
      <w:pPr>
        <w:spacing w:after="0" w:line="200" w:lineRule="exact"/>
        <w:rPr>
          <w:sz w:val="20"/>
          <w:szCs w:val="20"/>
          <w:color w:val="auto"/>
        </w:rPr>
      </w:pPr>
    </w:p>
    <w:p>
      <w:pPr>
        <w:spacing w:after="0" w:line="258" w:lineRule="auto"/>
        <w:rPr>
          <w:sz w:val="20"/>
          <w:szCs w:val="20"/>
          <w:color w:val="auto"/>
        </w:rPr>
      </w:pPr>
      <w:r>
        <w:rPr>
          <w:rFonts w:ascii="Arial" w:cs="Arial" w:eastAsia="Arial" w:hAnsi="Arial"/>
          <w:sz w:val="19"/>
          <w:szCs w:val="19"/>
          <w:b w:val="1"/>
          <w:bCs w:val="1"/>
          <w:i w:val="1"/>
          <w:iCs w:val="1"/>
          <w:color w:val="auto"/>
        </w:rPr>
        <w:t xml:space="preserve">Liabilities from interest rate swap derivatives </w:t>
      </w:r>
      <w:r>
        <w:rPr>
          <w:rFonts w:ascii="Arial" w:cs="Arial" w:eastAsia="Arial" w:hAnsi="Arial"/>
          <w:sz w:val="19"/>
          <w:szCs w:val="19"/>
          <w:color w:val="auto"/>
        </w:rPr>
        <w:t>are recorded at fair value in PGE’s condensed consolidated balance sheets and consist of forward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starting interest rate swap lock agreements to hedge a portion of the interest rate risk associated with anticipated issuances of fixed-rate, long-term debt securities. To establish fair values for interest rate swap derivatives, the Company uses forward market curves for interest rates for the term of the swaps and discounts the cash flows back to present value using an appropriate discount rate. The discount rate is calculated by third party brokers according to the terms of the swap derivatives and evaluated by the Company for reasonableness. Future cash flows of the interest rate swap derivatives are equal to the fixed interest rate in the swap compared to the floating market interest rate multiplied by the notional amount for each period.</w:t>
      </w:r>
    </w:p>
    <w:p>
      <w:pPr>
        <w:spacing w:after="0" w:line="193"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b w:val="1"/>
          <w:bCs w:val="1"/>
          <w:i w:val="1"/>
          <w:iCs w:val="1"/>
          <w:color w:val="auto"/>
        </w:rPr>
        <w:t xml:space="preserve">Assets and liabilities from price risk management activities </w:t>
      </w:r>
      <w:r>
        <w:rPr>
          <w:rFonts w:ascii="Arial" w:cs="Arial" w:eastAsia="Arial" w:hAnsi="Arial"/>
          <w:sz w:val="20"/>
          <w:szCs w:val="20"/>
          <w:color w:val="auto"/>
        </w:rPr>
        <w:t>are recorded at fair value in PGE’s condensed consolidated balance sheets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consist of derivative instruments entered into by the Company to manage its risk exposure to commodity price and foreign currency exchange rate and to reduce volatility in net variable power costs (NVPC) for the Company’s retail customers. For additional information regarding these assets and liabilities, see Note 5, Risk Management.</w:t>
      </w:r>
    </w:p>
    <w:p>
      <w:pPr>
        <w:spacing w:after="0" w:line="205" w:lineRule="exact"/>
        <w:rPr>
          <w:sz w:val="20"/>
          <w:szCs w:val="20"/>
          <w:color w:val="auto"/>
        </w:rPr>
      </w:pPr>
    </w:p>
    <w:p>
      <w:pPr>
        <w:ind w:right="80"/>
        <w:spacing w:after="0" w:line="263" w:lineRule="auto"/>
        <w:rPr>
          <w:sz w:val="20"/>
          <w:szCs w:val="20"/>
          <w:color w:val="auto"/>
        </w:rPr>
      </w:pPr>
      <w:r>
        <w:rPr>
          <w:rFonts w:ascii="Arial" w:cs="Arial" w:eastAsia="Arial" w:hAnsi="Arial"/>
          <w:sz w:val="19"/>
          <w:szCs w:val="19"/>
          <w:color w:val="auto"/>
        </w:rPr>
        <w:t>For those assets and liabilities from price risk management activities classified as Level 2, fair value is derived using present value formulas that utilize inputs such as forward commodity prices and interest rates. Substantially all of these inputs are observable in the marketplace throughout the full term of the instrument, can be derived from observable data, or are supported by observable levels at which transactions are executed in the marketplace. Instruments in this category include commodity forwards, futures, and swaps.</w:t>
      </w:r>
    </w:p>
    <w:p>
      <w:pPr>
        <w:spacing w:after="0" w:line="190"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Assets and liabilities from price risk management activities classified as Level 3 consist of instruments for which fair value is derived using one or more significant inputs that are not observable for the entire term of the instrument. These instruments consist of longer-term commodity forwards, futures, and swaps.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line="257" w:lineRule="auto"/>
        <w:rPr>
          <w:sz w:val="20"/>
          <w:szCs w:val="20"/>
          <w:color w:val="auto"/>
        </w:rPr>
      </w:pPr>
      <w:r>
        <w:rPr>
          <w:rFonts w:ascii="Arial" w:cs="Arial" w:eastAsia="Arial" w:hAnsi="Arial"/>
          <w:sz w:val="20"/>
          <w:szCs w:val="20"/>
          <w:b w:val="1"/>
          <w:bCs w:val="1"/>
          <w:color w:val="auto"/>
        </w:rPr>
        <w:t xml:space="preserve">PORTLAND GENERAL ELECTRIC COMPANY NOTES TO CONDENSED CONSOLIDATED FINANCIAL STATEMENTS, continued </w:t>
      </w:r>
      <w:r>
        <w:rPr>
          <w:rFonts w:ascii="Arial" w:cs="Arial" w:eastAsia="Arial" w:hAnsi="Arial"/>
          <w:sz w:val="20"/>
          <w:szCs w:val="20"/>
          <w:color w:val="auto"/>
        </w:rPr>
        <w:t>(Unaudited)</w:t>
      </w:r>
    </w:p>
    <w:p>
      <w:pPr>
        <w:spacing w:after="0" w:line="200" w:lineRule="exact"/>
        <w:rPr>
          <w:sz w:val="20"/>
          <w:szCs w:val="20"/>
          <w:color w:val="auto"/>
        </w:rPr>
      </w:pPr>
    </w:p>
    <w:p>
      <w:pPr>
        <w:spacing w:after="0" w:line="245"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Quantitative information regarding the significant, unobservable inputs used in the measurement of Level 3 assets and liabilities from price risk management activities is presented below:</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40" w:type="dxa"/>
            <w:vAlign w:val="bottom"/>
            <w:gridSpan w:val="6"/>
          </w:tcPr>
          <w:p>
            <w:pPr>
              <w:jc w:val="right"/>
              <w:ind w:right="770"/>
              <w:spacing w:after="0"/>
              <w:rPr>
                <w:sz w:val="20"/>
                <w:szCs w:val="20"/>
                <w:color w:val="auto"/>
              </w:rPr>
            </w:pPr>
            <w:r>
              <w:rPr>
                <w:rFonts w:ascii="Arial" w:cs="Arial" w:eastAsia="Arial" w:hAnsi="Arial"/>
                <w:sz w:val="18"/>
                <w:szCs w:val="18"/>
                <w:b w:val="1"/>
                <w:bCs w:val="1"/>
                <w:color w:val="auto"/>
                <w:w w:val="99"/>
              </w:rPr>
              <w:t>Price per Unit</w:t>
            </w:r>
          </w:p>
        </w:tc>
      </w:tr>
      <w:tr>
        <w:trPr>
          <w:trHeight w:val="27"/>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8"/>
        </w:trPr>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Valuation</w:t>
            </w:r>
          </w:p>
        </w:tc>
        <w:tc>
          <w:tcPr>
            <w:tcW w:w="2280" w:type="dxa"/>
            <w:vAlign w:val="bottom"/>
            <w:gridSpan w:val="2"/>
          </w:tcPr>
          <w:p>
            <w:pPr>
              <w:ind w:left="120"/>
              <w:spacing w:after="0"/>
              <w:rPr>
                <w:sz w:val="20"/>
                <w:szCs w:val="20"/>
                <w:color w:val="auto"/>
              </w:rPr>
            </w:pPr>
            <w:r>
              <w:rPr>
                <w:rFonts w:ascii="Arial" w:cs="Arial" w:eastAsia="Arial" w:hAnsi="Arial"/>
                <w:sz w:val="18"/>
                <w:szCs w:val="18"/>
                <w:b w:val="1"/>
                <w:bCs w:val="1"/>
                <w:color w:val="auto"/>
                <w:w w:val="99"/>
              </w:rPr>
              <w:t>Significant Unobservable</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Weighted</w:t>
            </w:r>
          </w:p>
        </w:tc>
      </w:tr>
      <w:tr>
        <w:trPr>
          <w:trHeight w:val="234"/>
        </w:trPr>
        <w:tc>
          <w:tcPr>
            <w:tcW w:w="2740" w:type="dxa"/>
            <w:vAlign w:val="bottom"/>
            <w:gridSpan w:val="2"/>
          </w:tcPr>
          <w:p>
            <w:pPr>
              <w:ind w:left="460"/>
              <w:spacing w:after="0"/>
              <w:rPr>
                <w:sz w:val="20"/>
                <w:szCs w:val="20"/>
                <w:color w:val="auto"/>
              </w:rPr>
            </w:pPr>
            <w:r>
              <w:rPr>
                <w:rFonts w:ascii="Arial" w:cs="Arial" w:eastAsia="Arial" w:hAnsi="Arial"/>
                <w:sz w:val="18"/>
                <w:szCs w:val="18"/>
                <w:b w:val="1"/>
                <w:bCs w:val="1"/>
                <w:color w:val="auto"/>
              </w:rPr>
              <w:t>Commodity Contracts</w:t>
            </w:r>
          </w:p>
        </w:tc>
        <w:tc>
          <w:tcPr>
            <w:tcW w:w="160" w:type="dxa"/>
            <w:vAlign w:val="bottom"/>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Liabilities</w:t>
            </w:r>
          </w:p>
        </w:tc>
        <w:tc>
          <w:tcPr>
            <w:tcW w:w="120" w:type="dxa"/>
            <w:vAlign w:val="bottom"/>
          </w:tcPr>
          <w:p>
            <w:pPr>
              <w:spacing w:after="0"/>
              <w:rPr>
                <w:sz w:val="20"/>
                <w:szCs w:val="20"/>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b w:val="1"/>
                <w:bCs w:val="1"/>
                <w:color w:val="auto"/>
              </w:rPr>
              <w:t>Technique</w:t>
            </w:r>
          </w:p>
        </w:tc>
        <w:tc>
          <w:tcPr>
            <w:tcW w:w="2280" w:type="dxa"/>
            <w:vAlign w:val="bottom"/>
            <w:gridSpan w:val="2"/>
          </w:tcPr>
          <w:p>
            <w:pPr>
              <w:ind w:left="860"/>
              <w:spacing w:after="0"/>
              <w:rPr>
                <w:sz w:val="20"/>
                <w:szCs w:val="20"/>
                <w:color w:val="auto"/>
              </w:rPr>
            </w:pPr>
            <w:r>
              <w:rPr>
                <w:rFonts w:ascii="Arial" w:cs="Arial" w:eastAsia="Arial" w:hAnsi="Arial"/>
                <w:sz w:val="18"/>
                <w:szCs w:val="18"/>
                <w:b w:val="1"/>
                <w:bCs w:val="1"/>
                <w:color w:val="auto"/>
              </w:rPr>
              <w:t>Input</w:t>
            </w:r>
          </w:p>
        </w:tc>
        <w:tc>
          <w:tcPr>
            <w:tcW w:w="16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b w:val="1"/>
                <w:bCs w:val="1"/>
                <w:color w:val="auto"/>
              </w:rPr>
              <w:t>Low</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b w:val="1"/>
                <w:bCs w:val="1"/>
                <w:color w:val="auto"/>
              </w:rPr>
              <w:t>High</w:t>
            </w:r>
          </w:p>
        </w:tc>
        <w:tc>
          <w:tcPr>
            <w:tcW w:w="14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Average</w:t>
            </w:r>
          </w:p>
        </w:tc>
      </w:tr>
      <w:tr>
        <w:trPr>
          <w:trHeight w:val="27"/>
        </w:trPr>
        <w:tc>
          <w:tcPr>
            <w:tcW w:w="2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gridSpan w:val="4"/>
          </w:tcPr>
          <w:p>
            <w:pPr>
              <w:jc w:val="right"/>
              <w:ind w:right="490"/>
              <w:spacing w:after="0"/>
              <w:rPr>
                <w:sz w:val="20"/>
                <w:szCs w:val="20"/>
                <w:color w:val="auto"/>
              </w:rPr>
            </w:pPr>
            <w:r>
              <w:rPr>
                <w:rFonts w:ascii="Arial" w:cs="Arial" w:eastAsia="Arial" w:hAnsi="Arial"/>
                <w:sz w:val="18"/>
                <w:szCs w:val="18"/>
                <w:color w:val="auto"/>
              </w:rPr>
              <w:t>(in millions)</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0"/>
        </w:trPr>
        <w:tc>
          <w:tcPr>
            <w:tcW w:w="2740" w:type="dxa"/>
            <w:vAlign w:val="bottom"/>
            <w:gridSpan w:val="2"/>
          </w:tcPr>
          <w:p>
            <w:pPr>
              <w:ind w:left="20"/>
              <w:spacing w:after="0"/>
              <w:rPr>
                <w:sz w:val="20"/>
                <w:szCs w:val="20"/>
                <w:color w:val="auto"/>
              </w:rPr>
            </w:pPr>
            <w:r>
              <w:rPr>
                <w:rFonts w:ascii="Arial" w:cs="Arial" w:eastAsia="Arial" w:hAnsi="Arial"/>
                <w:sz w:val="18"/>
                <w:szCs w:val="18"/>
                <w:b w:val="1"/>
                <w:bCs w:val="1"/>
                <w:color w:val="auto"/>
              </w:rPr>
              <w:t>As of June 30, 2019</w:t>
            </w: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2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Discounted cash</w:t>
            </w: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Electricity forward price (per</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Electricity physical forwards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flow</w:t>
            </w:r>
          </w:p>
        </w:tc>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MWh)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13.63</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51.43</w:t>
            </w:r>
          </w:p>
        </w:tc>
      </w:tr>
      <w:tr>
        <w:trPr>
          <w:trHeight w:val="229"/>
        </w:trPr>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w w:val="97"/>
              </w:rPr>
              <w:t>Discounted cash</w:t>
            </w: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Natural gas forward price</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Natural gas financial swaps</w:t>
            </w:r>
          </w:p>
        </w:tc>
        <w:tc>
          <w:tcPr>
            <w:tcW w:w="16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flow</w:t>
            </w: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(per Decatherm)</w:t>
            </w:r>
          </w:p>
        </w:tc>
        <w:tc>
          <w:tcPr>
            <w:tcW w:w="160" w:type="dxa"/>
            <w:vAlign w:val="bottom"/>
          </w:tcPr>
          <w:p>
            <w:pPr>
              <w:spacing w:after="0"/>
              <w:rPr>
                <w:sz w:val="20"/>
                <w:szCs w:val="20"/>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1.67</w:t>
            </w:r>
          </w:p>
        </w:tc>
      </w:tr>
      <w:tr>
        <w:trPr>
          <w:trHeight w:val="27"/>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2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Discounted cash</w:t>
            </w: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Electricity forward price (per</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57"/>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Electricity financial futures</w:t>
            </w: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flow</w:t>
            </w:r>
          </w:p>
        </w:tc>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MWh)</w:t>
            </w: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37.17</w:t>
            </w:r>
          </w:p>
        </w:tc>
      </w:tr>
      <w:tr>
        <w:trPr>
          <w:trHeight w:val="237"/>
        </w:trPr>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67"/>
        </w:trPr>
        <w:tc>
          <w:tcPr>
            <w:tcW w:w="26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1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6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6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880" w:type="dxa"/>
            <w:vAlign w:val="bottom"/>
            <w:tcBorders>
              <w:bottom w:val="single" w:sz="8" w:color="CCEEFF"/>
            </w:tcBorders>
          </w:tcPr>
          <w:p>
            <w:pPr>
              <w:spacing w:after="0"/>
              <w:rPr>
                <w:sz w:val="5"/>
                <w:szCs w:val="5"/>
                <w:color w:val="auto"/>
              </w:rPr>
            </w:pPr>
          </w:p>
        </w:tc>
      </w:tr>
      <w:tr>
        <w:trPr>
          <w:trHeight w:val="231"/>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2018</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29"/>
        </w:trPr>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w w:val="97"/>
              </w:rPr>
              <w:t>Discounted cash</w:t>
            </w: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Electricity forward price (per</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Electricity physical forwards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flow</w:t>
            </w: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MWh)</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14.60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69.00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45.00</w:t>
            </w:r>
          </w:p>
        </w:tc>
      </w:tr>
      <w:tr>
        <w:trPr>
          <w:trHeight w:val="27"/>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2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Discounted cash</w:t>
            </w: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Natural gas forward price</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57"/>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Natural gas financial swaps</w:t>
            </w: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flow</w:t>
            </w:r>
          </w:p>
        </w:tc>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(per Decatherm)</w:t>
            </w: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r>
      <w:tr>
        <w:trPr>
          <w:trHeight w:val="237"/>
        </w:trPr>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
        </w:trPr>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9"/>
          <w:szCs w:val="19"/>
          <w:color w:val="auto"/>
        </w:rPr>
        <w:t>The significant unobservable inputs used in the Company’s fair value measurement of price risk management assets and liabilities are long-term forward prices for commodity derivatives. For shorter term contracts, PGE employs the mid-point of the bid-ask spread of the market and these inputs are derived using observed transactions in active markets, as well as historical experience as a participant in those markets. These price inputs are validated against independent market data from multiple sources. For certain long-term contracts, observable, liquid market transactions are not available for the duration of the delivery period. In such instances, the Company uses internally-developed price curves, which derive longer term prices and utilize observable data when available. When not available, regression techniques are used to estimate unobservable future prices. In addition, changes in the fair value measurement of price risk management assets and liabilities are analyzed and reviewed on a quarterly basis by the Company.</w:t>
      </w:r>
    </w:p>
    <w:p>
      <w:pPr>
        <w:spacing w:after="0" w:line="19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Company’s Level 3 assets and liabilities from price risk management activities are sensitive to market price changes in the respective underlying commodities. The significance of the impact is dependent upon the magnitude of the price change and PGE’s position as either the buyer or seller under the contract. Sensitivity of the fair value measurements to changes in the significant unobservable inputs is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Significant Unobservable Input</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7"/>
              </w:rPr>
              <w:t>Position</w:t>
            </w:r>
          </w:p>
        </w:tc>
        <w:tc>
          <w:tcPr>
            <w:tcW w:w="120" w:type="dxa"/>
            <w:vAlign w:val="bottom"/>
          </w:tcPr>
          <w:p>
            <w:pPr>
              <w:spacing w:after="0"/>
              <w:rPr>
                <w:sz w:val="20"/>
                <w:szCs w:val="20"/>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Change to Input</w:t>
            </w: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2"/>
              </w:rPr>
              <w:t>Impact on Fair Value Measurement</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Market price</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Buy</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Increase (decrease)</w:t>
            </w:r>
          </w:p>
        </w:tc>
        <w:tc>
          <w:tcPr>
            <w:tcW w:w="3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Gain (loss)</w:t>
            </w:r>
          </w:p>
        </w:tc>
      </w:tr>
      <w:tr>
        <w:trPr>
          <w:trHeight w:val="243"/>
        </w:trPr>
        <w:tc>
          <w:tcPr>
            <w:tcW w:w="33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Market price</w:t>
            </w:r>
          </w:p>
        </w:tc>
        <w:tc>
          <w:tcPr>
            <w:tcW w:w="2160" w:type="dxa"/>
            <w:vAlign w:val="bottom"/>
          </w:tcPr>
          <w:p>
            <w:pPr>
              <w:jc w:val="center"/>
              <w:spacing w:after="0"/>
              <w:rPr>
                <w:sz w:val="20"/>
                <w:szCs w:val="20"/>
                <w:color w:val="auto"/>
              </w:rPr>
            </w:pPr>
            <w:r>
              <w:rPr>
                <w:rFonts w:ascii="Arial" w:cs="Arial" w:eastAsia="Arial" w:hAnsi="Arial"/>
                <w:sz w:val="18"/>
                <w:szCs w:val="18"/>
                <w:color w:val="auto"/>
                <w:w w:val="93"/>
              </w:rPr>
              <w:t>Sell</w:t>
            </w:r>
          </w:p>
        </w:tc>
        <w:tc>
          <w:tcPr>
            <w:tcW w:w="120" w:type="dxa"/>
            <w:vAlign w:val="bottom"/>
          </w:tcPr>
          <w:p>
            <w:pPr>
              <w:spacing w:after="0"/>
              <w:rPr>
                <w:sz w:val="21"/>
                <w:szCs w:val="21"/>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Increase (decrease)</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Loss (gain)</w:t>
            </w:r>
          </w:p>
        </w:tc>
      </w:tr>
      <w:tr>
        <w:trPr>
          <w:trHeight w:val="837"/>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80" w:type="dxa"/>
            <w:vAlign w:val="bottom"/>
            <w:gridSpan w:val="2"/>
          </w:tcPr>
          <w:p>
            <w:pPr>
              <w:jc w:val="right"/>
              <w:ind w:right="189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line="257" w:lineRule="auto"/>
        <w:rPr>
          <w:sz w:val="20"/>
          <w:szCs w:val="20"/>
          <w:color w:val="auto"/>
        </w:rPr>
      </w:pPr>
      <w:r>
        <w:rPr>
          <w:rFonts w:ascii="Arial" w:cs="Arial" w:eastAsia="Arial" w:hAnsi="Arial"/>
          <w:sz w:val="20"/>
          <w:szCs w:val="20"/>
          <w:b w:val="1"/>
          <w:bCs w:val="1"/>
          <w:color w:val="auto"/>
        </w:rPr>
        <w:t xml:space="preserve">PORTLAND GENERAL ELECTRIC COMPANY NOTES TO CONDENSED CONSOLIDATED FINANCIAL STATEMENTS, continued </w:t>
      </w:r>
      <w:r>
        <w:rPr>
          <w:rFonts w:ascii="Arial" w:cs="Arial" w:eastAsia="Arial" w:hAnsi="Arial"/>
          <w:sz w:val="20"/>
          <w:szCs w:val="20"/>
          <w:color w:val="auto"/>
        </w:rPr>
        <w:t>(Unaudited)</w:t>
      </w:r>
    </w:p>
    <w:p>
      <w:pPr>
        <w:spacing w:after="0" w:line="200" w:lineRule="exact"/>
        <w:rPr>
          <w:sz w:val="20"/>
          <w:szCs w:val="20"/>
          <w:color w:val="auto"/>
        </w:rPr>
      </w:pPr>
    </w:p>
    <w:p>
      <w:pPr>
        <w:spacing w:after="0" w:line="245"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Changes in the fair value of net liabilities from price risk management activities (net of assets from price risk management activities) classified as Level 3 in the fair value hierarchy were as follows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580" w:type="dxa"/>
            <w:vAlign w:val="bottom"/>
          </w:tcPr>
          <w:p>
            <w:pPr>
              <w:spacing w:after="0"/>
              <w:rPr>
                <w:sz w:val="22"/>
                <w:szCs w:val="22"/>
                <w:color w:val="auto"/>
              </w:rPr>
            </w:pPr>
          </w:p>
        </w:tc>
        <w:tc>
          <w:tcPr>
            <w:tcW w:w="3080" w:type="dxa"/>
            <w:vAlign w:val="bottom"/>
            <w:gridSpan w:val="6"/>
          </w:tcPr>
          <w:p>
            <w:pPr>
              <w:ind w:left="160"/>
              <w:spacing w:after="0"/>
              <w:rPr>
                <w:sz w:val="20"/>
                <w:szCs w:val="20"/>
                <w:color w:val="auto"/>
              </w:rPr>
            </w:pPr>
            <w:r>
              <w:rPr>
                <w:rFonts w:ascii="Arial" w:cs="Arial" w:eastAsia="Arial" w:hAnsi="Arial"/>
                <w:sz w:val="20"/>
                <w:szCs w:val="20"/>
                <w:b w:val="1"/>
                <w:bCs w:val="1"/>
                <w:color w:val="auto"/>
              </w:rPr>
              <w:t>Three Months Ended June 30,</w:t>
            </w:r>
          </w:p>
        </w:tc>
        <w:tc>
          <w:tcPr>
            <w:tcW w:w="180" w:type="dxa"/>
            <w:vAlign w:val="bottom"/>
          </w:tcPr>
          <w:p>
            <w:pPr>
              <w:spacing w:after="0"/>
              <w:rPr>
                <w:sz w:val="22"/>
                <w:szCs w:val="22"/>
                <w:color w:val="auto"/>
              </w:rPr>
            </w:pPr>
          </w:p>
        </w:tc>
        <w:tc>
          <w:tcPr>
            <w:tcW w:w="2580" w:type="dxa"/>
            <w:vAlign w:val="bottom"/>
            <w:gridSpan w:val="4"/>
          </w:tcPr>
          <w:p>
            <w:pPr>
              <w:jc w:val="right"/>
              <w:ind w:right="101"/>
              <w:spacing w:after="0"/>
              <w:rPr>
                <w:sz w:val="20"/>
                <w:szCs w:val="20"/>
                <w:color w:val="auto"/>
              </w:rPr>
            </w:pPr>
            <w:r>
              <w:rPr>
                <w:rFonts w:ascii="Arial" w:cs="Arial" w:eastAsia="Arial" w:hAnsi="Arial"/>
                <w:sz w:val="20"/>
                <w:szCs w:val="20"/>
                <w:b w:val="1"/>
                <w:bCs w:val="1"/>
                <w:color w:val="auto"/>
                <w:w w:val="91"/>
              </w:rPr>
              <w:t>Six Months Ended June 30,</w:t>
            </w:r>
          </w:p>
        </w:tc>
      </w:tr>
      <w:tr>
        <w:trPr>
          <w:trHeight w:val="23"/>
        </w:trPr>
        <w:tc>
          <w:tcPr>
            <w:tcW w:w="55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4"/>
        </w:trPr>
        <w:tc>
          <w:tcPr>
            <w:tcW w:w="5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2019</w:t>
            </w: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21"/>
              <w:spacing w:after="0"/>
              <w:rPr>
                <w:sz w:val="20"/>
                <w:szCs w:val="20"/>
                <w:color w:val="auto"/>
              </w:rPr>
            </w:pPr>
            <w:r>
              <w:rPr>
                <w:rFonts w:ascii="Arial" w:cs="Arial" w:eastAsia="Arial" w:hAnsi="Arial"/>
                <w:sz w:val="20"/>
                <w:szCs w:val="20"/>
                <w:b w:val="1"/>
                <w:bCs w:val="1"/>
                <w:color w:val="auto"/>
              </w:rPr>
              <w:t>2018</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341"/>
              <w:spacing w:after="0"/>
              <w:rPr>
                <w:sz w:val="20"/>
                <w:szCs w:val="20"/>
                <w:color w:val="auto"/>
              </w:rPr>
            </w:pPr>
            <w:r>
              <w:rPr>
                <w:rFonts w:ascii="Arial" w:cs="Arial" w:eastAsia="Arial" w:hAnsi="Arial"/>
                <w:sz w:val="20"/>
                <w:szCs w:val="20"/>
                <w:b w:val="1"/>
                <w:bCs w:val="1"/>
                <w:color w:val="auto"/>
              </w:rPr>
              <w:t>2019</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41"/>
              <w:spacing w:after="0"/>
              <w:rPr>
                <w:sz w:val="20"/>
                <w:szCs w:val="20"/>
                <w:color w:val="auto"/>
              </w:rPr>
            </w:pPr>
            <w:r>
              <w:rPr>
                <w:rFonts w:ascii="Arial" w:cs="Arial" w:eastAsia="Arial" w:hAnsi="Arial"/>
                <w:sz w:val="20"/>
                <w:szCs w:val="20"/>
                <w:b w:val="1"/>
                <w:bCs w:val="1"/>
                <w:color w:val="auto"/>
              </w:rPr>
              <w:t>2018</w:t>
            </w:r>
          </w:p>
        </w:tc>
      </w:tr>
      <w:tr>
        <w:trPr>
          <w:trHeight w:val="23"/>
        </w:trPr>
        <w:tc>
          <w:tcPr>
            <w:tcW w:w="55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Balance as of the beginning of the period</w:t>
            </w:r>
          </w:p>
        </w:tc>
        <w:tc>
          <w:tcPr>
            <w:tcW w:w="900" w:type="dxa"/>
            <w:vAlign w:val="bottom"/>
            <w:tcBorders>
              <w:bottom w:val="single" w:sz="8" w:color="CCEEFF"/>
            </w:tcBorders>
            <w:shd w:val="clear" w:color="auto" w:fill="CCEEFF"/>
          </w:tcPr>
          <w:p>
            <w:pPr>
              <w:jc w:val="right"/>
              <w:ind w:right="681"/>
              <w:spacing w:after="0"/>
              <w:rPr>
                <w:sz w:val="20"/>
                <w:szCs w:val="20"/>
                <w:color w:val="auto"/>
              </w:rPr>
            </w:pPr>
            <w:r>
              <w:rPr>
                <w:rFonts w:ascii="Arial" w:cs="Arial" w:eastAsia="Arial" w:hAnsi="Arial"/>
                <w:sz w:val="20"/>
                <w:szCs w:val="20"/>
                <w:color w:val="auto"/>
                <w:w w:val="89"/>
              </w:rPr>
              <w:t>$</w:t>
            </w:r>
          </w:p>
        </w:tc>
        <w:tc>
          <w:tcPr>
            <w:tcW w:w="3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70</w:t>
            </w:r>
          </w:p>
        </w:tc>
        <w:tc>
          <w:tcPr>
            <w:tcW w:w="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134</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88</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139</w:t>
            </w:r>
          </w:p>
        </w:tc>
      </w:tr>
      <w:tr>
        <w:trPr>
          <w:trHeight w:val="284"/>
        </w:trPr>
        <w:tc>
          <w:tcPr>
            <w:tcW w:w="5580" w:type="dxa"/>
            <w:vAlign w:val="bottom"/>
          </w:tcPr>
          <w:p>
            <w:pPr>
              <w:ind w:left="280"/>
              <w:spacing w:after="0" w:line="283" w:lineRule="exact"/>
              <w:rPr>
                <w:sz w:val="20"/>
                <w:szCs w:val="20"/>
                <w:color w:val="auto"/>
              </w:rPr>
            </w:pPr>
            <w:r>
              <w:rPr>
                <w:rFonts w:ascii="Arial" w:cs="Arial" w:eastAsia="Arial" w:hAnsi="Arial"/>
                <w:sz w:val="20"/>
                <w:szCs w:val="20"/>
                <w:color w:val="auto"/>
              </w:rPr>
              <w:t>Net realized and unrealized (gains)/losses</w:t>
            </w:r>
            <w:r>
              <w:rPr>
                <w:rFonts w:ascii="Arial" w:cs="Arial" w:eastAsia="Arial" w:hAnsi="Arial"/>
                <w:sz w:val="25"/>
                <w:szCs w:val="25"/>
                <w:color w:val="auto"/>
                <w:vertAlign w:val="superscript"/>
              </w:rPr>
              <w:t>*</w:t>
            </w:r>
          </w:p>
        </w:tc>
        <w:tc>
          <w:tcPr>
            <w:tcW w:w="900" w:type="dxa"/>
            <w:vAlign w:val="bottom"/>
          </w:tcPr>
          <w:p>
            <w:pPr>
              <w:spacing w:after="0"/>
              <w:rPr>
                <w:sz w:val="24"/>
                <w:szCs w:val="24"/>
                <w:color w:val="auto"/>
              </w:rPr>
            </w:pPr>
          </w:p>
        </w:tc>
        <w:tc>
          <w:tcPr>
            <w:tcW w:w="360" w:type="dxa"/>
            <w:vAlign w:val="bottom"/>
          </w:tcPr>
          <w:p>
            <w:pPr>
              <w:jc w:val="right"/>
              <w:ind w:right="1"/>
              <w:spacing w:after="0"/>
              <w:rPr>
                <w:sz w:val="20"/>
                <w:szCs w:val="20"/>
                <w:color w:val="auto"/>
              </w:rPr>
            </w:pPr>
            <w:r>
              <w:rPr>
                <w:rFonts w:ascii="Arial" w:cs="Arial" w:eastAsia="Arial" w:hAnsi="Arial"/>
                <w:sz w:val="20"/>
                <w:szCs w:val="20"/>
                <w:color w:val="auto"/>
              </w:rPr>
              <w:t>3</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(16)</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84"/>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Transfers out of Level 3 to Level 2</w:t>
            </w:r>
          </w:p>
        </w:tc>
        <w:tc>
          <w:tcPr>
            <w:tcW w:w="9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w:t>
            </w:r>
          </w:p>
        </w:tc>
        <w:tc>
          <w:tcPr>
            <w:tcW w:w="3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w:t>
            </w:r>
          </w:p>
        </w:tc>
        <w:tc>
          <w:tcPr>
            <w:tcW w:w="2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w:t>
            </w:r>
          </w:p>
        </w:tc>
      </w:tr>
      <w:tr>
        <w:trPr>
          <w:trHeight w:val="272"/>
        </w:trPr>
        <w:tc>
          <w:tcPr>
            <w:tcW w:w="5580" w:type="dxa"/>
            <w:vAlign w:val="bottom"/>
          </w:tcPr>
          <w:p>
            <w:pPr>
              <w:ind w:left="40"/>
              <w:spacing w:after="0"/>
              <w:rPr>
                <w:sz w:val="20"/>
                <w:szCs w:val="20"/>
                <w:color w:val="auto"/>
              </w:rPr>
            </w:pPr>
            <w:r>
              <w:rPr>
                <w:rFonts w:ascii="Arial" w:cs="Arial" w:eastAsia="Arial" w:hAnsi="Arial"/>
                <w:sz w:val="20"/>
                <w:szCs w:val="20"/>
                <w:color w:val="auto"/>
              </w:rPr>
              <w:t>Balance as of the end of the period</w:t>
            </w:r>
          </w:p>
        </w:tc>
        <w:tc>
          <w:tcPr>
            <w:tcW w:w="900" w:type="dxa"/>
            <w:vAlign w:val="bottom"/>
            <w:tcBorders>
              <w:top w:val="single" w:sz="8" w:color="auto"/>
              <w:bottom w:val="single" w:sz="8" w:color="auto"/>
            </w:tcBorders>
          </w:tcPr>
          <w:p>
            <w:pPr>
              <w:jc w:val="right"/>
              <w:ind w:right="681"/>
              <w:spacing w:after="0"/>
              <w:rPr>
                <w:sz w:val="20"/>
                <w:szCs w:val="20"/>
                <w:color w:val="auto"/>
              </w:rPr>
            </w:pPr>
            <w:r>
              <w:rPr>
                <w:rFonts w:ascii="Arial" w:cs="Arial" w:eastAsia="Arial" w:hAnsi="Arial"/>
                <w:sz w:val="20"/>
                <w:szCs w:val="20"/>
                <w:color w:val="auto"/>
                <w:w w:val="89"/>
              </w:rPr>
              <w:t>$</w:t>
            </w:r>
          </w:p>
        </w:tc>
        <w:tc>
          <w:tcPr>
            <w:tcW w:w="3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72</w:t>
            </w:r>
          </w:p>
        </w:tc>
        <w:tc>
          <w:tcPr>
            <w:tcW w:w="340" w:type="dxa"/>
            <w:vAlign w:val="bottom"/>
          </w:tcPr>
          <w:p>
            <w:pPr>
              <w:spacing w:after="0"/>
              <w:rPr>
                <w:sz w:val="23"/>
                <w:szCs w:val="23"/>
                <w:color w:val="auto"/>
              </w:rPr>
            </w:pPr>
          </w:p>
        </w:tc>
        <w:tc>
          <w:tcPr>
            <w:tcW w:w="2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20"/>
                <w:szCs w:val="20"/>
                <w:color w:val="auto"/>
                <w:w w:val="89"/>
              </w:rPr>
              <w:t>$</w:t>
            </w:r>
          </w:p>
        </w:tc>
        <w:tc>
          <w:tcPr>
            <w:tcW w:w="9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129</w:t>
            </w:r>
          </w:p>
        </w:tc>
        <w:tc>
          <w:tcPr>
            <w:tcW w:w="220" w:type="dxa"/>
            <w:vAlign w:val="bottom"/>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rPr>
              <w:t>72</w:t>
            </w:r>
          </w:p>
        </w:tc>
        <w:tc>
          <w:tcPr>
            <w:tcW w:w="220" w:type="dxa"/>
            <w:vAlign w:val="bottom"/>
          </w:tcPr>
          <w:p>
            <w:pPr>
              <w:spacing w:after="0"/>
              <w:rPr>
                <w:sz w:val="23"/>
                <w:szCs w:val="23"/>
                <w:color w:val="auto"/>
              </w:rPr>
            </w:pPr>
          </w:p>
        </w:tc>
        <w:tc>
          <w:tcPr>
            <w:tcW w:w="2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20"/>
                <w:szCs w:val="20"/>
                <w:color w:val="auto"/>
                <w:w w:val="89"/>
              </w:rPr>
              <w:t>$</w:t>
            </w:r>
          </w:p>
        </w:tc>
        <w:tc>
          <w:tcPr>
            <w:tcW w:w="9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129</w:t>
            </w:r>
          </w:p>
        </w:tc>
      </w:tr>
      <w:tr>
        <w:trPr>
          <w:trHeight w:val="20"/>
        </w:trPr>
        <w:tc>
          <w:tcPr>
            <w:tcW w:w="55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180" w:firstLine="8"/>
        <w:spacing w:after="0" w:line="342" w:lineRule="auto"/>
        <w:tabs>
          <w:tab w:leader="none" w:pos="135" w:val="left"/>
        </w:tabs>
        <w:numPr>
          <w:ilvl w:val="0"/>
          <w:numId w:val="7"/>
        </w:numPr>
        <w:rPr>
          <w:rFonts w:ascii="Arial" w:cs="Arial" w:eastAsia="Arial" w:hAnsi="Arial"/>
          <w:sz w:val="16"/>
          <w:szCs w:val="16"/>
          <w:color w:val="auto"/>
        </w:rPr>
      </w:pPr>
      <w:r>
        <w:rPr>
          <w:rFonts w:ascii="Arial" w:cs="Arial" w:eastAsia="Arial" w:hAnsi="Arial"/>
          <w:sz w:val="16"/>
          <w:szCs w:val="16"/>
          <w:color w:val="auto"/>
        </w:rPr>
        <w:t>Both realized and unrealized (gains)/losses, of which the unrealized portion is fully offset by the effects of regulatory accounting until settlement of the underlying transactions, are recorded in Purchased power and fuel expense in the condensed consolidated statements of income and comprehensive income.</w:t>
      </w:r>
    </w:p>
    <w:p>
      <w:pPr>
        <w:spacing w:after="0" w:line="121"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Transfers into Level 3 occur when significant inputs used to value the Company’s derivative instruments become less observable, such as a delivery location becoming significantly less liquid. During the three and six months ended June 30, 2019 and 2018, there were no transfers into Level 3 from Level 2. Transfers out of Level 3 occur when the significant inputs become more observable, such as when the time between the valuation date and the delivery term of a transaction becomes shorter. PGE records transfers in and out of Level 3 at the end of the reporting period for all of its derivative instruments.</w:t>
      </w:r>
    </w:p>
    <w:p>
      <w:pPr>
        <w:spacing w:after="0" w:line="208" w:lineRule="exact"/>
        <w:rPr>
          <w:sz w:val="20"/>
          <w:szCs w:val="20"/>
          <w:color w:val="auto"/>
        </w:rPr>
      </w:pPr>
    </w:p>
    <w:p>
      <w:pPr>
        <w:ind w:right="400"/>
        <w:spacing w:after="0" w:line="250" w:lineRule="auto"/>
        <w:rPr>
          <w:sz w:val="20"/>
          <w:szCs w:val="20"/>
          <w:color w:val="auto"/>
        </w:rPr>
      </w:pPr>
      <w:r>
        <w:rPr>
          <w:rFonts w:ascii="Arial" w:cs="Arial" w:eastAsia="Arial" w:hAnsi="Arial"/>
          <w:sz w:val="20"/>
          <w:szCs w:val="20"/>
          <w:color w:val="auto"/>
        </w:rPr>
        <w:t>Transfers from Level 2 to Level 1 for the Company’s price risk management assets and liabilities do not occur, as quoted prices are not available for identical instruments. As such, the Company’s assets and liabilities from price risk management activities mature and settle as Level 2 fair value measurements.</w:t>
      </w:r>
    </w:p>
    <w:p>
      <w:pPr>
        <w:spacing w:after="0" w:line="200" w:lineRule="exact"/>
        <w:rPr>
          <w:sz w:val="20"/>
          <w:szCs w:val="20"/>
          <w:color w:val="auto"/>
        </w:rPr>
      </w:pPr>
    </w:p>
    <w:p>
      <w:pPr>
        <w:ind w:right="400"/>
        <w:spacing w:after="0" w:line="260" w:lineRule="auto"/>
        <w:rPr>
          <w:sz w:val="20"/>
          <w:szCs w:val="20"/>
          <w:color w:val="auto"/>
        </w:rPr>
      </w:pPr>
      <w:r>
        <w:rPr>
          <w:rFonts w:ascii="Arial" w:cs="Arial" w:eastAsia="Arial" w:hAnsi="Arial"/>
          <w:sz w:val="20"/>
          <w:szCs w:val="20"/>
          <w:b w:val="1"/>
          <w:bCs w:val="1"/>
          <w:i w:val="1"/>
          <w:iCs w:val="1"/>
          <w:color w:val="auto"/>
        </w:rPr>
        <w:t xml:space="preserve">Long-term debt </w:t>
      </w:r>
      <w:r>
        <w:rPr>
          <w:rFonts w:ascii="Arial" w:cs="Arial" w:eastAsia="Arial" w:hAnsi="Arial"/>
          <w:sz w:val="20"/>
          <w:szCs w:val="20"/>
          <w:color w:val="auto"/>
        </w:rPr>
        <w:t>is recorded at amortized cost in PGE’s condensed consolidated balance sheets. The fair value of the Company’s FMBs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Pollution Control Revenue Bonds is classified as a Level 2 fair value measurement.</w:t>
      </w:r>
    </w:p>
    <w:p>
      <w:pPr>
        <w:spacing w:after="0" w:line="190" w:lineRule="exact"/>
        <w:rPr>
          <w:sz w:val="20"/>
          <w:szCs w:val="20"/>
          <w:color w:val="auto"/>
        </w:rPr>
      </w:pPr>
    </w:p>
    <w:p>
      <w:pPr>
        <w:jc w:val="both"/>
        <w:ind w:right="20"/>
        <w:spacing w:after="0" w:line="269" w:lineRule="auto"/>
        <w:rPr>
          <w:sz w:val="20"/>
          <w:szCs w:val="20"/>
          <w:color w:val="auto"/>
        </w:rPr>
      </w:pPr>
      <w:r>
        <w:rPr>
          <w:rFonts w:ascii="Arial" w:cs="Arial" w:eastAsia="Arial" w:hAnsi="Arial"/>
          <w:sz w:val="19"/>
          <w:szCs w:val="19"/>
          <w:color w:val="auto"/>
        </w:rPr>
        <w:t>As of June 30, 2019, the carrying amount of PGE’s long-term debt was $2,377 million, net of $10 million of unamortized debt expense, and its estimated aggregate fair value was $2,651 million. As of December 31, 2018, the carrying amount of PGE’s long-term debt was $2,478 million, net of $10 million of unamortized debt expense, and its estimated aggregate fair value was $2,760 million.</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RISK MANAGEMENT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Price Risk Management</w:t>
      </w:r>
    </w:p>
    <w:p>
      <w:pPr>
        <w:spacing w:after="0" w:line="235"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PGE participates in the wholesale marketplace to balance its supply of power, which consists of its own generation combined with wholesale market transactions, to meet the needs of its retail customers, manage risk, and administer its existing long-term wholesale contracts. Wholesale market transactions include purchases and sales of both power and fuel resulting from economic dispatch decisions for Company-owned generation resources. As a result of this ongoing business activity, PGE is exposed to commodity price risk and foreign currency exchange rate risk, from which changes in prices and/or rates may affect the Company’s financial position, results of operations, or cash flows.</w:t>
      </w:r>
    </w:p>
    <w:p>
      <w:pPr>
        <w:spacing w:after="0" w:line="179"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PGE utilizes derivative instruments to manage its exposure to commodity price risk and foreign exchange rate risk to reduce volatility in NVPC for its retail customers. Such derivative instruments, recorded at fair value on the condensed consolidated balance sheets, may include forward, futures, swaps, and option contracts for electricity,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line="257" w:lineRule="auto"/>
        <w:rPr>
          <w:sz w:val="20"/>
          <w:szCs w:val="20"/>
          <w:color w:val="auto"/>
        </w:rPr>
      </w:pPr>
      <w:r>
        <w:rPr>
          <w:rFonts w:ascii="Arial" w:cs="Arial" w:eastAsia="Arial" w:hAnsi="Arial"/>
          <w:sz w:val="20"/>
          <w:szCs w:val="20"/>
          <w:b w:val="1"/>
          <w:bCs w:val="1"/>
          <w:color w:val="auto"/>
        </w:rPr>
        <w:t xml:space="preserve">PORTLAND GENERAL ELECTRIC COMPANY NOTES TO CONDENSED CONSOLIDATED FINANCIAL STATEMENTS, continued </w:t>
      </w:r>
      <w:r>
        <w:rPr>
          <w:rFonts w:ascii="Arial" w:cs="Arial" w:eastAsia="Arial" w:hAnsi="Arial"/>
          <w:sz w:val="20"/>
          <w:szCs w:val="20"/>
          <w:color w:val="auto"/>
        </w:rPr>
        <w:t>(Unaudited)</w:t>
      </w:r>
    </w:p>
    <w:p>
      <w:pPr>
        <w:spacing w:after="0" w:line="200" w:lineRule="exact"/>
        <w:rPr>
          <w:sz w:val="20"/>
          <w:szCs w:val="20"/>
          <w:color w:val="auto"/>
        </w:rPr>
      </w:pPr>
    </w:p>
    <w:p>
      <w:pPr>
        <w:spacing w:after="0" w:line="245"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natural gas, and foreign currency, with changes in fair value recorded in the condensed consolidated statements of income and comprehensive income. In accordance with the ratemaking and cost recovery processes authorized by the OPUC, the Company recognizes a regulatory asset or liability to defer the gains and losses from derivative activity until settlement of the associated derivative instrument. PGE may designate certain derivative instruments as cash flow hedges or may use derivative instruments as economic hedges. The Company does not engage in trading activities for non-retail purposes.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PGE’s Assets and Liabilities from price risk management activities consist of the following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74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20"/>
                <w:szCs w:val="20"/>
                <w:b w:val="1"/>
                <w:bCs w:val="1"/>
                <w:color w:val="auto"/>
              </w:rPr>
              <w:t>June 30, 2019</w:t>
            </w: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60" w:type="dxa"/>
            <w:vAlign w:val="bottom"/>
          </w:tcPr>
          <w:p>
            <w:pPr>
              <w:jc w:val="right"/>
              <w:ind w:right="181"/>
              <w:spacing w:after="0"/>
              <w:rPr>
                <w:sz w:val="20"/>
                <w:szCs w:val="20"/>
                <w:color w:val="auto"/>
              </w:rPr>
            </w:pPr>
            <w:r>
              <w:rPr>
                <w:rFonts w:ascii="Arial" w:cs="Arial" w:eastAsia="Arial" w:hAnsi="Arial"/>
                <w:sz w:val="20"/>
                <w:szCs w:val="20"/>
                <w:b w:val="1"/>
                <w:bCs w:val="1"/>
                <w:color w:val="auto"/>
                <w:w w:val="92"/>
              </w:rPr>
              <w:t>December 31, 2018</w:t>
            </w:r>
          </w:p>
        </w:tc>
      </w:tr>
      <w:tr>
        <w:trPr>
          <w:trHeight w:val="23"/>
        </w:trPr>
        <w:tc>
          <w:tcPr>
            <w:tcW w:w="674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b w:val="1"/>
                <w:bCs w:val="1"/>
                <w:color w:val="auto"/>
              </w:rPr>
              <w:t>Current assets:</w:t>
            </w:r>
          </w:p>
        </w:tc>
        <w:tc>
          <w:tcPr>
            <w:tcW w:w="1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r>
      <w:tr>
        <w:trPr>
          <w:trHeight w:val="261"/>
        </w:trPr>
        <w:tc>
          <w:tcPr>
            <w:tcW w:w="6740" w:type="dxa"/>
            <w:vAlign w:val="bottom"/>
          </w:tcPr>
          <w:p>
            <w:pPr>
              <w:ind w:left="280"/>
              <w:spacing w:after="0"/>
              <w:rPr>
                <w:sz w:val="20"/>
                <w:szCs w:val="20"/>
                <w:color w:val="auto"/>
              </w:rPr>
            </w:pPr>
            <w:r>
              <w:rPr>
                <w:rFonts w:ascii="Arial" w:cs="Arial" w:eastAsia="Arial" w:hAnsi="Arial"/>
                <w:sz w:val="20"/>
                <w:szCs w:val="20"/>
                <w:color w:val="auto"/>
              </w:rPr>
              <w:t>Commodity contracts:</w:t>
            </w:r>
          </w:p>
        </w:tc>
        <w:tc>
          <w:tcPr>
            <w:tcW w:w="1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60" w:type="dxa"/>
            <w:vAlign w:val="bottom"/>
          </w:tcPr>
          <w:p>
            <w:pPr>
              <w:spacing w:after="0"/>
              <w:rPr>
                <w:sz w:val="22"/>
                <w:szCs w:val="22"/>
                <w:color w:val="auto"/>
              </w:rPr>
            </w:pPr>
          </w:p>
        </w:tc>
      </w:tr>
      <w:tr>
        <w:trPr>
          <w:trHeight w:val="23"/>
        </w:trPr>
        <w:tc>
          <w:tcPr>
            <w:tcW w:w="67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20"/>
                <w:szCs w:val="20"/>
                <w:color w:val="auto"/>
              </w:rPr>
              <w:t>Electricity</w:t>
            </w:r>
          </w:p>
        </w:tc>
        <w:tc>
          <w:tcPr>
            <w:tcW w:w="1720" w:type="dxa"/>
            <w:vAlign w:val="bottom"/>
            <w:tcBorders>
              <w:bottom w:val="single" w:sz="8" w:color="CCEEFF"/>
            </w:tcBorders>
            <w:shd w:val="clear" w:color="auto" w:fill="CCEEFF"/>
          </w:tcPr>
          <w:p>
            <w:pPr>
              <w:jc w:val="right"/>
              <w:ind w:right="1501"/>
              <w:spacing w:after="0"/>
              <w:rPr>
                <w:sz w:val="20"/>
                <w:szCs w:val="20"/>
                <w:color w:val="auto"/>
              </w:rPr>
            </w:pPr>
            <w:r>
              <w:rPr>
                <w:rFonts w:ascii="Arial" w:cs="Arial" w:eastAsia="Arial" w:hAnsi="Arial"/>
                <w:sz w:val="20"/>
                <w:szCs w:val="20"/>
                <w:color w:val="auto"/>
                <w:w w:val="89"/>
              </w:rPr>
              <w:t>$</w:t>
            </w:r>
          </w:p>
        </w:tc>
        <w:tc>
          <w:tcPr>
            <w:tcW w:w="4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15</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9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11</w:t>
            </w:r>
          </w:p>
        </w:tc>
      </w:tr>
      <w:tr>
        <w:trPr>
          <w:trHeight w:val="261"/>
        </w:trPr>
        <w:tc>
          <w:tcPr>
            <w:tcW w:w="6740" w:type="dxa"/>
            <w:vAlign w:val="bottom"/>
          </w:tcPr>
          <w:p>
            <w:pPr>
              <w:ind w:left="500"/>
              <w:spacing w:after="0"/>
              <w:rPr>
                <w:sz w:val="20"/>
                <w:szCs w:val="20"/>
                <w:color w:val="auto"/>
              </w:rPr>
            </w:pPr>
            <w:r>
              <w:rPr>
                <w:rFonts w:ascii="Arial" w:cs="Arial" w:eastAsia="Arial" w:hAnsi="Arial"/>
                <w:sz w:val="20"/>
                <w:szCs w:val="20"/>
                <w:color w:val="auto"/>
              </w:rPr>
              <w:t>Natural gas</w:t>
            </w:r>
          </w:p>
        </w:tc>
        <w:tc>
          <w:tcPr>
            <w:tcW w:w="1720" w:type="dxa"/>
            <w:vAlign w:val="bottom"/>
          </w:tcPr>
          <w:p>
            <w:pPr>
              <w:spacing w:after="0"/>
              <w:rPr>
                <w:sz w:val="22"/>
                <w:szCs w:val="22"/>
                <w:color w:val="auto"/>
              </w:rPr>
            </w:pPr>
          </w:p>
        </w:tc>
        <w:tc>
          <w:tcPr>
            <w:tcW w:w="440" w:type="dxa"/>
            <w:vAlign w:val="bottom"/>
          </w:tcPr>
          <w:p>
            <w:pPr>
              <w:jc w:val="right"/>
              <w:ind w:right="1"/>
              <w:spacing w:after="0"/>
              <w:rPr>
                <w:sz w:val="20"/>
                <w:szCs w:val="20"/>
                <w:color w:val="auto"/>
              </w:rPr>
            </w:pPr>
            <w:r>
              <w:rPr>
                <w:rFonts w:ascii="Arial" w:cs="Arial" w:eastAsia="Arial" w:hAnsi="Arial"/>
                <w:sz w:val="20"/>
                <w:szCs w:val="20"/>
                <w:color w:val="auto"/>
              </w:rPr>
              <w:t>5</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60" w:type="dxa"/>
            <w:vAlign w:val="bottom"/>
          </w:tcPr>
          <w:p>
            <w:pPr>
              <w:jc w:val="right"/>
              <w:ind w:right="1"/>
              <w:spacing w:after="0"/>
              <w:rPr>
                <w:sz w:val="20"/>
                <w:szCs w:val="20"/>
                <w:color w:val="auto"/>
              </w:rPr>
            </w:pPr>
            <w:r>
              <w:rPr>
                <w:rFonts w:ascii="Arial" w:cs="Arial" w:eastAsia="Arial" w:hAnsi="Arial"/>
                <w:sz w:val="20"/>
                <w:szCs w:val="20"/>
                <w:color w:val="auto"/>
              </w:rPr>
              <w:t>7</w:t>
            </w:r>
          </w:p>
        </w:tc>
      </w:tr>
      <w:tr>
        <w:trPr>
          <w:trHeight w:val="23"/>
        </w:trPr>
        <w:tc>
          <w:tcPr>
            <w:tcW w:w="674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77"/>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Total current derivative assets*</w:t>
            </w:r>
          </w:p>
        </w:tc>
        <w:tc>
          <w:tcPr>
            <w:tcW w:w="17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20</w:t>
            </w:r>
          </w:p>
        </w:tc>
        <w:tc>
          <w:tcPr>
            <w:tcW w:w="3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9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18</w:t>
            </w:r>
          </w:p>
        </w:tc>
      </w:tr>
      <w:tr>
        <w:trPr>
          <w:trHeight w:val="241"/>
        </w:trPr>
        <w:tc>
          <w:tcPr>
            <w:tcW w:w="6740" w:type="dxa"/>
            <w:vAlign w:val="bottom"/>
          </w:tcPr>
          <w:p>
            <w:pPr>
              <w:ind w:left="40"/>
              <w:spacing w:after="0"/>
              <w:rPr>
                <w:sz w:val="20"/>
                <w:szCs w:val="20"/>
                <w:color w:val="auto"/>
              </w:rPr>
            </w:pPr>
            <w:r>
              <w:rPr>
                <w:rFonts w:ascii="Arial" w:cs="Arial" w:eastAsia="Arial" w:hAnsi="Arial"/>
                <w:sz w:val="20"/>
                <w:szCs w:val="20"/>
                <w:b w:val="1"/>
                <w:bCs w:val="1"/>
                <w:color w:val="auto"/>
              </w:rPr>
              <w:t>Noncurrent assets:</w:t>
            </w:r>
          </w:p>
        </w:tc>
        <w:tc>
          <w:tcPr>
            <w:tcW w:w="17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spacing w:after="0"/>
              <w:rPr>
                <w:sz w:val="20"/>
                <w:szCs w:val="20"/>
                <w:color w:val="auto"/>
              </w:rPr>
            </w:pPr>
          </w:p>
        </w:tc>
      </w:tr>
      <w:tr>
        <w:trPr>
          <w:trHeight w:val="23"/>
        </w:trPr>
        <w:tc>
          <w:tcPr>
            <w:tcW w:w="67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Commodity contracts:</w:t>
            </w:r>
          </w:p>
        </w:tc>
        <w:tc>
          <w:tcPr>
            <w:tcW w:w="17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spacing w:after="0"/>
              <w:rPr>
                <w:sz w:val="22"/>
                <w:szCs w:val="22"/>
                <w:color w:val="auto"/>
              </w:rPr>
            </w:pPr>
          </w:p>
        </w:tc>
      </w:tr>
      <w:tr>
        <w:trPr>
          <w:trHeight w:val="261"/>
        </w:trPr>
        <w:tc>
          <w:tcPr>
            <w:tcW w:w="6740" w:type="dxa"/>
            <w:vAlign w:val="bottom"/>
          </w:tcPr>
          <w:p>
            <w:pPr>
              <w:ind w:left="500"/>
              <w:spacing w:after="0"/>
              <w:rPr>
                <w:sz w:val="20"/>
                <w:szCs w:val="20"/>
                <w:color w:val="auto"/>
              </w:rPr>
            </w:pPr>
            <w:r>
              <w:rPr>
                <w:rFonts w:ascii="Arial" w:cs="Arial" w:eastAsia="Arial" w:hAnsi="Arial"/>
                <w:sz w:val="20"/>
                <w:szCs w:val="20"/>
                <w:color w:val="auto"/>
              </w:rPr>
              <w:t>Electricity</w:t>
            </w:r>
          </w:p>
        </w:tc>
        <w:tc>
          <w:tcPr>
            <w:tcW w:w="1720" w:type="dxa"/>
            <w:vAlign w:val="bottom"/>
          </w:tcPr>
          <w:p>
            <w:pPr>
              <w:spacing w:after="0"/>
              <w:rPr>
                <w:sz w:val="22"/>
                <w:szCs w:val="22"/>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2"/>
                <w:szCs w:val="22"/>
                <w:color w:val="auto"/>
              </w:rPr>
            </w:pPr>
          </w:p>
        </w:tc>
        <w:tc>
          <w:tcPr>
            <w:tcW w:w="1960" w:type="dxa"/>
            <w:vAlign w:val="bottom"/>
          </w:tcPr>
          <w:p>
            <w:pPr>
              <w:jc w:val="right"/>
              <w:ind w:right="1"/>
              <w:spacing w:after="0"/>
              <w:rPr>
                <w:sz w:val="20"/>
                <w:szCs w:val="20"/>
                <w:color w:val="auto"/>
              </w:rPr>
            </w:pPr>
            <w:r>
              <w:rPr>
                <w:rFonts w:ascii="Arial" w:cs="Arial" w:eastAsia="Arial" w:hAnsi="Arial"/>
                <w:sz w:val="20"/>
                <w:szCs w:val="20"/>
                <w:color w:val="auto"/>
              </w:rPr>
              <w:t>1</w:t>
            </w:r>
          </w:p>
        </w:tc>
      </w:tr>
      <w:tr>
        <w:trPr>
          <w:trHeight w:val="23"/>
        </w:trPr>
        <w:tc>
          <w:tcPr>
            <w:tcW w:w="67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84"/>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20"/>
                <w:szCs w:val="20"/>
                <w:color w:val="auto"/>
              </w:rPr>
              <w:t>Natural gas</w:t>
            </w:r>
          </w:p>
        </w:tc>
        <w:tc>
          <w:tcPr>
            <w:tcW w:w="17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w:t>
            </w:r>
          </w:p>
        </w:tc>
        <w:tc>
          <w:tcPr>
            <w:tcW w:w="3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9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w:t>
            </w:r>
          </w:p>
        </w:tc>
      </w:tr>
      <w:tr>
        <w:trPr>
          <w:trHeight w:val="254"/>
        </w:trPr>
        <w:tc>
          <w:tcPr>
            <w:tcW w:w="6740" w:type="dxa"/>
            <w:vAlign w:val="bottom"/>
          </w:tcPr>
          <w:p>
            <w:pPr>
              <w:ind w:left="720"/>
              <w:spacing w:after="0"/>
              <w:rPr>
                <w:sz w:val="20"/>
                <w:szCs w:val="20"/>
                <w:color w:val="auto"/>
              </w:rPr>
            </w:pPr>
            <w:r>
              <w:rPr>
                <w:rFonts w:ascii="Arial" w:cs="Arial" w:eastAsia="Arial" w:hAnsi="Arial"/>
                <w:sz w:val="20"/>
                <w:szCs w:val="20"/>
                <w:color w:val="auto"/>
              </w:rPr>
              <w:t>Total noncurrent derivative assets</w:t>
            </w:r>
          </w:p>
        </w:tc>
        <w:tc>
          <w:tcPr>
            <w:tcW w:w="172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3</w:t>
            </w:r>
          </w:p>
        </w:tc>
        <w:tc>
          <w:tcPr>
            <w:tcW w:w="3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96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2</w:t>
            </w:r>
          </w:p>
        </w:tc>
      </w:tr>
      <w:tr>
        <w:trPr>
          <w:trHeight w:val="23"/>
        </w:trPr>
        <w:tc>
          <w:tcPr>
            <w:tcW w:w="674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72"/>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Total derivative assets not designated as hedging instruments</w:t>
            </w:r>
          </w:p>
        </w:tc>
        <w:tc>
          <w:tcPr>
            <w:tcW w:w="1720" w:type="dxa"/>
            <w:vAlign w:val="bottom"/>
            <w:tcBorders>
              <w:bottom w:val="single" w:sz="8" w:color="auto"/>
            </w:tcBorders>
            <w:shd w:val="clear" w:color="auto" w:fill="CCEEFF"/>
          </w:tcPr>
          <w:p>
            <w:pPr>
              <w:jc w:val="right"/>
              <w:ind w:right="1501"/>
              <w:spacing w:after="0"/>
              <w:rPr>
                <w:sz w:val="20"/>
                <w:szCs w:val="20"/>
                <w:color w:val="auto"/>
              </w:rPr>
            </w:pPr>
            <w:r>
              <w:rPr>
                <w:rFonts w:ascii="Arial" w:cs="Arial" w:eastAsia="Arial" w:hAnsi="Arial"/>
                <w:sz w:val="20"/>
                <w:szCs w:val="20"/>
                <w:color w:val="auto"/>
                <w:w w:val="89"/>
              </w:rPr>
              <w:t>$</w:t>
            </w:r>
          </w:p>
        </w:tc>
        <w:tc>
          <w:tcPr>
            <w:tcW w:w="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23</w:t>
            </w:r>
          </w:p>
        </w:tc>
        <w:tc>
          <w:tcPr>
            <w:tcW w:w="3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20</w:t>
            </w:r>
          </w:p>
        </w:tc>
      </w:tr>
      <w:tr>
        <w:trPr>
          <w:trHeight w:val="20"/>
        </w:trPr>
        <w:tc>
          <w:tcPr>
            <w:tcW w:w="67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304"/>
        </w:trPr>
        <w:tc>
          <w:tcPr>
            <w:tcW w:w="6740" w:type="dxa"/>
            <w:vAlign w:val="bottom"/>
            <w:tcBorders>
              <w:bottom w:val="single" w:sz="8" w:color="CCEEFF"/>
            </w:tcBorders>
          </w:tcPr>
          <w:p>
            <w:pPr>
              <w:ind w:left="720"/>
              <w:spacing w:after="0"/>
              <w:rPr>
                <w:sz w:val="20"/>
                <w:szCs w:val="20"/>
                <w:color w:val="auto"/>
              </w:rPr>
            </w:pPr>
            <w:r>
              <w:rPr>
                <w:rFonts w:ascii="Arial" w:cs="Arial" w:eastAsia="Arial" w:hAnsi="Arial"/>
                <w:sz w:val="20"/>
                <w:szCs w:val="20"/>
                <w:color w:val="auto"/>
              </w:rPr>
              <w:t>Total derivative assets</w:t>
            </w:r>
          </w:p>
        </w:tc>
        <w:tc>
          <w:tcPr>
            <w:tcW w:w="1720" w:type="dxa"/>
            <w:vAlign w:val="bottom"/>
            <w:tcBorders>
              <w:bottom w:val="single" w:sz="8" w:color="auto"/>
            </w:tcBorders>
          </w:tcPr>
          <w:p>
            <w:pPr>
              <w:jc w:val="right"/>
              <w:ind w:right="1501"/>
              <w:spacing w:after="0"/>
              <w:rPr>
                <w:sz w:val="20"/>
                <w:szCs w:val="20"/>
                <w:color w:val="auto"/>
              </w:rPr>
            </w:pPr>
            <w:r>
              <w:rPr>
                <w:rFonts w:ascii="Arial" w:cs="Arial" w:eastAsia="Arial" w:hAnsi="Arial"/>
                <w:sz w:val="20"/>
                <w:szCs w:val="20"/>
                <w:color w:val="auto"/>
                <w:w w:val="89"/>
              </w:rPr>
              <w:t>$</w:t>
            </w:r>
          </w:p>
        </w:tc>
        <w:tc>
          <w:tcPr>
            <w:tcW w:w="4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23</w:t>
            </w:r>
          </w:p>
        </w:tc>
        <w:tc>
          <w:tcPr>
            <w:tcW w:w="3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9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20</w:t>
            </w:r>
          </w:p>
        </w:tc>
      </w:tr>
      <w:tr>
        <w:trPr>
          <w:trHeight w:val="23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b w:val="1"/>
                <w:bCs w:val="1"/>
                <w:color w:val="auto"/>
              </w:rPr>
              <w:t>Current liabilities:</w:t>
            </w:r>
          </w:p>
        </w:tc>
        <w:tc>
          <w:tcPr>
            <w:tcW w:w="17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r>
      <w:tr>
        <w:trPr>
          <w:trHeight w:val="261"/>
        </w:trPr>
        <w:tc>
          <w:tcPr>
            <w:tcW w:w="6740" w:type="dxa"/>
            <w:vAlign w:val="bottom"/>
          </w:tcPr>
          <w:p>
            <w:pPr>
              <w:ind w:left="280"/>
              <w:spacing w:after="0"/>
              <w:rPr>
                <w:sz w:val="20"/>
                <w:szCs w:val="20"/>
                <w:color w:val="auto"/>
              </w:rPr>
            </w:pPr>
            <w:r>
              <w:rPr>
                <w:rFonts w:ascii="Arial" w:cs="Arial" w:eastAsia="Arial" w:hAnsi="Arial"/>
                <w:sz w:val="20"/>
                <w:szCs w:val="20"/>
                <w:color w:val="auto"/>
              </w:rPr>
              <w:t>Commodity contracts:</w:t>
            </w:r>
          </w:p>
        </w:tc>
        <w:tc>
          <w:tcPr>
            <w:tcW w:w="1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60" w:type="dxa"/>
            <w:vAlign w:val="bottom"/>
          </w:tcPr>
          <w:p>
            <w:pPr>
              <w:spacing w:after="0"/>
              <w:rPr>
                <w:sz w:val="22"/>
                <w:szCs w:val="22"/>
                <w:color w:val="auto"/>
              </w:rPr>
            </w:pPr>
          </w:p>
        </w:tc>
      </w:tr>
      <w:tr>
        <w:trPr>
          <w:trHeight w:val="23"/>
        </w:trPr>
        <w:tc>
          <w:tcPr>
            <w:tcW w:w="67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20"/>
                <w:szCs w:val="20"/>
                <w:color w:val="auto"/>
              </w:rPr>
              <w:t>Electricity</w:t>
            </w:r>
          </w:p>
        </w:tc>
        <w:tc>
          <w:tcPr>
            <w:tcW w:w="1720" w:type="dxa"/>
            <w:vAlign w:val="bottom"/>
            <w:tcBorders>
              <w:bottom w:val="single" w:sz="8" w:color="CCEEFF"/>
            </w:tcBorders>
            <w:shd w:val="clear" w:color="auto" w:fill="CCEEFF"/>
          </w:tcPr>
          <w:p>
            <w:pPr>
              <w:jc w:val="right"/>
              <w:ind w:right="1501"/>
              <w:spacing w:after="0"/>
              <w:rPr>
                <w:sz w:val="20"/>
                <w:szCs w:val="20"/>
                <w:color w:val="auto"/>
              </w:rPr>
            </w:pPr>
            <w:r>
              <w:rPr>
                <w:rFonts w:ascii="Arial" w:cs="Arial" w:eastAsia="Arial" w:hAnsi="Arial"/>
                <w:sz w:val="20"/>
                <w:szCs w:val="20"/>
                <w:color w:val="auto"/>
                <w:w w:val="89"/>
              </w:rPr>
              <w:t>$</w:t>
            </w:r>
          </w:p>
        </w:tc>
        <w:tc>
          <w:tcPr>
            <w:tcW w:w="4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14</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9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16</w:t>
            </w:r>
          </w:p>
        </w:tc>
      </w:tr>
      <w:tr>
        <w:trPr>
          <w:trHeight w:val="261"/>
        </w:trPr>
        <w:tc>
          <w:tcPr>
            <w:tcW w:w="6740" w:type="dxa"/>
            <w:vAlign w:val="bottom"/>
          </w:tcPr>
          <w:p>
            <w:pPr>
              <w:ind w:left="500"/>
              <w:spacing w:after="0"/>
              <w:rPr>
                <w:sz w:val="20"/>
                <w:szCs w:val="20"/>
                <w:color w:val="auto"/>
              </w:rPr>
            </w:pPr>
            <w:r>
              <w:rPr>
                <w:rFonts w:ascii="Arial" w:cs="Arial" w:eastAsia="Arial" w:hAnsi="Arial"/>
                <w:sz w:val="20"/>
                <w:szCs w:val="20"/>
                <w:color w:val="auto"/>
              </w:rPr>
              <w:t>Natural gas</w:t>
            </w:r>
          </w:p>
        </w:tc>
        <w:tc>
          <w:tcPr>
            <w:tcW w:w="1720" w:type="dxa"/>
            <w:vAlign w:val="bottom"/>
          </w:tcPr>
          <w:p>
            <w:pPr>
              <w:spacing w:after="0"/>
              <w:rPr>
                <w:sz w:val="22"/>
                <w:szCs w:val="22"/>
                <w:color w:val="auto"/>
              </w:rPr>
            </w:pPr>
          </w:p>
        </w:tc>
        <w:tc>
          <w:tcPr>
            <w:tcW w:w="440" w:type="dxa"/>
            <w:vAlign w:val="bottom"/>
          </w:tcPr>
          <w:p>
            <w:pPr>
              <w:jc w:val="right"/>
              <w:ind w:right="1"/>
              <w:spacing w:after="0"/>
              <w:rPr>
                <w:sz w:val="20"/>
                <w:szCs w:val="20"/>
                <w:color w:val="auto"/>
              </w:rPr>
            </w:pPr>
            <w:r>
              <w:rPr>
                <w:rFonts w:ascii="Arial" w:cs="Arial" w:eastAsia="Arial" w:hAnsi="Arial"/>
                <w:sz w:val="20"/>
                <w:szCs w:val="20"/>
                <w:color w:val="auto"/>
              </w:rPr>
              <w:t>26</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60" w:type="dxa"/>
            <w:vAlign w:val="bottom"/>
          </w:tcPr>
          <w:p>
            <w:pPr>
              <w:jc w:val="right"/>
              <w:ind w:right="1"/>
              <w:spacing w:after="0"/>
              <w:rPr>
                <w:sz w:val="20"/>
                <w:szCs w:val="20"/>
                <w:color w:val="auto"/>
              </w:rPr>
            </w:pPr>
            <w:r>
              <w:rPr>
                <w:rFonts w:ascii="Arial" w:cs="Arial" w:eastAsia="Arial" w:hAnsi="Arial"/>
                <w:sz w:val="20"/>
                <w:szCs w:val="20"/>
                <w:color w:val="auto"/>
              </w:rPr>
              <w:t>35</w:t>
            </w:r>
          </w:p>
        </w:tc>
      </w:tr>
      <w:tr>
        <w:trPr>
          <w:trHeight w:val="23"/>
        </w:trPr>
        <w:tc>
          <w:tcPr>
            <w:tcW w:w="674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77"/>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Total current derivative liabilities</w:t>
            </w:r>
          </w:p>
        </w:tc>
        <w:tc>
          <w:tcPr>
            <w:tcW w:w="17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40</w:t>
            </w:r>
          </w:p>
        </w:tc>
        <w:tc>
          <w:tcPr>
            <w:tcW w:w="3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9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51</w:t>
            </w:r>
          </w:p>
        </w:tc>
      </w:tr>
      <w:tr>
        <w:trPr>
          <w:trHeight w:val="241"/>
        </w:trPr>
        <w:tc>
          <w:tcPr>
            <w:tcW w:w="6740" w:type="dxa"/>
            <w:vAlign w:val="bottom"/>
          </w:tcPr>
          <w:p>
            <w:pPr>
              <w:ind w:left="40"/>
              <w:spacing w:after="0"/>
              <w:rPr>
                <w:sz w:val="20"/>
                <w:szCs w:val="20"/>
                <w:color w:val="auto"/>
              </w:rPr>
            </w:pPr>
            <w:r>
              <w:rPr>
                <w:rFonts w:ascii="Arial" w:cs="Arial" w:eastAsia="Arial" w:hAnsi="Arial"/>
                <w:sz w:val="20"/>
                <w:szCs w:val="20"/>
                <w:b w:val="1"/>
                <w:bCs w:val="1"/>
                <w:color w:val="auto"/>
              </w:rPr>
              <w:t>Noncurrent liabilities:</w:t>
            </w:r>
          </w:p>
        </w:tc>
        <w:tc>
          <w:tcPr>
            <w:tcW w:w="17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spacing w:after="0"/>
              <w:rPr>
                <w:sz w:val="20"/>
                <w:szCs w:val="20"/>
                <w:color w:val="auto"/>
              </w:rPr>
            </w:pPr>
          </w:p>
        </w:tc>
      </w:tr>
      <w:tr>
        <w:trPr>
          <w:trHeight w:val="23"/>
        </w:trPr>
        <w:tc>
          <w:tcPr>
            <w:tcW w:w="67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Commodity contracts:</w:t>
            </w:r>
          </w:p>
        </w:tc>
        <w:tc>
          <w:tcPr>
            <w:tcW w:w="17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spacing w:after="0"/>
              <w:rPr>
                <w:sz w:val="22"/>
                <w:szCs w:val="22"/>
                <w:color w:val="auto"/>
              </w:rPr>
            </w:pPr>
          </w:p>
        </w:tc>
      </w:tr>
      <w:tr>
        <w:trPr>
          <w:trHeight w:val="261"/>
        </w:trPr>
        <w:tc>
          <w:tcPr>
            <w:tcW w:w="6740" w:type="dxa"/>
            <w:vAlign w:val="bottom"/>
          </w:tcPr>
          <w:p>
            <w:pPr>
              <w:ind w:left="500"/>
              <w:spacing w:after="0"/>
              <w:rPr>
                <w:sz w:val="20"/>
                <w:szCs w:val="20"/>
                <w:color w:val="auto"/>
              </w:rPr>
            </w:pPr>
            <w:r>
              <w:rPr>
                <w:rFonts w:ascii="Arial" w:cs="Arial" w:eastAsia="Arial" w:hAnsi="Arial"/>
                <w:sz w:val="20"/>
                <w:szCs w:val="20"/>
                <w:color w:val="auto"/>
              </w:rPr>
              <w:t>Electricity</w:t>
            </w:r>
          </w:p>
        </w:tc>
        <w:tc>
          <w:tcPr>
            <w:tcW w:w="1720" w:type="dxa"/>
            <w:vAlign w:val="bottom"/>
          </w:tcPr>
          <w:p>
            <w:pPr>
              <w:spacing w:after="0"/>
              <w:rPr>
                <w:sz w:val="22"/>
                <w:szCs w:val="22"/>
                <w:color w:val="auto"/>
              </w:rPr>
            </w:pPr>
          </w:p>
        </w:tc>
        <w:tc>
          <w:tcPr>
            <w:tcW w:w="440" w:type="dxa"/>
            <w:vAlign w:val="bottom"/>
          </w:tcPr>
          <w:p>
            <w:pPr>
              <w:jc w:val="right"/>
              <w:ind w:right="1"/>
              <w:spacing w:after="0"/>
              <w:rPr>
                <w:sz w:val="20"/>
                <w:szCs w:val="20"/>
                <w:color w:val="auto"/>
              </w:rPr>
            </w:pPr>
            <w:r>
              <w:rPr>
                <w:rFonts w:ascii="Arial" w:cs="Arial" w:eastAsia="Arial" w:hAnsi="Arial"/>
                <w:sz w:val="20"/>
                <w:szCs w:val="20"/>
                <w:color w:val="auto"/>
              </w:rPr>
              <w:t>63</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60" w:type="dxa"/>
            <w:vAlign w:val="bottom"/>
          </w:tcPr>
          <w:p>
            <w:pPr>
              <w:jc w:val="right"/>
              <w:ind w:right="1"/>
              <w:spacing w:after="0"/>
              <w:rPr>
                <w:sz w:val="20"/>
                <w:szCs w:val="20"/>
                <w:color w:val="auto"/>
              </w:rPr>
            </w:pPr>
            <w:r>
              <w:rPr>
                <w:rFonts w:ascii="Arial" w:cs="Arial" w:eastAsia="Arial" w:hAnsi="Arial"/>
                <w:sz w:val="20"/>
                <w:szCs w:val="20"/>
                <w:color w:val="auto"/>
              </w:rPr>
              <w:t>78</w:t>
            </w:r>
          </w:p>
        </w:tc>
      </w:tr>
      <w:tr>
        <w:trPr>
          <w:trHeight w:val="23"/>
        </w:trPr>
        <w:tc>
          <w:tcPr>
            <w:tcW w:w="67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84"/>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20"/>
                <w:szCs w:val="20"/>
                <w:color w:val="auto"/>
              </w:rPr>
              <w:t>Natural gas</w:t>
            </w:r>
          </w:p>
        </w:tc>
        <w:tc>
          <w:tcPr>
            <w:tcW w:w="17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13</w:t>
            </w:r>
          </w:p>
        </w:tc>
        <w:tc>
          <w:tcPr>
            <w:tcW w:w="3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9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23</w:t>
            </w:r>
          </w:p>
        </w:tc>
      </w:tr>
      <w:tr>
        <w:trPr>
          <w:trHeight w:val="254"/>
        </w:trPr>
        <w:tc>
          <w:tcPr>
            <w:tcW w:w="6740" w:type="dxa"/>
            <w:vAlign w:val="bottom"/>
          </w:tcPr>
          <w:p>
            <w:pPr>
              <w:ind w:left="720"/>
              <w:spacing w:after="0"/>
              <w:rPr>
                <w:sz w:val="20"/>
                <w:szCs w:val="20"/>
                <w:color w:val="auto"/>
              </w:rPr>
            </w:pPr>
            <w:r>
              <w:rPr>
                <w:rFonts w:ascii="Arial" w:cs="Arial" w:eastAsia="Arial" w:hAnsi="Arial"/>
                <w:sz w:val="20"/>
                <w:szCs w:val="20"/>
                <w:color w:val="auto"/>
              </w:rPr>
              <w:t>Total noncurrent derivative liabilities</w:t>
            </w:r>
          </w:p>
        </w:tc>
        <w:tc>
          <w:tcPr>
            <w:tcW w:w="172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76</w:t>
            </w:r>
          </w:p>
        </w:tc>
        <w:tc>
          <w:tcPr>
            <w:tcW w:w="3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96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101</w:t>
            </w:r>
          </w:p>
        </w:tc>
      </w:tr>
      <w:tr>
        <w:trPr>
          <w:trHeight w:val="23"/>
        </w:trPr>
        <w:tc>
          <w:tcPr>
            <w:tcW w:w="674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72"/>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Total derivative liabilities not designated as hedging instruments</w:t>
            </w:r>
          </w:p>
        </w:tc>
        <w:tc>
          <w:tcPr>
            <w:tcW w:w="1720" w:type="dxa"/>
            <w:vAlign w:val="bottom"/>
            <w:tcBorders>
              <w:bottom w:val="single" w:sz="8" w:color="auto"/>
            </w:tcBorders>
            <w:shd w:val="clear" w:color="auto" w:fill="CCEEFF"/>
          </w:tcPr>
          <w:p>
            <w:pPr>
              <w:jc w:val="right"/>
              <w:ind w:right="1501"/>
              <w:spacing w:after="0"/>
              <w:rPr>
                <w:sz w:val="20"/>
                <w:szCs w:val="20"/>
                <w:color w:val="auto"/>
              </w:rPr>
            </w:pPr>
            <w:r>
              <w:rPr>
                <w:rFonts w:ascii="Arial" w:cs="Arial" w:eastAsia="Arial" w:hAnsi="Arial"/>
                <w:sz w:val="20"/>
                <w:szCs w:val="20"/>
                <w:color w:val="auto"/>
                <w:w w:val="89"/>
              </w:rPr>
              <w:t>$</w:t>
            </w:r>
          </w:p>
        </w:tc>
        <w:tc>
          <w:tcPr>
            <w:tcW w:w="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95"/>
              </w:rPr>
              <w:t>116</w:t>
            </w:r>
          </w:p>
        </w:tc>
        <w:tc>
          <w:tcPr>
            <w:tcW w:w="3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152</w:t>
            </w:r>
          </w:p>
        </w:tc>
      </w:tr>
      <w:tr>
        <w:trPr>
          <w:trHeight w:val="20"/>
        </w:trPr>
        <w:tc>
          <w:tcPr>
            <w:tcW w:w="67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64"/>
        </w:trPr>
        <w:tc>
          <w:tcPr>
            <w:tcW w:w="6740" w:type="dxa"/>
            <w:vAlign w:val="bottom"/>
          </w:tcPr>
          <w:p>
            <w:pPr>
              <w:ind w:left="720"/>
              <w:spacing w:after="0"/>
              <w:rPr>
                <w:sz w:val="20"/>
                <w:szCs w:val="20"/>
                <w:color w:val="auto"/>
              </w:rPr>
            </w:pPr>
            <w:r>
              <w:rPr>
                <w:rFonts w:ascii="Arial" w:cs="Arial" w:eastAsia="Arial" w:hAnsi="Arial"/>
                <w:sz w:val="20"/>
                <w:szCs w:val="20"/>
                <w:color w:val="auto"/>
              </w:rPr>
              <w:t>Total derivative liabilities</w:t>
            </w:r>
          </w:p>
        </w:tc>
        <w:tc>
          <w:tcPr>
            <w:tcW w:w="1720" w:type="dxa"/>
            <w:vAlign w:val="bottom"/>
            <w:tcBorders>
              <w:bottom w:val="single" w:sz="8" w:color="auto"/>
            </w:tcBorders>
          </w:tcPr>
          <w:p>
            <w:pPr>
              <w:jc w:val="right"/>
              <w:ind w:right="1501"/>
              <w:spacing w:after="0"/>
              <w:rPr>
                <w:sz w:val="20"/>
                <w:szCs w:val="20"/>
                <w:color w:val="auto"/>
              </w:rPr>
            </w:pPr>
            <w:r>
              <w:rPr>
                <w:rFonts w:ascii="Arial" w:cs="Arial" w:eastAsia="Arial" w:hAnsi="Arial"/>
                <w:sz w:val="20"/>
                <w:szCs w:val="20"/>
                <w:color w:val="auto"/>
                <w:w w:val="89"/>
              </w:rPr>
              <w:t>$</w:t>
            </w:r>
          </w:p>
        </w:tc>
        <w:tc>
          <w:tcPr>
            <w:tcW w:w="4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95"/>
              </w:rPr>
              <w:t>116</w:t>
            </w:r>
          </w:p>
        </w:tc>
        <w:tc>
          <w:tcPr>
            <w:tcW w:w="34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9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152</w:t>
            </w:r>
          </w:p>
        </w:tc>
      </w:tr>
      <w:tr>
        <w:trPr>
          <w:trHeight w:val="20"/>
        </w:trPr>
        <w:tc>
          <w:tcPr>
            <w:tcW w:w="67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5620" w:right="5280" w:hanging="5288"/>
        <w:spacing w:after="0" w:line="639" w:lineRule="auto"/>
        <w:tabs>
          <w:tab w:leader="none" w:pos="463" w:val="left"/>
        </w:tabs>
        <w:numPr>
          <w:ilvl w:val="0"/>
          <w:numId w:val="8"/>
        </w:numPr>
        <w:rPr>
          <w:rFonts w:ascii="Arial" w:cs="Arial" w:eastAsia="Arial" w:hAnsi="Arial"/>
          <w:sz w:val="15"/>
          <w:szCs w:val="15"/>
          <w:color w:val="auto"/>
        </w:rPr>
      </w:pPr>
      <w:r>
        <w:rPr>
          <w:rFonts w:ascii="Arial" w:cs="Arial" w:eastAsia="Arial" w:hAnsi="Arial"/>
          <w:sz w:val="15"/>
          <w:szCs w:val="15"/>
          <w:color w:val="auto"/>
        </w:rPr>
        <w:t>Included in Other current assets on the condensed consolidated balance sheets. 22</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line="257" w:lineRule="auto"/>
        <w:rPr>
          <w:sz w:val="20"/>
          <w:szCs w:val="20"/>
          <w:color w:val="auto"/>
        </w:rPr>
      </w:pPr>
      <w:r>
        <w:rPr>
          <w:rFonts w:ascii="Arial" w:cs="Arial" w:eastAsia="Arial" w:hAnsi="Arial"/>
          <w:sz w:val="20"/>
          <w:szCs w:val="20"/>
          <w:b w:val="1"/>
          <w:bCs w:val="1"/>
          <w:color w:val="auto"/>
        </w:rPr>
        <w:t xml:space="preserve">PORTLAND GENERAL ELECTRIC COMPANY NOTES TO CONDENSED CONSOLIDATED FINANCIAL STATEMENTS, continued </w:t>
      </w:r>
      <w:r>
        <w:rPr>
          <w:rFonts w:ascii="Arial" w:cs="Arial" w:eastAsia="Arial" w:hAnsi="Arial"/>
          <w:sz w:val="20"/>
          <w:szCs w:val="20"/>
          <w:color w:val="auto"/>
        </w:rPr>
        <w:t>(Unaudited)</w:t>
      </w:r>
    </w:p>
    <w:p>
      <w:pPr>
        <w:spacing w:after="0" w:line="200" w:lineRule="exact"/>
        <w:rPr>
          <w:sz w:val="20"/>
          <w:szCs w:val="20"/>
          <w:color w:val="auto"/>
        </w:rPr>
      </w:pPr>
    </w:p>
    <w:p>
      <w:pPr>
        <w:spacing w:after="0" w:line="245"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PGE’s net volumes related to its Assets and Liabilities from price risk management activities resulting from its derivative transactions, which are expected to deliver or settle at various dates through 2035, were as follows (in millions):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6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40" w:type="dxa"/>
            <w:vAlign w:val="bottom"/>
            <w:gridSpan w:val="3"/>
          </w:tcPr>
          <w:p>
            <w:pPr>
              <w:ind w:left="260"/>
              <w:spacing w:after="0"/>
              <w:rPr>
                <w:sz w:val="20"/>
                <w:szCs w:val="20"/>
                <w:color w:val="auto"/>
              </w:rPr>
            </w:pPr>
            <w:r>
              <w:rPr>
                <w:rFonts w:ascii="Arial" w:cs="Arial" w:eastAsia="Arial" w:hAnsi="Arial"/>
                <w:sz w:val="20"/>
                <w:szCs w:val="20"/>
                <w:b w:val="1"/>
                <w:bCs w:val="1"/>
                <w:color w:val="auto"/>
              </w:rPr>
              <w:t>June 30, 2019</w:t>
            </w:r>
          </w:p>
        </w:tc>
        <w:tc>
          <w:tcPr>
            <w:tcW w:w="280" w:type="dxa"/>
            <w:vAlign w:val="bottom"/>
          </w:tcPr>
          <w:p>
            <w:pPr>
              <w:spacing w:after="0"/>
              <w:rPr>
                <w:sz w:val="22"/>
                <w:szCs w:val="22"/>
                <w:color w:val="auto"/>
              </w:rPr>
            </w:pPr>
          </w:p>
        </w:tc>
        <w:tc>
          <w:tcPr>
            <w:tcW w:w="2120" w:type="dxa"/>
            <w:vAlign w:val="bottom"/>
            <w:gridSpan w:val="2"/>
          </w:tcPr>
          <w:p>
            <w:pPr>
              <w:ind w:left="140"/>
              <w:spacing w:after="0"/>
              <w:rPr>
                <w:sz w:val="20"/>
                <w:szCs w:val="20"/>
                <w:color w:val="auto"/>
              </w:rPr>
            </w:pPr>
            <w:r>
              <w:rPr>
                <w:rFonts w:ascii="Arial" w:cs="Arial" w:eastAsia="Arial" w:hAnsi="Arial"/>
                <w:sz w:val="20"/>
                <w:szCs w:val="20"/>
                <w:b w:val="1"/>
                <w:bCs w:val="1"/>
                <w:color w:val="auto"/>
              </w:rPr>
              <w:t>December 31, 2018</w:t>
            </w:r>
          </w:p>
        </w:tc>
      </w:tr>
      <w:tr>
        <w:trPr>
          <w:trHeight w:val="23"/>
        </w:trPr>
        <w:tc>
          <w:tcPr>
            <w:tcW w:w="6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Commodity contracts:</w:t>
            </w: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61"/>
        </w:trPr>
        <w:tc>
          <w:tcPr>
            <w:tcW w:w="6360" w:type="dxa"/>
            <w:vAlign w:val="bottom"/>
          </w:tcPr>
          <w:p>
            <w:pPr>
              <w:ind w:left="280"/>
              <w:spacing w:after="0"/>
              <w:rPr>
                <w:sz w:val="20"/>
                <w:szCs w:val="20"/>
                <w:color w:val="auto"/>
              </w:rPr>
            </w:pPr>
            <w:r>
              <w:rPr>
                <w:rFonts w:ascii="Arial" w:cs="Arial" w:eastAsia="Arial" w:hAnsi="Arial"/>
                <w:sz w:val="20"/>
                <w:szCs w:val="20"/>
                <w:color w:val="auto"/>
              </w:rPr>
              <w:t>Electricity</w:t>
            </w:r>
          </w:p>
        </w:tc>
        <w:tc>
          <w:tcPr>
            <w:tcW w:w="3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6</w:t>
            </w:r>
          </w:p>
        </w:tc>
        <w:tc>
          <w:tcPr>
            <w:tcW w:w="1620" w:type="dxa"/>
            <w:vAlign w:val="bottom"/>
            <w:gridSpan w:val="2"/>
          </w:tcPr>
          <w:p>
            <w:pPr>
              <w:ind w:left="60"/>
              <w:spacing w:after="0"/>
              <w:rPr>
                <w:sz w:val="20"/>
                <w:szCs w:val="20"/>
                <w:color w:val="auto"/>
              </w:rPr>
            </w:pPr>
            <w:r>
              <w:rPr>
                <w:rFonts w:ascii="Arial" w:cs="Arial" w:eastAsia="Arial" w:hAnsi="Arial"/>
                <w:sz w:val="20"/>
                <w:szCs w:val="20"/>
                <w:color w:val="auto"/>
              </w:rPr>
              <w:t>MWh</w:t>
            </w:r>
          </w:p>
        </w:tc>
        <w:tc>
          <w:tcPr>
            <w:tcW w:w="2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5</w:t>
            </w:r>
          </w:p>
        </w:tc>
        <w:tc>
          <w:tcPr>
            <w:tcW w:w="1400" w:type="dxa"/>
            <w:vAlign w:val="bottom"/>
          </w:tcPr>
          <w:p>
            <w:pPr>
              <w:ind w:left="60"/>
              <w:spacing w:after="0"/>
              <w:rPr>
                <w:sz w:val="20"/>
                <w:szCs w:val="20"/>
                <w:color w:val="auto"/>
              </w:rPr>
            </w:pPr>
            <w:r>
              <w:rPr>
                <w:rFonts w:ascii="Arial" w:cs="Arial" w:eastAsia="Arial" w:hAnsi="Arial"/>
                <w:sz w:val="20"/>
                <w:szCs w:val="20"/>
                <w:color w:val="auto"/>
              </w:rPr>
              <w:t>MWh</w:t>
            </w:r>
          </w:p>
        </w:tc>
      </w:tr>
      <w:tr>
        <w:trPr>
          <w:trHeight w:val="23"/>
        </w:trPr>
        <w:tc>
          <w:tcPr>
            <w:tcW w:w="6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64"/>
        </w:trPr>
        <w:tc>
          <w:tcPr>
            <w:tcW w:w="6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Natural gas</w:t>
            </w:r>
          </w:p>
        </w:tc>
        <w:tc>
          <w:tcPr>
            <w:tcW w:w="3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142</w:t>
            </w:r>
          </w:p>
        </w:tc>
        <w:tc>
          <w:tcPr>
            <w:tcW w:w="16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20"/>
                <w:szCs w:val="20"/>
                <w:color w:val="auto"/>
              </w:rPr>
              <w:t>Decatherms</w:t>
            </w:r>
          </w:p>
        </w:tc>
        <w:tc>
          <w:tcPr>
            <w:tcW w:w="2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123</w:t>
            </w:r>
          </w:p>
        </w:tc>
        <w:tc>
          <w:tcPr>
            <w:tcW w:w="14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20"/>
                <w:szCs w:val="20"/>
                <w:color w:val="auto"/>
              </w:rPr>
              <w:t>Decatherms</w:t>
            </w:r>
          </w:p>
        </w:tc>
      </w:tr>
      <w:tr>
        <w:trPr>
          <w:trHeight w:val="261"/>
        </w:trPr>
        <w:tc>
          <w:tcPr>
            <w:tcW w:w="6360" w:type="dxa"/>
            <w:vAlign w:val="bottom"/>
          </w:tcPr>
          <w:p>
            <w:pPr>
              <w:ind w:left="20"/>
              <w:spacing w:after="0"/>
              <w:rPr>
                <w:sz w:val="20"/>
                <w:szCs w:val="20"/>
                <w:color w:val="auto"/>
              </w:rPr>
            </w:pPr>
            <w:r>
              <w:rPr>
                <w:rFonts w:ascii="Arial" w:cs="Arial" w:eastAsia="Arial" w:hAnsi="Arial"/>
                <w:sz w:val="20"/>
                <w:szCs w:val="20"/>
                <w:color w:val="auto"/>
              </w:rPr>
              <w:t>Foreign currency</w:t>
            </w:r>
          </w:p>
        </w:tc>
        <w:tc>
          <w:tcPr>
            <w:tcW w:w="380" w:type="dxa"/>
            <w:vAlign w:val="bottom"/>
          </w:tcPr>
          <w:p>
            <w:pPr>
              <w:jc w:val="right"/>
              <w:ind w:right="161"/>
              <w:spacing w:after="0"/>
              <w:rPr>
                <w:sz w:val="20"/>
                <w:szCs w:val="20"/>
                <w:color w:val="auto"/>
              </w:rPr>
            </w:pPr>
            <w:r>
              <w:rPr>
                <w:rFonts w:ascii="Arial" w:cs="Arial" w:eastAsia="Arial" w:hAnsi="Arial"/>
                <w:sz w:val="20"/>
                <w:szCs w:val="20"/>
                <w:color w:val="auto"/>
                <w:w w:val="89"/>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21</w:t>
            </w:r>
          </w:p>
        </w:tc>
        <w:tc>
          <w:tcPr>
            <w:tcW w:w="1620" w:type="dxa"/>
            <w:vAlign w:val="bottom"/>
            <w:gridSpan w:val="2"/>
          </w:tcPr>
          <w:p>
            <w:pPr>
              <w:ind w:left="60"/>
              <w:spacing w:after="0"/>
              <w:rPr>
                <w:sz w:val="20"/>
                <w:szCs w:val="20"/>
                <w:color w:val="auto"/>
              </w:rPr>
            </w:pPr>
            <w:r>
              <w:rPr>
                <w:rFonts w:ascii="Arial" w:cs="Arial" w:eastAsia="Arial" w:hAnsi="Arial"/>
                <w:sz w:val="20"/>
                <w:szCs w:val="20"/>
                <w:color w:val="auto"/>
              </w:rPr>
              <w:t>Canadian</w:t>
            </w: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18</w:t>
            </w:r>
          </w:p>
        </w:tc>
        <w:tc>
          <w:tcPr>
            <w:tcW w:w="1400" w:type="dxa"/>
            <w:vAlign w:val="bottom"/>
          </w:tcPr>
          <w:p>
            <w:pPr>
              <w:ind w:left="60"/>
              <w:spacing w:after="0"/>
              <w:rPr>
                <w:sz w:val="20"/>
                <w:szCs w:val="20"/>
                <w:color w:val="auto"/>
              </w:rPr>
            </w:pPr>
            <w:r>
              <w:rPr>
                <w:rFonts w:ascii="Arial" w:cs="Arial" w:eastAsia="Arial" w:hAnsi="Arial"/>
                <w:sz w:val="20"/>
                <w:szCs w:val="20"/>
                <w:color w:val="auto"/>
              </w:rPr>
              <w:t>Canadian</w:t>
            </w:r>
          </w:p>
        </w:tc>
      </w:tr>
    </w:tbl>
    <w:p>
      <w:pPr>
        <w:spacing w:after="0" w:line="200" w:lineRule="exact"/>
        <w:rPr>
          <w:sz w:val="20"/>
          <w:szCs w:val="20"/>
          <w:color w:val="auto"/>
        </w:rPr>
      </w:pPr>
    </w:p>
    <w:p>
      <w:pPr>
        <w:spacing w:after="0" w:line="265"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color w:val="auto"/>
        </w:rPr>
        <w:t>PGE has elected to report positive and negative exposures resulting from derivative instruments pursuant to agreements that meet the definition of a master netting arrangement gross on the condensed consolidated balance sheets. In the case of default on, or termination of, any contract under the master netting arrangements, such agreements provide for the net settlement of all related contractual obligations with a given counterparty through a single payment. These types of transactions may include non-derivative instruments, derivatives qualifying for scope exceptions, receivables and payables arising from settled positions, and other forms of non-cash collateral, such as letters of credit. As of June 30, 2019, and December 31, 2018, gross amounts included as Price risk management liabilities subject to master netting agreements were $72 million and $88 million, respectively, for which PGE posted collateral of $11 million in each period, which consisted entirely of letters of credit. As of June 30, 2019, of the gross amounts recognized, $68 million was for electricity and $4 million was for natural gas compared to $84 million for electricity and $4 million for natural gas recognized as of December 31, 2018.</w:t>
      </w:r>
    </w:p>
    <w:p>
      <w:pPr>
        <w:spacing w:after="0" w:line="185" w:lineRule="exact"/>
        <w:rPr>
          <w:sz w:val="20"/>
          <w:szCs w:val="20"/>
          <w:color w:val="auto"/>
        </w:rPr>
      </w:pPr>
    </w:p>
    <w:p>
      <w:pPr>
        <w:ind w:right="260"/>
        <w:spacing w:after="0" w:line="316" w:lineRule="auto"/>
        <w:rPr>
          <w:sz w:val="20"/>
          <w:szCs w:val="20"/>
          <w:color w:val="auto"/>
        </w:rPr>
      </w:pPr>
      <w:r>
        <w:rPr>
          <w:rFonts w:ascii="Arial" w:cs="Arial" w:eastAsia="Arial" w:hAnsi="Arial"/>
          <w:sz w:val="18"/>
          <w:szCs w:val="18"/>
          <w:color w:val="auto"/>
        </w:rPr>
        <w:t>Net realized and unrealized losses (gains) on derivative transactions not designated as hedging instruments are classified in Purchased power and fuel in the condensed consolidated statements of income and comprehensive income and were as follows (in millions):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560" w:type="dxa"/>
            <w:vAlign w:val="bottom"/>
          </w:tcPr>
          <w:p>
            <w:pPr>
              <w:spacing w:after="0"/>
              <w:rPr>
                <w:sz w:val="22"/>
                <w:szCs w:val="22"/>
                <w:color w:val="auto"/>
              </w:rPr>
            </w:pPr>
          </w:p>
        </w:tc>
        <w:tc>
          <w:tcPr>
            <w:tcW w:w="2980" w:type="dxa"/>
            <w:vAlign w:val="bottom"/>
            <w:gridSpan w:val="4"/>
          </w:tcPr>
          <w:p>
            <w:pPr>
              <w:jc w:val="right"/>
              <w:spacing w:after="0"/>
              <w:rPr>
                <w:sz w:val="20"/>
                <w:szCs w:val="20"/>
                <w:color w:val="auto"/>
              </w:rPr>
            </w:pPr>
            <w:r>
              <w:rPr>
                <w:rFonts w:ascii="Arial" w:cs="Arial" w:eastAsia="Arial" w:hAnsi="Arial"/>
                <w:sz w:val="20"/>
                <w:szCs w:val="20"/>
                <w:b w:val="1"/>
                <w:bCs w:val="1"/>
                <w:color w:val="auto"/>
              </w:rPr>
              <w:t>Three Months Ended June 30,</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80" w:type="dxa"/>
            <w:vAlign w:val="bottom"/>
            <w:gridSpan w:val="4"/>
          </w:tcPr>
          <w:p>
            <w:pPr>
              <w:jc w:val="right"/>
              <w:ind w:right="441"/>
              <w:spacing w:after="0"/>
              <w:rPr>
                <w:sz w:val="20"/>
                <w:szCs w:val="20"/>
                <w:color w:val="auto"/>
              </w:rPr>
            </w:pPr>
            <w:r>
              <w:rPr>
                <w:rFonts w:ascii="Arial" w:cs="Arial" w:eastAsia="Arial" w:hAnsi="Arial"/>
                <w:sz w:val="20"/>
                <w:szCs w:val="20"/>
                <w:b w:val="1"/>
                <w:bCs w:val="1"/>
                <w:color w:val="auto"/>
                <w:w w:val="97"/>
              </w:rPr>
              <w:t>Six Months Ended June 30,</w:t>
            </w:r>
          </w:p>
        </w:tc>
      </w:tr>
      <w:tr>
        <w:trPr>
          <w:trHeight w:val="23"/>
        </w:trPr>
        <w:tc>
          <w:tcPr>
            <w:tcW w:w="45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4"/>
        </w:trPr>
        <w:tc>
          <w:tcPr>
            <w:tcW w:w="4560" w:type="dxa"/>
            <w:vAlign w:val="bottom"/>
          </w:tcPr>
          <w:p>
            <w:pPr>
              <w:spacing w:after="0"/>
              <w:rPr>
                <w:sz w:val="22"/>
                <w:szCs w:val="22"/>
                <w:color w:val="auto"/>
              </w:rPr>
            </w:pPr>
          </w:p>
        </w:tc>
        <w:tc>
          <w:tcPr>
            <w:tcW w:w="1160" w:type="dxa"/>
            <w:vAlign w:val="bottom"/>
          </w:tcPr>
          <w:p>
            <w:pPr>
              <w:jc w:val="right"/>
              <w:ind w:right="61"/>
              <w:spacing w:after="0"/>
              <w:rPr>
                <w:sz w:val="20"/>
                <w:szCs w:val="20"/>
                <w:color w:val="auto"/>
              </w:rPr>
            </w:pPr>
            <w:r>
              <w:rPr>
                <w:rFonts w:ascii="Arial" w:cs="Arial" w:eastAsia="Arial" w:hAnsi="Arial"/>
                <w:sz w:val="20"/>
                <w:szCs w:val="20"/>
                <w:b w:val="1"/>
                <w:bCs w:val="1"/>
                <w:color w:val="auto"/>
              </w:rPr>
              <w:t>2019</w:t>
            </w: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ind w:right="161"/>
              <w:spacing w:after="0"/>
              <w:rPr>
                <w:sz w:val="20"/>
                <w:szCs w:val="20"/>
                <w:color w:val="auto"/>
              </w:rPr>
            </w:pPr>
            <w:r>
              <w:rPr>
                <w:rFonts w:ascii="Arial" w:cs="Arial" w:eastAsia="Arial" w:hAnsi="Arial"/>
                <w:sz w:val="20"/>
                <w:szCs w:val="20"/>
                <w:b w:val="1"/>
                <w:bCs w:val="1"/>
                <w:color w:val="auto"/>
              </w:rPr>
              <w:t>2018</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ind w:right="501"/>
              <w:spacing w:after="0"/>
              <w:rPr>
                <w:sz w:val="20"/>
                <w:szCs w:val="20"/>
                <w:color w:val="auto"/>
              </w:rPr>
            </w:pPr>
            <w:r>
              <w:rPr>
                <w:rFonts w:ascii="Arial" w:cs="Arial" w:eastAsia="Arial" w:hAnsi="Arial"/>
                <w:sz w:val="20"/>
                <w:szCs w:val="20"/>
                <w:b w:val="1"/>
                <w:bCs w:val="1"/>
                <w:color w:val="auto"/>
              </w:rPr>
              <w:t>2019</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501"/>
              <w:spacing w:after="0"/>
              <w:rPr>
                <w:sz w:val="20"/>
                <w:szCs w:val="20"/>
                <w:color w:val="auto"/>
              </w:rPr>
            </w:pPr>
            <w:r>
              <w:rPr>
                <w:rFonts w:ascii="Arial" w:cs="Arial" w:eastAsia="Arial" w:hAnsi="Arial"/>
                <w:sz w:val="20"/>
                <w:szCs w:val="20"/>
                <w:b w:val="1"/>
                <w:bCs w:val="1"/>
                <w:color w:val="auto"/>
              </w:rPr>
              <w:t>2018</w:t>
            </w:r>
          </w:p>
        </w:tc>
      </w:tr>
      <w:tr>
        <w:trPr>
          <w:trHeight w:val="23"/>
        </w:trPr>
        <w:tc>
          <w:tcPr>
            <w:tcW w:w="45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Commodity contracts:</w:t>
            </w: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61"/>
        </w:trPr>
        <w:tc>
          <w:tcPr>
            <w:tcW w:w="4560" w:type="dxa"/>
            <w:vAlign w:val="bottom"/>
          </w:tcPr>
          <w:p>
            <w:pPr>
              <w:ind w:left="280"/>
              <w:spacing w:after="0"/>
              <w:rPr>
                <w:sz w:val="20"/>
                <w:szCs w:val="20"/>
                <w:color w:val="auto"/>
              </w:rPr>
            </w:pPr>
            <w:r>
              <w:rPr>
                <w:rFonts w:ascii="Arial" w:cs="Arial" w:eastAsia="Arial" w:hAnsi="Arial"/>
                <w:sz w:val="20"/>
                <w:szCs w:val="20"/>
                <w:color w:val="auto"/>
              </w:rPr>
              <w:t>Electricity</w:t>
            </w:r>
          </w:p>
        </w:tc>
        <w:tc>
          <w:tcPr>
            <w:tcW w:w="1160" w:type="dxa"/>
            <w:vAlign w:val="bottom"/>
          </w:tcPr>
          <w:p>
            <w:pPr>
              <w:jc w:val="right"/>
              <w:ind w:right="941"/>
              <w:spacing w:after="0"/>
              <w:rPr>
                <w:sz w:val="20"/>
                <w:szCs w:val="20"/>
                <w:color w:val="auto"/>
              </w:rPr>
            </w:pPr>
            <w:r>
              <w:rPr>
                <w:rFonts w:ascii="Arial" w:cs="Arial" w:eastAsia="Arial" w:hAnsi="Arial"/>
                <w:sz w:val="20"/>
                <w:szCs w:val="20"/>
                <w:color w:val="auto"/>
                <w:w w:val="89"/>
              </w:rPr>
              <w:t>$</w:t>
            </w:r>
          </w:p>
        </w:tc>
        <w:tc>
          <w:tcPr>
            <w:tcW w:w="440" w:type="dxa"/>
            <w:vAlign w:val="bottom"/>
          </w:tcPr>
          <w:p>
            <w:pPr>
              <w:jc w:val="right"/>
              <w:ind w:right="1"/>
              <w:spacing w:after="0"/>
              <w:rPr>
                <w:sz w:val="20"/>
                <w:szCs w:val="20"/>
                <w:color w:val="auto"/>
              </w:rPr>
            </w:pPr>
            <w:r>
              <w:rPr>
                <w:rFonts w:ascii="Arial" w:cs="Arial" w:eastAsia="Arial" w:hAnsi="Arial"/>
                <w:sz w:val="20"/>
                <w:szCs w:val="20"/>
                <w:color w:val="auto"/>
              </w:rPr>
              <w:t>6</w:t>
            </w:r>
          </w:p>
        </w:tc>
        <w:tc>
          <w:tcPr>
            <w:tcW w:w="120" w:type="dxa"/>
            <w:vAlign w:val="bottom"/>
          </w:tcPr>
          <w:p>
            <w:pPr>
              <w:spacing w:after="0"/>
              <w:rPr>
                <w:sz w:val="22"/>
                <w:szCs w:val="22"/>
                <w:color w:val="auto"/>
              </w:rPr>
            </w:pPr>
          </w:p>
        </w:tc>
        <w:tc>
          <w:tcPr>
            <w:tcW w:w="1260" w:type="dxa"/>
            <w:vAlign w:val="bottom"/>
          </w:tcPr>
          <w:p>
            <w:pPr>
              <w:jc w:val="right"/>
              <w:ind w:right="1041"/>
              <w:spacing w:after="0"/>
              <w:rPr>
                <w:sz w:val="20"/>
                <w:szCs w:val="20"/>
                <w:color w:val="auto"/>
              </w:rPr>
            </w:pPr>
            <w:r>
              <w:rPr>
                <w:rFonts w:ascii="Arial" w:cs="Arial" w:eastAsia="Arial" w:hAnsi="Arial"/>
                <w:sz w:val="20"/>
                <w:szCs w:val="20"/>
                <w:color w:val="auto"/>
                <w:w w:val="89"/>
              </w:rPr>
              <w:t>$</w:t>
            </w:r>
          </w:p>
        </w:tc>
        <w:tc>
          <w:tcPr>
            <w:tcW w:w="340" w:type="dxa"/>
            <w:vAlign w:val="bottom"/>
          </w:tcPr>
          <w:p>
            <w:pPr>
              <w:jc w:val="right"/>
              <w:spacing w:after="0"/>
              <w:rPr>
                <w:sz w:val="20"/>
                <w:szCs w:val="20"/>
                <w:color w:val="auto"/>
              </w:rPr>
            </w:pPr>
            <w:r>
              <w:rPr>
                <w:rFonts w:ascii="Arial" w:cs="Arial" w:eastAsia="Arial" w:hAnsi="Arial"/>
                <w:sz w:val="20"/>
                <w:szCs w:val="20"/>
                <w:color w:val="auto"/>
              </w:rPr>
              <w:t>(3)</w:t>
            </w:r>
          </w:p>
        </w:tc>
        <w:tc>
          <w:tcPr>
            <w:tcW w:w="100" w:type="dxa"/>
            <w:vAlign w:val="bottom"/>
          </w:tcPr>
          <w:p>
            <w:pPr>
              <w:spacing w:after="0"/>
              <w:rPr>
                <w:sz w:val="22"/>
                <w:szCs w:val="22"/>
                <w:color w:val="auto"/>
              </w:rPr>
            </w:pPr>
          </w:p>
        </w:tc>
        <w:tc>
          <w:tcPr>
            <w:tcW w:w="3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(18)</w:t>
            </w:r>
          </w:p>
        </w:tc>
        <w:tc>
          <w:tcPr>
            <w:tcW w:w="220" w:type="dxa"/>
            <w:vAlign w:val="bottom"/>
          </w:tcPr>
          <w:p>
            <w:pPr>
              <w:spacing w:after="0"/>
              <w:rPr>
                <w:sz w:val="22"/>
                <w:szCs w:val="22"/>
                <w:color w:val="auto"/>
              </w:rPr>
            </w:pP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3"/>
        </w:trPr>
        <w:tc>
          <w:tcPr>
            <w:tcW w:w="4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4"/>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Natural Gas</w:t>
            </w:r>
          </w:p>
        </w:tc>
        <w:tc>
          <w:tcPr>
            <w:tcW w:w="11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14</w:t>
            </w:r>
          </w:p>
        </w:tc>
      </w:tr>
      <w:tr>
        <w:trPr>
          <w:trHeight w:val="261"/>
        </w:trPr>
        <w:tc>
          <w:tcPr>
            <w:tcW w:w="4560" w:type="dxa"/>
            <w:vAlign w:val="bottom"/>
          </w:tcPr>
          <w:p>
            <w:pPr>
              <w:ind w:left="40"/>
              <w:spacing w:after="0"/>
              <w:rPr>
                <w:sz w:val="20"/>
                <w:szCs w:val="20"/>
                <w:color w:val="auto"/>
              </w:rPr>
            </w:pPr>
            <w:r>
              <w:rPr>
                <w:rFonts w:ascii="Arial" w:cs="Arial" w:eastAsia="Arial" w:hAnsi="Arial"/>
                <w:sz w:val="20"/>
                <w:szCs w:val="20"/>
                <w:color w:val="auto"/>
              </w:rPr>
              <w:t>Foreign currency exchange</w:t>
            </w:r>
          </w:p>
        </w:tc>
        <w:tc>
          <w:tcPr>
            <w:tcW w:w="1160" w:type="dxa"/>
            <w:vAlign w:val="bottom"/>
          </w:tcPr>
          <w:p>
            <w:pPr>
              <w:spacing w:after="0"/>
              <w:rPr>
                <w:sz w:val="22"/>
                <w:szCs w:val="2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260" w:type="dxa"/>
            <w:vAlign w:val="bottom"/>
          </w:tcPr>
          <w:p>
            <w:pPr>
              <w:spacing w:after="0"/>
              <w:rPr>
                <w:sz w:val="22"/>
                <w:szCs w:val="22"/>
                <w:color w:val="auto"/>
              </w:rPr>
            </w:pPr>
          </w:p>
        </w:tc>
        <w:tc>
          <w:tcPr>
            <w:tcW w:w="340" w:type="dxa"/>
            <w:vAlign w:val="bottom"/>
          </w:tcPr>
          <w:p>
            <w:pPr>
              <w:jc w:val="right"/>
              <w:ind w:right="1"/>
              <w:spacing w:after="0"/>
              <w:rPr>
                <w:sz w:val="20"/>
                <w:szCs w:val="20"/>
                <w:color w:val="auto"/>
              </w:rPr>
            </w:pPr>
            <w:r>
              <w:rPr>
                <w:rFonts w:ascii="Arial" w:cs="Arial" w:eastAsia="Arial" w:hAnsi="Arial"/>
                <w:sz w:val="20"/>
                <w:szCs w:val="20"/>
                <w:color w:val="auto"/>
              </w:rPr>
              <w:t>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2"/>
                <w:szCs w:val="22"/>
                <w:color w:val="auto"/>
              </w:rPr>
            </w:pP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1</w:t>
            </w:r>
          </w:p>
        </w:tc>
      </w:tr>
    </w:tbl>
    <w:p>
      <w:pPr>
        <w:spacing w:after="0" w:line="236" w:lineRule="exact"/>
        <w:rPr>
          <w:sz w:val="20"/>
          <w:szCs w:val="20"/>
          <w:color w:val="auto"/>
        </w:rPr>
      </w:pPr>
    </w:p>
    <w:p>
      <w:pPr>
        <w:jc w:val="both"/>
        <w:ind w:right="220"/>
        <w:spacing w:after="0" w:line="282" w:lineRule="auto"/>
        <w:rPr>
          <w:sz w:val="20"/>
          <w:szCs w:val="20"/>
          <w:color w:val="auto"/>
        </w:rPr>
      </w:pPr>
      <w:r>
        <w:rPr>
          <w:rFonts w:ascii="Arial" w:cs="Arial" w:eastAsia="Arial" w:hAnsi="Arial"/>
          <w:sz w:val="18"/>
          <w:szCs w:val="18"/>
          <w:color w:val="auto"/>
        </w:rPr>
        <w:t>Net unrealized and certain net realized losses (gains) presented in the table above are offset within the condensed consolidated statements of income and comprehensive income by the effects of regulatory accounting. Of the net amounts recognized in Net income for the three-month periods ended June 30, 2019 and 2018, net losses of $30 million and net gains of $9 million, respectively, have been offset. Net gains of $19 million and net losses of $6 million have been offset for the six months ended June 30, 2019 and 2018, respectively.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line="257" w:lineRule="auto"/>
        <w:rPr>
          <w:sz w:val="20"/>
          <w:szCs w:val="20"/>
          <w:color w:val="auto"/>
        </w:rPr>
      </w:pPr>
      <w:r>
        <w:rPr>
          <w:rFonts w:ascii="Arial" w:cs="Arial" w:eastAsia="Arial" w:hAnsi="Arial"/>
          <w:sz w:val="20"/>
          <w:szCs w:val="20"/>
          <w:b w:val="1"/>
          <w:bCs w:val="1"/>
          <w:color w:val="auto"/>
        </w:rPr>
        <w:t xml:space="preserve">PORTLAND GENERAL ELECTRIC COMPANY NOTES TO CONDENSED CONSOLIDATED FINANCIAL STATEMENTS, continued </w:t>
      </w:r>
      <w:r>
        <w:rPr>
          <w:rFonts w:ascii="Arial" w:cs="Arial" w:eastAsia="Arial" w:hAnsi="Arial"/>
          <w:sz w:val="20"/>
          <w:szCs w:val="20"/>
          <w:color w:val="auto"/>
        </w:rPr>
        <w:t>(Unaudited)</w:t>
      </w:r>
    </w:p>
    <w:p>
      <w:pPr>
        <w:spacing w:after="0" w:line="200" w:lineRule="exact"/>
        <w:rPr>
          <w:sz w:val="20"/>
          <w:szCs w:val="20"/>
          <w:color w:val="auto"/>
        </w:rPr>
      </w:pPr>
    </w:p>
    <w:p>
      <w:pPr>
        <w:spacing w:after="0" w:line="245"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Assuming no changes in market prices and interest rates, the following table indicates the year in which the net unrealized loss (gain) recorded as of June 30, 2019 related to PGE’s derivative activities would become realized as a result of the settlement of the underlying derivative instrument (in millions):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6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2019</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281"/>
              <w:spacing w:after="0"/>
              <w:rPr>
                <w:sz w:val="20"/>
                <w:szCs w:val="20"/>
                <w:color w:val="auto"/>
              </w:rPr>
            </w:pPr>
            <w:r>
              <w:rPr>
                <w:rFonts w:ascii="Arial" w:cs="Arial" w:eastAsia="Arial" w:hAnsi="Arial"/>
                <w:sz w:val="20"/>
                <w:szCs w:val="20"/>
                <w:b w:val="1"/>
                <w:bCs w:val="1"/>
                <w:color w:val="auto"/>
              </w:rPr>
              <w:t>2020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281"/>
              <w:spacing w:after="0"/>
              <w:rPr>
                <w:sz w:val="20"/>
                <w:szCs w:val="20"/>
                <w:color w:val="auto"/>
              </w:rPr>
            </w:pPr>
            <w:r>
              <w:rPr>
                <w:rFonts w:ascii="Arial" w:cs="Arial" w:eastAsia="Arial" w:hAnsi="Arial"/>
                <w:sz w:val="20"/>
                <w:szCs w:val="20"/>
                <w:b w:val="1"/>
                <w:bCs w:val="1"/>
                <w:color w:val="auto"/>
              </w:rPr>
              <w:t>2021</w:t>
            </w: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2022</w:t>
            </w: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261"/>
              <w:spacing w:after="0"/>
              <w:rPr>
                <w:sz w:val="20"/>
                <w:szCs w:val="20"/>
                <w:color w:val="auto"/>
              </w:rPr>
            </w:pPr>
            <w:r>
              <w:rPr>
                <w:rFonts w:ascii="Arial" w:cs="Arial" w:eastAsia="Arial" w:hAnsi="Arial"/>
                <w:sz w:val="20"/>
                <w:szCs w:val="20"/>
                <w:b w:val="1"/>
                <w:bCs w:val="1"/>
                <w:color w:val="auto"/>
              </w:rPr>
              <w:t>2023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ind w:left="40"/>
              <w:spacing w:after="0"/>
              <w:rPr>
                <w:sz w:val="20"/>
                <w:szCs w:val="20"/>
                <w:color w:val="auto"/>
              </w:rPr>
            </w:pPr>
            <w:r>
              <w:rPr>
                <w:rFonts w:ascii="Arial" w:cs="Arial" w:eastAsia="Arial" w:hAnsi="Arial"/>
                <w:sz w:val="20"/>
                <w:szCs w:val="20"/>
                <w:b w:val="1"/>
                <w:bCs w:val="1"/>
                <w:color w:val="auto"/>
              </w:rPr>
              <w:t>Thereafter</w:t>
            </w:r>
          </w:p>
        </w:tc>
        <w:tc>
          <w:tcPr>
            <w:tcW w:w="240" w:type="dxa"/>
            <w:vAlign w:val="bottom"/>
          </w:tcPr>
          <w:p>
            <w:pPr>
              <w:spacing w:after="0"/>
              <w:rPr>
                <w:sz w:val="22"/>
                <w:szCs w:val="22"/>
                <w:color w:val="auto"/>
              </w:rPr>
            </w:pPr>
          </w:p>
        </w:tc>
        <w:tc>
          <w:tcPr>
            <w:tcW w:w="900" w:type="dxa"/>
            <w:vAlign w:val="bottom"/>
          </w:tcPr>
          <w:p>
            <w:pPr>
              <w:jc w:val="right"/>
              <w:ind w:right="261"/>
              <w:spacing w:after="0"/>
              <w:rPr>
                <w:sz w:val="20"/>
                <w:szCs w:val="20"/>
                <w:color w:val="auto"/>
              </w:rPr>
            </w:pPr>
            <w:r>
              <w:rPr>
                <w:rFonts w:ascii="Arial" w:cs="Arial" w:eastAsia="Arial" w:hAnsi="Arial"/>
                <w:sz w:val="20"/>
                <w:szCs w:val="20"/>
                <w:b w:val="1"/>
                <w:bCs w:val="1"/>
                <w:color w:val="auto"/>
              </w:rPr>
              <w:t>Total</w:t>
            </w:r>
          </w:p>
        </w:tc>
      </w:tr>
      <w:tr>
        <w:trPr>
          <w:trHeight w:val="23"/>
        </w:trPr>
        <w:tc>
          <w:tcPr>
            <w:tcW w:w="26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Commodity contracts:</w:t>
            </w: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61"/>
        </w:trPr>
        <w:tc>
          <w:tcPr>
            <w:tcW w:w="2620" w:type="dxa"/>
            <w:vAlign w:val="bottom"/>
          </w:tcPr>
          <w:p>
            <w:pPr>
              <w:ind w:left="280"/>
              <w:spacing w:after="0"/>
              <w:rPr>
                <w:sz w:val="20"/>
                <w:szCs w:val="20"/>
                <w:color w:val="auto"/>
              </w:rPr>
            </w:pPr>
            <w:r>
              <w:rPr>
                <w:rFonts w:ascii="Arial" w:cs="Arial" w:eastAsia="Arial" w:hAnsi="Arial"/>
                <w:sz w:val="20"/>
                <w:szCs w:val="20"/>
                <w:color w:val="auto"/>
              </w:rPr>
              <w:t>Electricity</w:t>
            </w:r>
          </w:p>
        </w:tc>
        <w:tc>
          <w:tcPr>
            <w:tcW w:w="800" w:type="dxa"/>
            <w:vAlign w:val="bottom"/>
          </w:tcPr>
          <w:p>
            <w:pPr>
              <w:jc w:val="right"/>
              <w:ind w:right="581"/>
              <w:spacing w:after="0"/>
              <w:rPr>
                <w:sz w:val="20"/>
                <w:szCs w:val="20"/>
                <w:color w:val="auto"/>
              </w:rPr>
            </w:pPr>
            <w:r>
              <w:rPr>
                <w:rFonts w:ascii="Arial" w:cs="Arial" w:eastAsia="Arial" w:hAnsi="Arial"/>
                <w:sz w:val="20"/>
                <w:szCs w:val="20"/>
                <w:color w:val="auto"/>
                <w:w w:val="89"/>
              </w:rPr>
              <w:t>$</w:t>
            </w:r>
          </w:p>
        </w:tc>
        <w:tc>
          <w:tcPr>
            <w:tcW w:w="340" w:type="dxa"/>
            <w:vAlign w:val="bottom"/>
          </w:tcPr>
          <w:p>
            <w:pPr>
              <w:jc w:val="right"/>
              <w:spacing w:after="0"/>
              <w:rPr>
                <w:sz w:val="20"/>
                <w:szCs w:val="20"/>
                <w:color w:val="auto"/>
              </w:rPr>
            </w:pPr>
            <w:r>
              <w:rPr>
                <w:rFonts w:ascii="Arial" w:cs="Arial" w:eastAsia="Arial" w:hAnsi="Arial"/>
                <w:sz w:val="20"/>
                <w:szCs w:val="20"/>
                <w:color w:val="auto"/>
              </w:rPr>
              <w:t>(6)</w:t>
            </w:r>
          </w:p>
        </w:tc>
        <w:tc>
          <w:tcPr>
            <w:tcW w:w="120" w:type="dxa"/>
            <w:vAlign w:val="bottom"/>
          </w:tcPr>
          <w:p>
            <w:pPr>
              <w:spacing w:after="0"/>
              <w:rPr>
                <w:sz w:val="22"/>
                <w:szCs w:val="22"/>
                <w:color w:val="auto"/>
              </w:rPr>
            </w:pP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8</w:t>
            </w:r>
          </w:p>
        </w:tc>
        <w:tc>
          <w:tcPr>
            <w:tcW w:w="100" w:type="dxa"/>
            <w:vAlign w:val="bottom"/>
          </w:tcPr>
          <w:p>
            <w:pPr>
              <w:spacing w:after="0"/>
              <w:rPr>
                <w:sz w:val="22"/>
                <w:szCs w:val="22"/>
                <w:color w:val="auto"/>
              </w:rPr>
            </w:pP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21"/>
              <w:spacing w:after="0"/>
              <w:rPr>
                <w:sz w:val="20"/>
                <w:szCs w:val="20"/>
                <w:color w:val="auto"/>
              </w:rPr>
            </w:pPr>
            <w:r>
              <w:rPr>
                <w:rFonts w:ascii="Arial" w:cs="Arial" w:eastAsia="Arial" w:hAnsi="Arial"/>
                <w:sz w:val="20"/>
                <w:szCs w:val="20"/>
                <w:color w:val="auto"/>
              </w:rPr>
              <w:t>6</w:t>
            </w:r>
          </w:p>
        </w:tc>
        <w:tc>
          <w:tcPr>
            <w:tcW w:w="100" w:type="dxa"/>
            <w:vAlign w:val="bottom"/>
          </w:tcPr>
          <w:p>
            <w:pPr>
              <w:spacing w:after="0"/>
              <w:rPr>
                <w:sz w:val="22"/>
                <w:szCs w:val="22"/>
                <w:color w:val="auto"/>
              </w:rPr>
            </w:pPr>
          </w:p>
        </w:tc>
        <w:tc>
          <w:tcPr>
            <w:tcW w:w="860" w:type="dxa"/>
            <w:vAlign w:val="bottom"/>
          </w:tcPr>
          <w:p>
            <w:pPr>
              <w:jc w:val="right"/>
              <w:ind w:right="641"/>
              <w:spacing w:after="0"/>
              <w:rPr>
                <w:sz w:val="20"/>
                <w:szCs w:val="20"/>
                <w:color w:val="auto"/>
              </w:rPr>
            </w:pPr>
            <w:r>
              <w:rPr>
                <w:rFonts w:ascii="Arial" w:cs="Arial" w:eastAsia="Arial" w:hAnsi="Arial"/>
                <w:sz w:val="20"/>
                <w:szCs w:val="20"/>
                <w:color w:val="auto"/>
                <w:w w:val="89"/>
              </w:rPr>
              <w:t>$</w:t>
            </w:r>
          </w:p>
        </w:tc>
        <w:tc>
          <w:tcPr>
            <w:tcW w:w="300" w:type="dxa"/>
            <w:vAlign w:val="bottom"/>
          </w:tcPr>
          <w:p>
            <w:pPr>
              <w:jc w:val="right"/>
              <w:ind w:right="21"/>
              <w:spacing w:after="0"/>
              <w:rPr>
                <w:sz w:val="20"/>
                <w:szCs w:val="20"/>
                <w:color w:val="auto"/>
              </w:rPr>
            </w:pPr>
            <w:r>
              <w:rPr>
                <w:rFonts w:ascii="Arial" w:cs="Arial" w:eastAsia="Arial" w:hAnsi="Arial"/>
                <w:sz w:val="20"/>
                <w:szCs w:val="20"/>
                <w:color w:val="auto"/>
              </w:rPr>
              <w:t>6</w:t>
            </w:r>
          </w:p>
        </w:tc>
        <w:tc>
          <w:tcPr>
            <w:tcW w:w="100" w:type="dxa"/>
            <w:vAlign w:val="bottom"/>
          </w:tcPr>
          <w:p>
            <w:pPr>
              <w:spacing w:after="0"/>
              <w:rPr>
                <w:sz w:val="22"/>
                <w:szCs w:val="22"/>
                <w:color w:val="auto"/>
              </w:rPr>
            </w:pP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42</w:t>
            </w:r>
          </w:p>
        </w:tc>
        <w:tc>
          <w:tcPr>
            <w:tcW w:w="120" w:type="dxa"/>
            <w:vAlign w:val="bottom"/>
          </w:tcPr>
          <w:p>
            <w:pPr>
              <w:spacing w:after="0"/>
              <w:rPr>
                <w:sz w:val="22"/>
                <w:szCs w:val="22"/>
                <w:color w:val="auto"/>
              </w:rPr>
            </w:pP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62</w:t>
            </w:r>
          </w:p>
        </w:tc>
      </w:tr>
      <w:tr>
        <w:trPr>
          <w:trHeight w:val="23"/>
        </w:trPr>
        <w:tc>
          <w:tcPr>
            <w:tcW w:w="2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4"/>
        </w:trPr>
        <w:tc>
          <w:tcPr>
            <w:tcW w:w="2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Natural gas</w:t>
            </w:r>
          </w:p>
        </w:tc>
        <w:tc>
          <w:tcPr>
            <w:tcW w:w="8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98"/>
              </w:rPr>
              <w:t>15</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4</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31</w:t>
            </w:r>
          </w:p>
        </w:tc>
      </w:tr>
      <w:tr>
        <w:trPr>
          <w:trHeight w:val="272"/>
        </w:trPr>
        <w:tc>
          <w:tcPr>
            <w:tcW w:w="2620" w:type="dxa"/>
            <w:vAlign w:val="bottom"/>
          </w:tcPr>
          <w:p>
            <w:pPr>
              <w:ind w:left="500"/>
              <w:spacing w:after="0"/>
              <w:rPr>
                <w:sz w:val="20"/>
                <w:szCs w:val="20"/>
                <w:color w:val="auto"/>
              </w:rPr>
            </w:pPr>
            <w:r>
              <w:rPr>
                <w:rFonts w:ascii="Arial" w:cs="Arial" w:eastAsia="Arial" w:hAnsi="Arial"/>
                <w:sz w:val="20"/>
                <w:szCs w:val="20"/>
                <w:color w:val="auto"/>
              </w:rPr>
              <w:t>Net unrealized loss</w:t>
            </w:r>
          </w:p>
        </w:tc>
        <w:tc>
          <w:tcPr>
            <w:tcW w:w="80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20"/>
                <w:szCs w:val="20"/>
                <w:color w:val="auto"/>
                <w:w w:val="89"/>
              </w:rPr>
              <w:t>$</w:t>
            </w:r>
          </w:p>
        </w:tc>
        <w:tc>
          <w:tcPr>
            <w:tcW w:w="3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9</w:t>
            </w:r>
          </w:p>
        </w:tc>
        <w:tc>
          <w:tcPr>
            <w:tcW w:w="120" w:type="dxa"/>
            <w:vAlign w:val="bottom"/>
          </w:tcPr>
          <w:p>
            <w:pPr>
              <w:spacing w:after="0"/>
              <w:rPr>
                <w:sz w:val="23"/>
                <w:szCs w:val="23"/>
                <w:color w:val="auto"/>
              </w:rPr>
            </w:pPr>
          </w:p>
        </w:tc>
        <w:tc>
          <w:tcPr>
            <w:tcW w:w="2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w w:val="8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19</w:t>
            </w:r>
          </w:p>
        </w:tc>
        <w:tc>
          <w:tcPr>
            <w:tcW w:w="100" w:type="dxa"/>
            <w:vAlign w:val="bottom"/>
          </w:tcPr>
          <w:p>
            <w:pPr>
              <w:spacing w:after="0"/>
              <w:rPr>
                <w:sz w:val="23"/>
                <w:szCs w:val="23"/>
                <w:color w:val="auto"/>
              </w:rPr>
            </w:pPr>
          </w:p>
        </w:tc>
        <w:tc>
          <w:tcPr>
            <w:tcW w:w="2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9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rPr>
              <w:t>10</w:t>
            </w:r>
          </w:p>
        </w:tc>
        <w:tc>
          <w:tcPr>
            <w:tcW w:w="100" w:type="dxa"/>
            <w:vAlign w:val="bottom"/>
          </w:tcPr>
          <w:p>
            <w:pPr>
              <w:spacing w:after="0"/>
              <w:rPr>
                <w:sz w:val="23"/>
                <w:szCs w:val="23"/>
                <w:color w:val="auto"/>
              </w:rPr>
            </w:pPr>
          </w:p>
        </w:tc>
        <w:tc>
          <w:tcPr>
            <w:tcW w:w="860" w:type="dxa"/>
            <w:vAlign w:val="bottom"/>
            <w:tcBorders>
              <w:top w:val="single" w:sz="8" w:color="auto"/>
              <w:bottom w:val="single" w:sz="8" w:color="auto"/>
            </w:tcBorders>
          </w:tcPr>
          <w:p>
            <w:pPr>
              <w:jc w:val="right"/>
              <w:ind w:right="641"/>
              <w:spacing w:after="0"/>
              <w:rPr>
                <w:sz w:val="20"/>
                <w:szCs w:val="20"/>
                <w:color w:val="auto"/>
              </w:rPr>
            </w:pPr>
            <w:r>
              <w:rPr>
                <w:rFonts w:ascii="Arial" w:cs="Arial" w:eastAsia="Arial" w:hAnsi="Arial"/>
                <w:sz w:val="20"/>
                <w:szCs w:val="20"/>
                <w:color w:val="auto"/>
                <w:w w:val="89"/>
              </w:rPr>
              <w:t>$</w:t>
            </w:r>
          </w:p>
        </w:tc>
        <w:tc>
          <w:tcPr>
            <w:tcW w:w="3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rPr>
              <w:t>7</w:t>
            </w:r>
          </w:p>
        </w:tc>
        <w:tc>
          <w:tcPr>
            <w:tcW w:w="100" w:type="dxa"/>
            <w:vAlign w:val="bottom"/>
          </w:tcPr>
          <w:p>
            <w:pPr>
              <w:spacing w:after="0"/>
              <w:rPr>
                <w:sz w:val="23"/>
                <w:szCs w:val="23"/>
                <w:color w:val="auto"/>
              </w:rPr>
            </w:pPr>
          </w:p>
        </w:tc>
        <w:tc>
          <w:tcPr>
            <w:tcW w:w="2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w w:val="8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6</w:t>
            </w:r>
          </w:p>
        </w:tc>
        <w:tc>
          <w:tcPr>
            <w:tcW w:w="12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1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42</w:t>
            </w:r>
          </w:p>
        </w:tc>
        <w:tc>
          <w:tcPr>
            <w:tcW w:w="120" w:type="dxa"/>
            <w:vAlign w:val="bottom"/>
          </w:tcPr>
          <w:p>
            <w:pPr>
              <w:spacing w:after="0"/>
              <w:rPr>
                <w:sz w:val="23"/>
                <w:szCs w:val="23"/>
                <w:color w:val="auto"/>
              </w:rPr>
            </w:pPr>
          </w:p>
        </w:tc>
        <w:tc>
          <w:tcPr>
            <w:tcW w:w="2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w w:val="8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93</w:t>
            </w:r>
          </w:p>
        </w:tc>
      </w:tr>
      <w:tr>
        <w:trPr>
          <w:trHeight w:val="20"/>
        </w:trPr>
        <w:tc>
          <w:tcPr>
            <w:tcW w:w="26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right="240"/>
        <w:spacing w:after="0" w:line="244" w:lineRule="auto"/>
        <w:rPr>
          <w:sz w:val="20"/>
          <w:szCs w:val="20"/>
          <w:color w:val="auto"/>
        </w:rPr>
      </w:pPr>
      <w:r>
        <w:rPr>
          <w:rFonts w:ascii="Arial" w:cs="Arial" w:eastAsia="Arial" w:hAnsi="Arial"/>
          <w:sz w:val="20"/>
          <w:szCs w:val="20"/>
          <w:color w:val="auto"/>
        </w:rPr>
        <w:t>PGE’s secured and unsecured debt is currently rated at investment grade by Moody’s Investors Service (Moody’s) and S&amp;P Global Ratings (S&amp;P). Should Moody’s or S&amp;P reduce their rating on the Company’s unsecured debt to below investment grade, PGE could be subject to requests by certain wholesale counterparties to post additional performance assurance collateral, in the form of cash or letters of credit, based on total portfolio positions with each of those counterparties. Certain other counterparties would have the right to terminate their agreements with the Company.</w:t>
      </w:r>
    </w:p>
    <w:p>
      <w:pPr>
        <w:spacing w:after="0" w:line="208" w:lineRule="exact"/>
        <w:rPr>
          <w:sz w:val="20"/>
          <w:szCs w:val="20"/>
          <w:color w:val="auto"/>
        </w:rPr>
      </w:pPr>
    </w:p>
    <w:p>
      <w:pPr>
        <w:ind w:right="240"/>
        <w:spacing w:after="0" w:line="259" w:lineRule="auto"/>
        <w:rPr>
          <w:sz w:val="20"/>
          <w:szCs w:val="20"/>
          <w:color w:val="auto"/>
        </w:rPr>
      </w:pPr>
      <w:r>
        <w:rPr>
          <w:rFonts w:ascii="Arial" w:cs="Arial" w:eastAsia="Arial" w:hAnsi="Arial"/>
          <w:sz w:val="19"/>
          <w:szCs w:val="19"/>
          <w:color w:val="auto"/>
        </w:rPr>
        <w:t>The aggregate fair value of derivative instruments with credit-risk-related contingent features that were in a liability position as of June 30, 2019 was $109 million, for which PGE has posted $21 million in collateral, consisting entirely of letters of credit. If the credit-risk-related contingent features underlying these agreements were triggered at June 30, 2019, the cash requirement to either post as collateral or settle the instruments immediately would have been $103 million. As of June 30, 2019, PGE had no cash collateral posted for derivative instruments with no credit-risk-related contingent features. Cash collateral for derivative instruments is classified as Margin deposits included in Other current assets on the Company’s condensed consolidated balance sheet.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Counterparties representing 10% or more of assets and liabilities from price risk management activities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740" w:type="dxa"/>
            <w:vAlign w:val="bottom"/>
          </w:tcPr>
          <w:p>
            <w:pPr>
              <w:spacing w:after="0"/>
              <w:rPr>
                <w:sz w:val="22"/>
                <w:szCs w:val="22"/>
                <w:color w:val="auto"/>
              </w:rPr>
            </w:pPr>
          </w:p>
        </w:tc>
        <w:tc>
          <w:tcPr>
            <w:tcW w:w="2220" w:type="dxa"/>
            <w:vAlign w:val="bottom"/>
          </w:tcPr>
          <w:p>
            <w:pPr>
              <w:jc w:val="right"/>
              <w:ind w:right="441"/>
              <w:spacing w:after="0"/>
              <w:rPr>
                <w:sz w:val="20"/>
                <w:szCs w:val="20"/>
                <w:color w:val="auto"/>
              </w:rPr>
            </w:pPr>
            <w:r>
              <w:rPr>
                <w:rFonts w:ascii="Arial" w:cs="Arial" w:eastAsia="Arial" w:hAnsi="Arial"/>
                <w:sz w:val="20"/>
                <w:szCs w:val="20"/>
                <w:b w:val="1"/>
                <w:bCs w:val="1"/>
                <w:color w:val="auto"/>
              </w:rPr>
              <w:t>June 30, 2019</w:t>
            </w:r>
          </w:p>
        </w:tc>
        <w:tc>
          <w:tcPr>
            <w:tcW w:w="220" w:type="dxa"/>
            <w:vAlign w:val="bottom"/>
          </w:tcPr>
          <w:p>
            <w:pPr>
              <w:spacing w:after="0"/>
              <w:rPr>
                <w:sz w:val="22"/>
                <w:szCs w:val="22"/>
                <w:color w:val="auto"/>
              </w:rPr>
            </w:pPr>
          </w:p>
        </w:tc>
        <w:tc>
          <w:tcPr>
            <w:tcW w:w="2240" w:type="dxa"/>
            <w:vAlign w:val="bottom"/>
          </w:tcPr>
          <w:p>
            <w:pPr>
              <w:ind w:left="320"/>
              <w:spacing w:after="0"/>
              <w:rPr>
                <w:sz w:val="20"/>
                <w:szCs w:val="20"/>
                <w:color w:val="auto"/>
              </w:rPr>
            </w:pPr>
            <w:r>
              <w:rPr>
                <w:rFonts w:ascii="Arial" w:cs="Arial" w:eastAsia="Arial" w:hAnsi="Arial"/>
                <w:sz w:val="20"/>
                <w:szCs w:val="20"/>
                <w:b w:val="1"/>
                <w:bCs w:val="1"/>
                <w:color w:val="auto"/>
              </w:rPr>
              <w:t>December 31, 2018</w:t>
            </w:r>
          </w:p>
        </w:tc>
      </w:tr>
      <w:tr>
        <w:trPr>
          <w:trHeight w:val="23"/>
        </w:trPr>
        <w:tc>
          <w:tcPr>
            <w:tcW w:w="674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b w:val="1"/>
                <w:bCs w:val="1"/>
                <w:color w:val="auto"/>
              </w:rPr>
              <w:t>Assets from price risk management activities:</w:t>
            </w:r>
          </w:p>
        </w:tc>
        <w:tc>
          <w:tcPr>
            <w:tcW w:w="2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r>
      <w:tr>
        <w:trPr>
          <w:trHeight w:val="261"/>
        </w:trPr>
        <w:tc>
          <w:tcPr>
            <w:tcW w:w="6740" w:type="dxa"/>
            <w:vAlign w:val="bottom"/>
          </w:tcPr>
          <w:p>
            <w:pPr>
              <w:ind w:left="280"/>
              <w:spacing w:after="0"/>
              <w:rPr>
                <w:sz w:val="20"/>
                <w:szCs w:val="20"/>
                <w:color w:val="auto"/>
              </w:rPr>
            </w:pPr>
            <w:r>
              <w:rPr>
                <w:rFonts w:ascii="Arial" w:cs="Arial" w:eastAsia="Arial" w:hAnsi="Arial"/>
                <w:sz w:val="20"/>
                <w:szCs w:val="20"/>
                <w:color w:val="auto"/>
              </w:rPr>
              <w:t>Counterparty A</w:t>
            </w:r>
          </w:p>
        </w:tc>
        <w:tc>
          <w:tcPr>
            <w:tcW w:w="2220" w:type="dxa"/>
            <w:vAlign w:val="bottom"/>
          </w:tcPr>
          <w:p>
            <w:pPr>
              <w:jc w:val="right"/>
              <w:spacing w:after="0"/>
              <w:rPr>
                <w:sz w:val="20"/>
                <w:szCs w:val="20"/>
                <w:color w:val="auto"/>
              </w:rPr>
            </w:pPr>
            <w:r>
              <w:rPr>
                <w:rFonts w:ascii="Arial" w:cs="Arial" w:eastAsia="Arial" w:hAnsi="Arial"/>
                <w:sz w:val="20"/>
                <w:szCs w:val="20"/>
                <w:color w:val="auto"/>
              </w:rPr>
              <w:t>57%</w:t>
            </w:r>
          </w:p>
        </w:tc>
        <w:tc>
          <w:tcPr>
            <w:tcW w:w="2460" w:type="dxa"/>
            <w:vAlign w:val="bottom"/>
            <w:gridSpan w:val="2"/>
          </w:tcPr>
          <w:p>
            <w:pPr>
              <w:ind w:left="2060"/>
              <w:spacing w:after="0"/>
              <w:rPr>
                <w:sz w:val="20"/>
                <w:szCs w:val="20"/>
                <w:color w:val="auto"/>
              </w:rPr>
            </w:pPr>
            <w:r>
              <w:rPr>
                <w:rFonts w:ascii="Arial" w:cs="Arial" w:eastAsia="Arial" w:hAnsi="Arial"/>
                <w:sz w:val="20"/>
                <w:szCs w:val="20"/>
                <w:color w:val="auto"/>
                <w:w w:val="94"/>
              </w:rPr>
              <w:t>42%</w:t>
            </w:r>
          </w:p>
        </w:tc>
      </w:tr>
      <w:tr>
        <w:trPr>
          <w:trHeight w:val="23"/>
        </w:trPr>
        <w:tc>
          <w:tcPr>
            <w:tcW w:w="67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8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Counterparty B</w:t>
            </w:r>
          </w:p>
        </w:tc>
        <w:tc>
          <w:tcPr>
            <w:tcW w:w="22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rPr>
              <w:t>6</w:t>
            </w:r>
          </w:p>
        </w:tc>
        <w:tc>
          <w:tcPr>
            <w:tcW w:w="2460" w:type="dxa"/>
            <w:vAlign w:val="bottom"/>
            <w:tcBorders>
              <w:bottom w:val="single" w:sz="8" w:color="CCEEFF"/>
            </w:tcBorders>
            <w:gridSpan w:val="2"/>
            <w:shd w:val="clear" w:color="auto" w:fill="CCEEFF"/>
          </w:tcPr>
          <w:p>
            <w:pPr>
              <w:ind w:left="2060"/>
              <w:spacing w:after="0"/>
              <w:rPr>
                <w:sz w:val="20"/>
                <w:szCs w:val="20"/>
                <w:color w:val="auto"/>
              </w:rPr>
            </w:pPr>
            <w:r>
              <w:rPr>
                <w:rFonts w:ascii="Arial" w:cs="Arial" w:eastAsia="Arial" w:hAnsi="Arial"/>
                <w:sz w:val="20"/>
                <w:szCs w:val="20"/>
                <w:color w:val="auto"/>
              </w:rPr>
              <w:t>15</w:t>
            </w:r>
          </w:p>
        </w:tc>
      </w:tr>
      <w:tr>
        <w:trPr>
          <w:trHeight w:val="254"/>
        </w:trPr>
        <w:tc>
          <w:tcPr>
            <w:tcW w:w="6740" w:type="dxa"/>
            <w:vAlign w:val="bottom"/>
          </w:tcPr>
          <w:p>
            <w:pPr>
              <w:spacing w:after="0"/>
              <w:rPr>
                <w:sz w:val="22"/>
                <w:szCs w:val="22"/>
                <w:color w:val="auto"/>
              </w:rPr>
            </w:pPr>
          </w:p>
        </w:tc>
        <w:tc>
          <w:tcPr>
            <w:tcW w:w="22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63%</w:t>
            </w:r>
          </w:p>
        </w:tc>
        <w:tc>
          <w:tcPr>
            <w:tcW w:w="220" w:type="dxa"/>
            <w:vAlign w:val="bottom"/>
          </w:tcPr>
          <w:p>
            <w:pPr>
              <w:spacing w:after="0"/>
              <w:rPr>
                <w:sz w:val="22"/>
                <w:szCs w:val="22"/>
                <w:color w:val="auto"/>
              </w:rPr>
            </w:pPr>
          </w:p>
        </w:tc>
        <w:tc>
          <w:tcPr>
            <w:tcW w:w="2240" w:type="dxa"/>
            <w:vAlign w:val="bottom"/>
            <w:tcBorders>
              <w:top w:val="single" w:sz="8" w:color="auto"/>
            </w:tcBorders>
          </w:tcPr>
          <w:p>
            <w:pPr>
              <w:ind w:left="1840"/>
              <w:spacing w:after="0"/>
              <w:rPr>
                <w:sz w:val="20"/>
                <w:szCs w:val="20"/>
                <w:color w:val="auto"/>
              </w:rPr>
            </w:pPr>
            <w:r>
              <w:rPr>
                <w:rFonts w:ascii="Arial" w:cs="Arial" w:eastAsia="Arial" w:hAnsi="Arial"/>
                <w:sz w:val="20"/>
                <w:szCs w:val="20"/>
                <w:color w:val="auto"/>
                <w:w w:val="94"/>
              </w:rPr>
              <w:t>57%</w:t>
            </w:r>
          </w:p>
        </w:tc>
      </w:tr>
      <w:tr>
        <w:trPr>
          <w:trHeight w:val="63"/>
        </w:trPr>
        <w:tc>
          <w:tcPr>
            <w:tcW w:w="6740" w:type="dxa"/>
            <w:vAlign w:val="bottom"/>
            <w:tcBorders>
              <w:bottom w:val="single" w:sz="8" w:color="CCEEFF"/>
            </w:tcBorders>
          </w:tcPr>
          <w:p>
            <w:pPr>
              <w:spacing w:after="0"/>
              <w:rPr>
                <w:sz w:val="5"/>
                <w:szCs w:val="5"/>
                <w:color w:val="auto"/>
              </w:rPr>
            </w:pPr>
          </w:p>
        </w:tc>
        <w:tc>
          <w:tcPr>
            <w:tcW w:w="222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r>
      <w:tr>
        <w:trPr>
          <w:trHeight w:val="251"/>
        </w:trPr>
        <w:tc>
          <w:tcPr>
            <w:tcW w:w="6740" w:type="dxa"/>
            <w:vAlign w:val="bottom"/>
            <w:tcBorders>
              <w:bottom w:val="single" w:sz="8" w:color="CCEEFF"/>
            </w:tcBorders>
            <w:shd w:val="clear" w:color="auto" w:fill="CCEEFF"/>
          </w:tcPr>
          <w:p>
            <w:pPr>
              <w:ind w:left="40"/>
              <w:spacing w:after="0" w:line="228" w:lineRule="exact"/>
              <w:rPr>
                <w:sz w:val="20"/>
                <w:szCs w:val="20"/>
                <w:color w:val="auto"/>
              </w:rPr>
            </w:pPr>
            <w:r>
              <w:rPr>
                <w:rFonts w:ascii="Arial" w:cs="Arial" w:eastAsia="Arial" w:hAnsi="Arial"/>
                <w:sz w:val="20"/>
                <w:szCs w:val="20"/>
                <w:b w:val="1"/>
                <w:bCs w:val="1"/>
                <w:color w:val="auto"/>
              </w:rPr>
              <w:t>Liabilities from price risk management activities:</w:t>
            </w:r>
          </w:p>
        </w:tc>
        <w:tc>
          <w:tcPr>
            <w:tcW w:w="2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r>
      <w:tr>
        <w:trPr>
          <w:trHeight w:val="272"/>
        </w:trPr>
        <w:tc>
          <w:tcPr>
            <w:tcW w:w="6740" w:type="dxa"/>
            <w:vAlign w:val="bottom"/>
          </w:tcPr>
          <w:p>
            <w:pPr>
              <w:ind w:left="280"/>
              <w:spacing w:after="0"/>
              <w:rPr>
                <w:sz w:val="20"/>
                <w:szCs w:val="20"/>
                <w:color w:val="auto"/>
              </w:rPr>
            </w:pPr>
            <w:r>
              <w:rPr>
                <w:rFonts w:ascii="Arial" w:cs="Arial" w:eastAsia="Arial" w:hAnsi="Arial"/>
                <w:sz w:val="20"/>
                <w:szCs w:val="20"/>
                <w:color w:val="auto"/>
              </w:rPr>
              <w:t>Counterparty C</w:t>
            </w:r>
          </w:p>
        </w:tc>
        <w:tc>
          <w:tcPr>
            <w:tcW w:w="2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59%</w:t>
            </w:r>
          </w:p>
        </w:tc>
        <w:tc>
          <w:tcPr>
            <w:tcW w:w="220" w:type="dxa"/>
            <w:vAlign w:val="bottom"/>
            <w:tcBorders>
              <w:top w:val="single" w:sz="8" w:color="CCEEFF"/>
              <w:bottom w:val="single" w:sz="8" w:color="CCEEFF"/>
            </w:tcBorders>
            <w:shd w:val="clear" w:color="auto" w:fill="CCEEFF"/>
          </w:tcPr>
          <w:p>
            <w:pPr>
              <w:spacing w:after="0"/>
              <w:rPr>
                <w:sz w:val="23"/>
                <w:szCs w:val="23"/>
                <w:color w:val="auto"/>
              </w:rPr>
            </w:pPr>
          </w:p>
        </w:tc>
        <w:tc>
          <w:tcPr>
            <w:tcW w:w="2240" w:type="dxa"/>
            <w:vAlign w:val="bottom"/>
            <w:tcBorders>
              <w:top w:val="single" w:sz="8" w:color="auto"/>
              <w:bottom w:val="single" w:sz="8" w:color="auto"/>
            </w:tcBorders>
          </w:tcPr>
          <w:p>
            <w:pPr>
              <w:ind w:left="1840"/>
              <w:spacing w:after="0"/>
              <w:rPr>
                <w:sz w:val="20"/>
                <w:szCs w:val="20"/>
                <w:color w:val="auto"/>
              </w:rPr>
            </w:pPr>
            <w:r>
              <w:rPr>
                <w:rFonts w:ascii="Arial" w:cs="Arial" w:eastAsia="Arial" w:hAnsi="Arial"/>
                <w:sz w:val="20"/>
                <w:szCs w:val="20"/>
                <w:color w:val="auto"/>
                <w:w w:val="94"/>
              </w:rPr>
              <w:t>56%</w:t>
            </w:r>
          </w:p>
        </w:tc>
      </w:tr>
      <w:tr>
        <w:trPr>
          <w:trHeight w:val="20"/>
        </w:trPr>
        <w:tc>
          <w:tcPr>
            <w:tcW w:w="674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See Note 4, Fair Value of Financial Instruments, for additional information concerning the determination of fair value for the Company’s Assets and Liabilities from price risk management activities.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Rate Risk</w:t>
      </w:r>
    </w:p>
    <w:p>
      <w:pPr>
        <w:spacing w:after="0" w:line="235"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PGE has in the past and may enter into interest rate swap lock agreements to hedge a portion of its interest rate risk associated with anticipated issuances of fixed-rate, long-term debt securities. These derivatives were designated as cash flow hedges, protecting against the risk of changes in future interest payments resulting from changes in benchmark U.S. Treasury rates between the date of hedge inception and the date of the debt issuance.</w:t>
      </w:r>
    </w:p>
    <w:p>
      <w:pPr>
        <w:spacing w:after="0" w:line="151"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Upon settlement of interest rate swap derivatives, the cash payments made or received are recorded as a regulatory asset or liability and are subsequently amortized as a component of interest expense over the life of the associated debt. Such amounts are also included as a component of cost of debt for ratemaking purposes.</w:t>
      </w:r>
    </w:p>
    <w:p>
      <w:pPr>
        <w:sectPr>
          <w:pgSz w:w="11900" w:h="16838" w:orient="portrait"/>
          <w:cols w:equalWidth="0" w:num="1">
            <w:col w:w="11420"/>
          </w:cols>
          <w:pgMar w:left="240" w:top="125" w:right="23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line="257" w:lineRule="auto"/>
        <w:rPr>
          <w:sz w:val="20"/>
          <w:szCs w:val="20"/>
          <w:color w:val="auto"/>
        </w:rPr>
      </w:pPr>
      <w:r>
        <w:rPr>
          <w:rFonts w:ascii="Arial" w:cs="Arial" w:eastAsia="Arial" w:hAnsi="Arial"/>
          <w:sz w:val="20"/>
          <w:szCs w:val="20"/>
          <w:b w:val="1"/>
          <w:bCs w:val="1"/>
          <w:color w:val="auto"/>
        </w:rPr>
        <w:t xml:space="preserve">PORTLAND GENERAL ELECTRIC COMPANY NOTES TO CONDENSED CONSOLIDATED FINANCIAL STATEMENTS, continued </w:t>
      </w:r>
      <w:r>
        <w:rPr>
          <w:rFonts w:ascii="Arial" w:cs="Arial" w:eastAsia="Arial" w:hAnsi="Arial"/>
          <w:sz w:val="20"/>
          <w:szCs w:val="20"/>
          <w:color w:val="auto"/>
        </w:rPr>
        <w:t>(Unaudited)</w:t>
      </w:r>
    </w:p>
    <w:p>
      <w:pPr>
        <w:spacing w:after="0" w:line="200" w:lineRule="exact"/>
        <w:rPr>
          <w:sz w:val="20"/>
          <w:szCs w:val="20"/>
          <w:color w:val="auto"/>
        </w:rPr>
      </w:pPr>
    </w:p>
    <w:p>
      <w:pPr>
        <w:spacing w:after="0" w:line="245"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color w:val="auto"/>
        </w:rPr>
        <w:t>PGE is required to make cash payments to settle the interest rate swap derivatives when the fixed rates are higher than prevailing market rates at the date of settlement. Conversely, PGE receives cash to settle its interest rate swap derivatives when prevailing market rates at the time of settlement exceed the fixed swap rates. Until settlement, the interest rate swaps are carried at fair value as a derivative asset or liability with the corresponding offset recorded as either a regulatory liability or regulatory asset, respectively. The fair value of outstanding interest rate swap derivatives can vary significantly from period to period depending on the total notional amount of swap derivatives outstanding and fluctuations in market interest rates compared to the interest rates fixed by the swaps. As of June 30, 2019, the Company had no outstanding interest rate swaps. As of December 31, 2018, the fair value of the interest rate swaps was a $4 million liability, which was recorded in Liabilities from price risk management activities - current on the Company’s condensed consolidated balance sheets. The swaps settled at a $5 million loss in January 2019, which has been recorded in Regulatory assets - noncurrent on the condensed consolidated balance sheets.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EARNINGS PER SHARE</w:t>
      </w:r>
    </w:p>
    <w:p>
      <w:pPr>
        <w:spacing w:after="0" w:line="235"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Basic earnings per share are computed based on the weighted average number of common shares outstanding during the period. Diluted earnings per share are computed using the weighted average number of common shares outstanding and the effect of dilutive potential common shares outstanding during the period using the treasury stock method. Potential common shares consist of: i) employee stock purchase plan shares; and ii) contingently issuable time-based and performance-based restricted stock units, along with associated dividend equivalent rights. Unvested performance-based restricted stock units and associated dividend equivalent rights are included in dilutive potential common shares only after the performance criteria have been met.</w:t>
      </w:r>
    </w:p>
    <w:p>
      <w:pPr>
        <w:spacing w:after="0" w:line="192"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auto"/>
        </w:rPr>
        <w:t>For the three and six months ended June 30, 2019, unvested performance-based restricted stock units and related dividend equivalent rights of 267 thousand shares were excluded from the dilutive calculation because the performance goals had not been met, with 231 thousand shares excluded for the three and six months ended June 30, 2018.</w:t>
      </w:r>
    </w:p>
    <w:p>
      <w:pPr>
        <w:spacing w:after="0" w:line="200"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Net income is the same for both the basic and diluted earnings per share computations. The denominators of the basic and diluted earnings per share computations are as follows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0" w:type="dxa"/>
            <w:vAlign w:val="bottom"/>
            <w:gridSpan w:val="4"/>
          </w:tcPr>
          <w:p>
            <w:pPr>
              <w:ind w:left="120"/>
              <w:spacing w:after="0"/>
              <w:rPr>
                <w:sz w:val="20"/>
                <w:szCs w:val="20"/>
                <w:color w:val="auto"/>
              </w:rPr>
            </w:pPr>
            <w:r>
              <w:rPr>
                <w:rFonts w:ascii="Arial" w:cs="Arial" w:eastAsia="Arial" w:hAnsi="Arial"/>
                <w:sz w:val="20"/>
                <w:szCs w:val="20"/>
                <w:b w:val="1"/>
                <w:bCs w:val="1"/>
                <w:color w:val="auto"/>
              </w:rPr>
              <w:t>Three Months Ended June 30,</w:t>
            </w:r>
          </w:p>
        </w:tc>
        <w:tc>
          <w:tcPr>
            <w:tcW w:w="2700" w:type="dxa"/>
            <w:vAlign w:val="bottom"/>
            <w:gridSpan w:val="3"/>
          </w:tcPr>
          <w:p>
            <w:pPr>
              <w:jc w:val="right"/>
              <w:ind w:right="81"/>
              <w:spacing w:after="0"/>
              <w:rPr>
                <w:sz w:val="20"/>
                <w:szCs w:val="20"/>
                <w:color w:val="auto"/>
              </w:rPr>
            </w:pPr>
            <w:r>
              <w:rPr>
                <w:rFonts w:ascii="Arial" w:cs="Arial" w:eastAsia="Arial" w:hAnsi="Arial"/>
                <w:sz w:val="20"/>
                <w:szCs w:val="20"/>
                <w:b w:val="1"/>
                <w:bCs w:val="1"/>
                <w:color w:val="auto"/>
                <w:w w:val="96"/>
              </w:rPr>
              <w:t>Six Months Ended June 30,</w:t>
            </w:r>
          </w:p>
        </w:tc>
      </w:tr>
      <w:tr>
        <w:trPr>
          <w:trHeight w:val="23"/>
        </w:trPr>
        <w:tc>
          <w:tcPr>
            <w:tcW w:w="5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4"/>
        </w:trPr>
        <w:tc>
          <w:tcPr>
            <w:tcW w:w="5060" w:type="dxa"/>
            <w:vAlign w:val="bottom"/>
          </w:tcPr>
          <w:p>
            <w:pPr>
              <w:spacing w:after="0"/>
              <w:rPr>
                <w:sz w:val="22"/>
                <w:szCs w:val="22"/>
                <w:color w:val="auto"/>
              </w:rPr>
            </w:pPr>
          </w:p>
        </w:tc>
        <w:tc>
          <w:tcPr>
            <w:tcW w:w="1940" w:type="dxa"/>
            <w:vAlign w:val="bottom"/>
            <w:gridSpan w:val="2"/>
          </w:tcPr>
          <w:p>
            <w:pPr>
              <w:jc w:val="right"/>
              <w:ind w:right="341"/>
              <w:spacing w:after="0"/>
              <w:rPr>
                <w:sz w:val="20"/>
                <w:szCs w:val="20"/>
                <w:color w:val="auto"/>
              </w:rPr>
            </w:pPr>
            <w:r>
              <w:rPr>
                <w:rFonts w:ascii="Arial" w:cs="Arial" w:eastAsia="Arial" w:hAnsi="Arial"/>
                <w:sz w:val="20"/>
                <w:szCs w:val="20"/>
                <w:b w:val="1"/>
                <w:bCs w:val="1"/>
                <w:color w:val="auto"/>
              </w:rPr>
              <w:t>2019</w:t>
            </w:r>
          </w:p>
        </w:tc>
        <w:tc>
          <w:tcPr>
            <w:tcW w:w="220" w:type="dxa"/>
            <w:vAlign w:val="bottom"/>
          </w:tcPr>
          <w:p>
            <w:pPr>
              <w:spacing w:after="0"/>
              <w:rPr>
                <w:sz w:val="22"/>
                <w:szCs w:val="22"/>
                <w:color w:val="auto"/>
              </w:rPr>
            </w:pPr>
          </w:p>
        </w:tc>
        <w:tc>
          <w:tcPr>
            <w:tcW w:w="1260" w:type="dxa"/>
            <w:vAlign w:val="bottom"/>
          </w:tcPr>
          <w:p>
            <w:pPr>
              <w:jc w:val="right"/>
              <w:ind w:right="321"/>
              <w:spacing w:after="0"/>
              <w:rPr>
                <w:sz w:val="20"/>
                <w:szCs w:val="20"/>
                <w:color w:val="auto"/>
              </w:rPr>
            </w:pPr>
            <w:r>
              <w:rPr>
                <w:rFonts w:ascii="Arial" w:cs="Arial" w:eastAsia="Arial" w:hAnsi="Arial"/>
                <w:sz w:val="20"/>
                <w:szCs w:val="20"/>
                <w:b w:val="1"/>
                <w:bCs w:val="1"/>
                <w:color w:val="auto"/>
              </w:rPr>
              <w:t>2018</w:t>
            </w:r>
          </w:p>
        </w:tc>
        <w:tc>
          <w:tcPr>
            <w:tcW w:w="240" w:type="dxa"/>
            <w:vAlign w:val="bottom"/>
          </w:tcPr>
          <w:p>
            <w:pPr>
              <w:spacing w:after="0"/>
              <w:rPr>
                <w:sz w:val="22"/>
                <w:szCs w:val="22"/>
                <w:color w:val="auto"/>
              </w:rPr>
            </w:pPr>
          </w:p>
        </w:tc>
        <w:tc>
          <w:tcPr>
            <w:tcW w:w="1240" w:type="dxa"/>
            <w:vAlign w:val="bottom"/>
          </w:tcPr>
          <w:p>
            <w:pPr>
              <w:jc w:val="right"/>
              <w:ind w:right="321"/>
              <w:spacing w:after="0"/>
              <w:rPr>
                <w:sz w:val="20"/>
                <w:szCs w:val="20"/>
                <w:color w:val="auto"/>
              </w:rPr>
            </w:pPr>
            <w:r>
              <w:rPr>
                <w:rFonts w:ascii="Arial" w:cs="Arial" w:eastAsia="Arial" w:hAnsi="Arial"/>
                <w:sz w:val="20"/>
                <w:szCs w:val="20"/>
                <w:b w:val="1"/>
                <w:bCs w:val="1"/>
                <w:color w:val="auto"/>
              </w:rPr>
              <w:t>2019</w:t>
            </w:r>
          </w:p>
        </w:tc>
        <w:tc>
          <w:tcPr>
            <w:tcW w:w="220" w:type="dxa"/>
            <w:vAlign w:val="bottom"/>
          </w:tcPr>
          <w:p>
            <w:pPr>
              <w:spacing w:after="0"/>
              <w:rPr>
                <w:sz w:val="22"/>
                <w:szCs w:val="22"/>
                <w:color w:val="auto"/>
              </w:rPr>
            </w:pPr>
          </w:p>
        </w:tc>
        <w:tc>
          <w:tcPr>
            <w:tcW w:w="1240" w:type="dxa"/>
            <w:vAlign w:val="bottom"/>
          </w:tcPr>
          <w:p>
            <w:pPr>
              <w:jc w:val="right"/>
              <w:ind w:right="321"/>
              <w:spacing w:after="0"/>
              <w:rPr>
                <w:sz w:val="20"/>
                <w:szCs w:val="20"/>
                <w:color w:val="auto"/>
              </w:rPr>
            </w:pPr>
            <w:r>
              <w:rPr>
                <w:rFonts w:ascii="Arial" w:cs="Arial" w:eastAsia="Arial" w:hAnsi="Arial"/>
                <w:sz w:val="20"/>
                <w:szCs w:val="20"/>
                <w:b w:val="1"/>
                <w:bCs w:val="1"/>
                <w:color w:val="auto"/>
              </w:rPr>
              <w:t>2018</w:t>
            </w:r>
          </w:p>
        </w:tc>
      </w:tr>
      <w:tr>
        <w:trPr>
          <w:trHeight w:val="23"/>
        </w:trPr>
        <w:tc>
          <w:tcPr>
            <w:tcW w:w="50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Weighted-average common shares outstanding—basic</w:t>
            </w:r>
          </w:p>
        </w:tc>
        <w:tc>
          <w:tcPr>
            <w:tcW w:w="194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20"/>
                <w:szCs w:val="20"/>
                <w:color w:val="auto"/>
              </w:rPr>
              <w:t>89,357</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89,215</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89,333</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89,188</w:t>
            </w:r>
          </w:p>
        </w:tc>
      </w:tr>
      <w:tr>
        <w:trPr>
          <w:trHeight w:val="261"/>
        </w:trPr>
        <w:tc>
          <w:tcPr>
            <w:tcW w:w="5060" w:type="dxa"/>
            <w:vAlign w:val="bottom"/>
          </w:tcPr>
          <w:p>
            <w:pPr>
              <w:ind w:left="280"/>
              <w:spacing w:after="0"/>
              <w:rPr>
                <w:sz w:val="20"/>
                <w:szCs w:val="20"/>
                <w:color w:val="auto"/>
              </w:rPr>
            </w:pPr>
            <w:r>
              <w:rPr>
                <w:rFonts w:ascii="Arial" w:cs="Arial" w:eastAsia="Arial" w:hAnsi="Arial"/>
                <w:sz w:val="20"/>
                <w:szCs w:val="20"/>
                <w:color w:val="auto"/>
              </w:rPr>
              <w:t>Dilutive effect of potential common shares</w:t>
            </w:r>
          </w:p>
        </w:tc>
        <w:tc>
          <w:tcPr>
            <w:tcW w:w="1940" w:type="dxa"/>
            <w:vAlign w:val="bottom"/>
            <w:gridSpan w:val="2"/>
          </w:tcPr>
          <w:p>
            <w:pPr>
              <w:jc w:val="right"/>
              <w:ind w:right="41"/>
              <w:spacing w:after="0"/>
              <w:rPr>
                <w:sz w:val="20"/>
                <w:szCs w:val="20"/>
                <w:color w:val="auto"/>
              </w:rPr>
            </w:pPr>
            <w:r>
              <w:rPr>
                <w:rFonts w:ascii="Arial" w:cs="Arial" w:eastAsia="Arial" w:hAnsi="Arial"/>
                <w:sz w:val="20"/>
                <w:szCs w:val="20"/>
                <w:color w:val="auto"/>
              </w:rPr>
              <w:t>204</w:t>
            </w:r>
          </w:p>
        </w:tc>
        <w:tc>
          <w:tcPr>
            <w:tcW w:w="220" w:type="dxa"/>
            <w:vAlign w:val="bottom"/>
          </w:tcPr>
          <w:p>
            <w:pPr>
              <w:spacing w:after="0"/>
              <w:rPr>
                <w:sz w:val="22"/>
                <w:szCs w:val="22"/>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204</w:t>
            </w:r>
          </w:p>
        </w:tc>
        <w:tc>
          <w:tcPr>
            <w:tcW w:w="220" w:type="dxa"/>
            <w:vAlign w:val="bottom"/>
          </w:tcPr>
          <w:p>
            <w:pPr>
              <w:spacing w:after="0"/>
              <w:rPr>
                <w:sz w:val="22"/>
                <w:szCs w:val="22"/>
                <w:color w:val="auto"/>
              </w:rPr>
            </w:pP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w:t>
            </w:r>
          </w:p>
        </w:tc>
      </w:tr>
      <w:tr>
        <w:trPr>
          <w:trHeight w:val="23"/>
        </w:trPr>
        <w:tc>
          <w:tcPr>
            <w:tcW w:w="50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2"/>
        </w:trPr>
        <w:tc>
          <w:tcPr>
            <w:tcW w:w="5060" w:type="dxa"/>
            <w:vAlign w:val="bottom"/>
            <w:shd w:val="clear" w:color="auto" w:fill="CCEEFF"/>
          </w:tcPr>
          <w:p>
            <w:pPr>
              <w:ind w:left="40"/>
              <w:spacing w:after="0"/>
              <w:rPr>
                <w:sz w:val="20"/>
                <w:szCs w:val="20"/>
                <w:color w:val="auto"/>
              </w:rPr>
            </w:pPr>
            <w:r>
              <w:rPr>
                <w:rFonts w:ascii="Arial" w:cs="Arial" w:eastAsia="Arial" w:hAnsi="Arial"/>
                <w:sz w:val="20"/>
                <w:szCs w:val="20"/>
                <w:color w:val="auto"/>
              </w:rPr>
              <w:t>Weighted-average common shares outstanding—diluted</w:t>
            </w:r>
          </w:p>
        </w:tc>
        <w:tc>
          <w:tcPr>
            <w:tcW w:w="1940" w:type="dxa"/>
            <w:vAlign w:val="bottom"/>
            <w:gridSpan w:val="2"/>
            <w:shd w:val="clear" w:color="auto" w:fill="CCEEFF"/>
          </w:tcPr>
          <w:p>
            <w:pPr>
              <w:jc w:val="right"/>
              <w:ind w:right="41"/>
              <w:spacing w:after="0"/>
              <w:rPr>
                <w:sz w:val="20"/>
                <w:szCs w:val="20"/>
                <w:color w:val="auto"/>
              </w:rPr>
            </w:pPr>
            <w:r>
              <w:rPr>
                <w:rFonts w:ascii="Arial" w:cs="Arial" w:eastAsia="Arial" w:hAnsi="Arial"/>
                <w:sz w:val="20"/>
                <w:szCs w:val="20"/>
                <w:color w:val="auto"/>
              </w:rPr>
              <w:t>89,561</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89,215</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89,537</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89,188</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904"/>
        </w:trPr>
        <w:tc>
          <w:tcPr>
            <w:tcW w:w="5060" w:type="dxa"/>
            <w:vAlign w:val="bottom"/>
          </w:tcPr>
          <w:p>
            <w:pPr>
              <w:spacing w:after="0"/>
              <w:rPr>
                <w:sz w:val="24"/>
                <w:szCs w:val="24"/>
                <w:color w:val="auto"/>
              </w:rPr>
            </w:pPr>
          </w:p>
        </w:tc>
        <w:tc>
          <w:tcPr>
            <w:tcW w:w="1940" w:type="dxa"/>
            <w:vAlign w:val="bottom"/>
            <w:gridSpan w:val="2"/>
          </w:tcPr>
          <w:p>
            <w:pPr>
              <w:jc w:val="right"/>
              <w:ind w:right="1101"/>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line="257" w:lineRule="auto"/>
        <w:rPr>
          <w:sz w:val="20"/>
          <w:szCs w:val="20"/>
          <w:color w:val="auto"/>
        </w:rPr>
      </w:pPr>
      <w:r>
        <w:rPr>
          <w:rFonts w:ascii="Arial" w:cs="Arial" w:eastAsia="Arial" w:hAnsi="Arial"/>
          <w:sz w:val="20"/>
          <w:szCs w:val="20"/>
          <w:b w:val="1"/>
          <w:bCs w:val="1"/>
          <w:color w:val="auto"/>
        </w:rPr>
        <w:t xml:space="preserve">PORTLAND GENERAL ELECTRIC COMPANY NOTES TO CONDENSED CONSOLIDATED FINANCIAL STATEMENTS, continued </w:t>
      </w:r>
      <w:r>
        <w:rPr>
          <w:rFonts w:ascii="Arial" w:cs="Arial" w:eastAsia="Arial" w:hAnsi="Arial"/>
          <w:sz w:val="20"/>
          <w:szCs w:val="20"/>
          <w:color w:val="auto"/>
        </w:rPr>
        <w:t>(Unaudited)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7: SHAREHOLDERS’ EQUITY</w:t>
      </w:r>
    </w:p>
    <w:p>
      <w:pPr>
        <w:spacing w:after="0" w:line="235" w:lineRule="exact"/>
        <w:rPr>
          <w:sz w:val="20"/>
          <w:szCs w:val="20"/>
          <w:color w:val="auto"/>
        </w:rPr>
      </w:pPr>
    </w:p>
    <w:p>
      <w:pPr>
        <w:ind w:right="440"/>
        <w:spacing w:after="0" w:line="260" w:lineRule="auto"/>
        <w:rPr>
          <w:sz w:val="20"/>
          <w:szCs w:val="20"/>
          <w:color w:val="auto"/>
        </w:rPr>
      </w:pPr>
      <w:r>
        <w:rPr>
          <w:rFonts w:ascii="Arial" w:cs="Arial" w:eastAsia="Arial" w:hAnsi="Arial"/>
          <w:sz w:val="20"/>
          <w:szCs w:val="20"/>
          <w:color w:val="auto"/>
        </w:rPr>
        <w:t>The activity in equity during the three and six-month periods ended June 30, 2019 and 2018 was as follows (dollars in millions, except per share amounts):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20"/>
                <w:szCs w:val="20"/>
                <w:b w:val="1"/>
                <w:bCs w:val="1"/>
                <w:color w:val="auto"/>
                <w:w w:val="90"/>
              </w:rPr>
              <w:t>Accumulated</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19"/>
                <w:szCs w:val="19"/>
                <w:color w:val="auto"/>
              </w:rPr>
            </w:pPr>
          </w:p>
        </w:tc>
        <w:tc>
          <w:tcPr>
            <w:tcW w:w="2840" w:type="dxa"/>
            <w:vAlign w:val="bottom"/>
            <w:gridSpan w:val="5"/>
            <w:vMerge w:val="restart"/>
          </w:tcPr>
          <w:p>
            <w:pPr>
              <w:ind w:left="720"/>
              <w:spacing w:after="0"/>
              <w:rPr>
                <w:sz w:val="20"/>
                <w:szCs w:val="20"/>
                <w:color w:val="auto"/>
              </w:rPr>
            </w:pPr>
            <w:r>
              <w:rPr>
                <w:rFonts w:ascii="Arial" w:cs="Arial" w:eastAsia="Arial" w:hAnsi="Arial"/>
                <w:sz w:val="20"/>
                <w:szCs w:val="20"/>
                <w:b w:val="1"/>
                <w:bCs w:val="1"/>
                <w:color w:val="auto"/>
              </w:rPr>
              <w:t>Common Stock</w:t>
            </w:r>
          </w:p>
        </w:tc>
        <w:tc>
          <w:tcPr>
            <w:tcW w:w="180" w:type="dxa"/>
            <w:vAlign w:val="bottom"/>
          </w:tcPr>
          <w:p>
            <w:pPr>
              <w:spacing w:after="0"/>
              <w:rPr>
                <w:sz w:val="19"/>
                <w:szCs w:val="19"/>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20"/>
                <w:szCs w:val="20"/>
                <w:b w:val="1"/>
                <w:bCs w:val="1"/>
                <w:color w:val="auto"/>
                <w:w w:val="93"/>
              </w:rPr>
              <w:t>Other</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2840" w:type="dxa"/>
            <w:vAlign w:val="bottom"/>
            <w:gridSpan w:val="5"/>
            <w:vMerge w:val="continue"/>
          </w:tcPr>
          <w:p>
            <w:pPr>
              <w:spacing w:after="0"/>
              <w:rPr>
                <w:sz w:val="11"/>
                <w:szCs w:val="11"/>
                <w:color w:val="auto"/>
              </w:rPr>
            </w:pPr>
          </w:p>
        </w:tc>
        <w:tc>
          <w:tcPr>
            <w:tcW w:w="180" w:type="dxa"/>
            <w:vAlign w:val="bottom"/>
          </w:tcPr>
          <w:p>
            <w:pPr>
              <w:spacing w:after="0"/>
              <w:rPr>
                <w:sz w:val="11"/>
                <w:szCs w:val="11"/>
                <w:color w:val="auto"/>
              </w:rPr>
            </w:pPr>
          </w:p>
        </w:tc>
        <w:tc>
          <w:tcPr>
            <w:tcW w:w="1760" w:type="dxa"/>
            <w:vAlign w:val="bottom"/>
            <w:gridSpan w:val="2"/>
            <w:vMerge w:val="restart"/>
          </w:tcPr>
          <w:p>
            <w:pPr>
              <w:jc w:val="center"/>
              <w:ind w:right="300"/>
              <w:spacing w:after="0"/>
              <w:rPr>
                <w:sz w:val="20"/>
                <w:szCs w:val="20"/>
                <w:color w:val="auto"/>
              </w:rPr>
            </w:pPr>
            <w:r>
              <w:rPr>
                <w:rFonts w:ascii="Arial" w:cs="Arial" w:eastAsia="Arial" w:hAnsi="Arial"/>
                <w:sz w:val="20"/>
                <w:szCs w:val="20"/>
                <w:b w:val="1"/>
                <w:bCs w:val="1"/>
                <w:color w:val="auto"/>
                <w:w w:val="86"/>
              </w:rPr>
              <w:t>Comprehensive</w:t>
            </w:r>
          </w:p>
        </w:tc>
        <w:tc>
          <w:tcPr>
            <w:tcW w:w="220" w:type="dxa"/>
            <w:vAlign w:val="bottom"/>
          </w:tcPr>
          <w:p>
            <w:pPr>
              <w:spacing w:after="0"/>
              <w:rPr>
                <w:sz w:val="11"/>
                <w:szCs w:val="11"/>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20"/>
                <w:szCs w:val="20"/>
                <w:b w:val="1"/>
                <w:bCs w:val="1"/>
                <w:color w:val="auto"/>
              </w:rPr>
              <w:t>Retained</w:t>
            </w: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2"/>
        </w:trPr>
        <w:tc>
          <w:tcPr>
            <w:tcW w:w="37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3780" w:type="dxa"/>
            <w:vAlign w:val="bottom"/>
          </w:tcPr>
          <w:p>
            <w:pPr>
              <w:spacing w:after="0"/>
              <w:rPr>
                <w:sz w:val="22"/>
                <w:szCs w:val="22"/>
                <w:color w:val="auto"/>
              </w:rPr>
            </w:pPr>
          </w:p>
        </w:tc>
        <w:tc>
          <w:tcPr>
            <w:tcW w:w="1460" w:type="dxa"/>
            <w:vAlign w:val="bottom"/>
            <w:gridSpan w:val="2"/>
          </w:tcPr>
          <w:p>
            <w:pPr>
              <w:ind w:left="380"/>
              <w:spacing w:after="0"/>
              <w:rPr>
                <w:sz w:val="20"/>
                <w:szCs w:val="20"/>
                <w:color w:val="auto"/>
              </w:rPr>
            </w:pPr>
            <w:r>
              <w:rPr>
                <w:rFonts w:ascii="Arial" w:cs="Arial" w:eastAsia="Arial" w:hAnsi="Arial"/>
                <w:sz w:val="20"/>
                <w:szCs w:val="20"/>
                <w:b w:val="1"/>
                <w:bCs w:val="1"/>
                <w:color w:val="auto"/>
              </w:rPr>
              <w:t>Shares</w:t>
            </w:r>
          </w:p>
        </w:tc>
        <w:tc>
          <w:tcPr>
            <w:tcW w:w="200" w:type="dxa"/>
            <w:vAlign w:val="bottom"/>
          </w:tcPr>
          <w:p>
            <w:pPr>
              <w:spacing w:after="0"/>
              <w:rPr>
                <w:sz w:val="22"/>
                <w:szCs w:val="22"/>
                <w:color w:val="auto"/>
              </w:rPr>
            </w:pPr>
          </w:p>
        </w:tc>
        <w:tc>
          <w:tcPr>
            <w:tcW w:w="1180" w:type="dxa"/>
            <w:vAlign w:val="bottom"/>
            <w:gridSpan w:val="2"/>
          </w:tcPr>
          <w:p>
            <w:pPr>
              <w:ind w:left="80"/>
              <w:spacing w:after="0"/>
              <w:rPr>
                <w:sz w:val="20"/>
                <w:szCs w:val="20"/>
                <w:color w:val="auto"/>
              </w:rPr>
            </w:pPr>
            <w:r>
              <w:rPr>
                <w:rFonts w:ascii="Arial" w:cs="Arial" w:eastAsia="Arial" w:hAnsi="Arial"/>
                <w:sz w:val="20"/>
                <w:szCs w:val="20"/>
                <w:b w:val="1"/>
                <w:bCs w:val="1"/>
                <w:color w:val="auto"/>
              </w:rPr>
              <w:t>Amount</w:t>
            </w:r>
          </w:p>
        </w:tc>
        <w:tc>
          <w:tcPr>
            <w:tcW w:w="180" w:type="dxa"/>
            <w:vAlign w:val="bottom"/>
          </w:tcPr>
          <w:p>
            <w:pPr>
              <w:spacing w:after="0"/>
              <w:rPr>
                <w:sz w:val="22"/>
                <w:szCs w:val="22"/>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20"/>
                <w:szCs w:val="20"/>
                <w:b w:val="1"/>
                <w:bCs w:val="1"/>
                <w:color w:val="auto"/>
                <w:w w:val="81"/>
              </w:rPr>
              <w:t>Loss</w:t>
            </w:r>
          </w:p>
        </w:tc>
        <w:tc>
          <w:tcPr>
            <w:tcW w:w="220" w:type="dxa"/>
            <w:vAlign w:val="bottom"/>
          </w:tcPr>
          <w:p>
            <w:pPr>
              <w:spacing w:after="0"/>
              <w:rPr>
                <w:sz w:val="22"/>
                <w:szCs w:val="22"/>
                <w:color w:val="auto"/>
              </w:rPr>
            </w:pPr>
          </w:p>
        </w:tc>
        <w:tc>
          <w:tcPr>
            <w:tcW w:w="1260" w:type="dxa"/>
            <w:vAlign w:val="bottom"/>
            <w:gridSpan w:val="2"/>
          </w:tcPr>
          <w:p>
            <w:pPr>
              <w:ind w:left="80"/>
              <w:spacing w:after="0"/>
              <w:rPr>
                <w:sz w:val="20"/>
                <w:szCs w:val="20"/>
                <w:color w:val="auto"/>
              </w:rPr>
            </w:pPr>
            <w:r>
              <w:rPr>
                <w:rFonts w:ascii="Arial" w:cs="Arial" w:eastAsia="Arial" w:hAnsi="Arial"/>
                <w:sz w:val="20"/>
                <w:szCs w:val="20"/>
                <w:b w:val="1"/>
                <w:bCs w:val="1"/>
                <w:color w:val="auto"/>
              </w:rPr>
              <w:t>Earnings</w:t>
            </w:r>
          </w:p>
        </w:tc>
        <w:tc>
          <w:tcPr>
            <w:tcW w:w="300" w:type="dxa"/>
            <w:vAlign w:val="bottom"/>
          </w:tcPr>
          <w:p>
            <w:pPr>
              <w:spacing w:after="0"/>
              <w:rPr>
                <w:sz w:val="22"/>
                <w:szCs w:val="22"/>
                <w:color w:val="auto"/>
              </w:rPr>
            </w:pPr>
          </w:p>
        </w:tc>
        <w:tc>
          <w:tcPr>
            <w:tcW w:w="1080" w:type="dxa"/>
            <w:vAlign w:val="bottom"/>
          </w:tcPr>
          <w:p>
            <w:pPr>
              <w:jc w:val="right"/>
              <w:ind w:right="381"/>
              <w:spacing w:after="0"/>
              <w:rPr>
                <w:sz w:val="20"/>
                <w:szCs w:val="20"/>
                <w:color w:val="auto"/>
              </w:rPr>
            </w:pPr>
            <w:r>
              <w:rPr>
                <w:rFonts w:ascii="Arial" w:cs="Arial" w:eastAsia="Arial" w:hAnsi="Arial"/>
                <w:sz w:val="20"/>
                <w:szCs w:val="20"/>
                <w:b w:val="1"/>
                <w:bCs w:val="1"/>
                <w:color w:val="auto"/>
              </w:rPr>
              <w:t>Total</w:t>
            </w:r>
          </w:p>
        </w:tc>
        <w:tc>
          <w:tcPr>
            <w:tcW w:w="0" w:type="dxa"/>
            <w:vAlign w:val="bottom"/>
          </w:tcPr>
          <w:p>
            <w:pPr>
              <w:spacing w:after="0"/>
              <w:rPr>
                <w:sz w:val="1"/>
                <w:szCs w:val="1"/>
                <w:color w:val="auto"/>
              </w:rPr>
            </w:pPr>
          </w:p>
        </w:tc>
      </w:tr>
      <w:tr>
        <w:trPr>
          <w:trHeight w:val="23"/>
        </w:trPr>
        <w:tc>
          <w:tcPr>
            <w:tcW w:w="37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Balances as of December 31, 2018</w:t>
            </w:r>
          </w:p>
        </w:tc>
        <w:tc>
          <w:tcPr>
            <w:tcW w:w="13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89,267,959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1,212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1,301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2,506</w:t>
            </w:r>
          </w:p>
        </w:tc>
        <w:tc>
          <w:tcPr>
            <w:tcW w:w="0" w:type="dxa"/>
            <w:vAlign w:val="bottom"/>
          </w:tcPr>
          <w:p>
            <w:pPr>
              <w:spacing w:after="0"/>
              <w:rPr>
                <w:sz w:val="1"/>
                <w:szCs w:val="1"/>
                <w:color w:val="auto"/>
              </w:rPr>
            </w:pPr>
          </w:p>
        </w:tc>
      </w:tr>
      <w:tr>
        <w:trPr>
          <w:trHeight w:val="240"/>
        </w:trPr>
        <w:tc>
          <w:tcPr>
            <w:tcW w:w="3780" w:type="dxa"/>
            <w:vAlign w:val="bottom"/>
          </w:tcPr>
          <w:p>
            <w:pPr>
              <w:ind w:left="280"/>
              <w:spacing w:after="0"/>
              <w:rPr>
                <w:sz w:val="20"/>
                <w:szCs w:val="20"/>
                <w:color w:val="auto"/>
              </w:rPr>
            </w:pPr>
            <w:r>
              <w:rPr>
                <w:rFonts w:ascii="Arial" w:cs="Arial" w:eastAsia="Arial" w:hAnsi="Arial"/>
                <w:sz w:val="20"/>
                <w:szCs w:val="20"/>
                <w:color w:val="auto"/>
                <w:w w:val="99"/>
              </w:rPr>
              <w:t>Issuances of shares pursuant to equity-</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780" w:type="dxa"/>
            <w:vAlign w:val="bottom"/>
          </w:tcPr>
          <w:p>
            <w:pPr>
              <w:ind w:left="280"/>
              <w:spacing w:after="0"/>
              <w:rPr>
                <w:sz w:val="20"/>
                <w:szCs w:val="20"/>
                <w:color w:val="auto"/>
              </w:rPr>
            </w:pPr>
            <w:r>
              <w:rPr>
                <w:rFonts w:ascii="Arial" w:cs="Arial" w:eastAsia="Arial" w:hAnsi="Arial"/>
                <w:sz w:val="20"/>
                <w:szCs w:val="20"/>
                <w:color w:val="auto"/>
              </w:rPr>
              <w:t>based plans</w:t>
            </w:r>
          </w:p>
        </w:tc>
        <w:tc>
          <w:tcPr>
            <w:tcW w:w="1340" w:type="dxa"/>
            <w:vAlign w:val="bottom"/>
          </w:tcPr>
          <w:p>
            <w:pPr>
              <w:jc w:val="right"/>
              <w:ind w:right="1"/>
              <w:spacing w:after="0"/>
              <w:rPr>
                <w:sz w:val="20"/>
                <w:szCs w:val="20"/>
                <w:color w:val="auto"/>
              </w:rPr>
            </w:pPr>
            <w:r>
              <w:rPr>
                <w:rFonts w:ascii="Arial" w:cs="Arial" w:eastAsia="Arial" w:hAnsi="Arial"/>
                <w:sz w:val="20"/>
                <w:szCs w:val="20"/>
                <w:color w:val="auto"/>
              </w:rPr>
              <w:t>88,352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1"/>
                <w:szCs w:val="21"/>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Other comprehensive income</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61"/>
        </w:trPr>
        <w:tc>
          <w:tcPr>
            <w:tcW w:w="3780" w:type="dxa"/>
            <w:vAlign w:val="bottom"/>
          </w:tcPr>
          <w:p>
            <w:pPr>
              <w:ind w:left="280"/>
              <w:spacing w:after="0"/>
              <w:rPr>
                <w:sz w:val="20"/>
                <w:szCs w:val="20"/>
                <w:color w:val="auto"/>
              </w:rPr>
            </w:pPr>
            <w:r>
              <w:rPr>
                <w:rFonts w:ascii="Arial" w:cs="Arial" w:eastAsia="Arial" w:hAnsi="Arial"/>
                <w:sz w:val="20"/>
                <w:szCs w:val="20"/>
                <w:color w:val="auto"/>
                <w:w w:val="99"/>
              </w:rPr>
              <w:t>Dividends declared ($0.3625 per share)</w:t>
            </w:r>
          </w:p>
        </w:tc>
        <w:tc>
          <w:tcPr>
            <w:tcW w:w="146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(32)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(32)</w:t>
            </w: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Net income</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73</w:t>
            </w:r>
          </w:p>
        </w:tc>
        <w:tc>
          <w:tcPr>
            <w:tcW w:w="0" w:type="dxa"/>
            <w:vAlign w:val="bottom"/>
          </w:tcPr>
          <w:p>
            <w:pPr>
              <w:spacing w:after="0"/>
              <w:rPr>
                <w:sz w:val="1"/>
                <w:szCs w:val="1"/>
                <w:color w:val="auto"/>
              </w:rPr>
            </w:pPr>
          </w:p>
        </w:tc>
      </w:tr>
      <w:tr>
        <w:trPr>
          <w:trHeight w:val="240"/>
        </w:trPr>
        <w:tc>
          <w:tcPr>
            <w:tcW w:w="3780" w:type="dxa"/>
            <w:vAlign w:val="bottom"/>
          </w:tcPr>
          <w:p>
            <w:pPr>
              <w:ind w:left="280"/>
              <w:spacing w:after="0"/>
              <w:rPr>
                <w:sz w:val="20"/>
                <w:szCs w:val="20"/>
                <w:color w:val="auto"/>
              </w:rPr>
            </w:pPr>
            <w:r>
              <w:rPr>
                <w:rFonts w:ascii="Arial" w:cs="Arial" w:eastAsia="Arial" w:hAnsi="Arial"/>
                <w:sz w:val="20"/>
                <w:szCs w:val="20"/>
                <w:color w:val="auto"/>
                <w:w w:val="91"/>
              </w:rPr>
              <w:t>Reclassification of stranded tax effects due</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780" w:type="dxa"/>
            <w:vAlign w:val="bottom"/>
          </w:tcPr>
          <w:p>
            <w:pPr>
              <w:ind w:left="280"/>
              <w:spacing w:after="0"/>
              <w:rPr>
                <w:sz w:val="20"/>
                <w:szCs w:val="20"/>
                <w:color w:val="auto"/>
              </w:rPr>
            </w:pPr>
            <w:r>
              <w:rPr>
                <w:rFonts w:ascii="Arial" w:cs="Arial" w:eastAsia="Arial" w:hAnsi="Arial"/>
                <w:sz w:val="20"/>
                <w:szCs w:val="20"/>
                <w:color w:val="auto"/>
              </w:rPr>
              <w:t>to Tax Reform</w:t>
            </w:r>
          </w:p>
        </w:tc>
        <w:tc>
          <w:tcPr>
            <w:tcW w:w="146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37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Balances as of March 31, 2019</w:t>
            </w:r>
          </w:p>
        </w:tc>
        <w:tc>
          <w:tcPr>
            <w:tcW w:w="13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89,356,311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1,212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1,344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2,548</w:t>
            </w:r>
          </w:p>
        </w:tc>
        <w:tc>
          <w:tcPr>
            <w:tcW w:w="0" w:type="dxa"/>
            <w:vAlign w:val="bottom"/>
          </w:tcPr>
          <w:p>
            <w:pPr>
              <w:spacing w:after="0"/>
              <w:rPr>
                <w:sz w:val="1"/>
                <w:szCs w:val="1"/>
                <w:color w:val="auto"/>
              </w:rPr>
            </w:pPr>
          </w:p>
        </w:tc>
      </w:tr>
      <w:tr>
        <w:trPr>
          <w:trHeight w:val="240"/>
        </w:trPr>
        <w:tc>
          <w:tcPr>
            <w:tcW w:w="3780" w:type="dxa"/>
            <w:vAlign w:val="bottom"/>
          </w:tcPr>
          <w:p>
            <w:pPr>
              <w:ind w:left="280"/>
              <w:spacing w:after="0"/>
              <w:rPr>
                <w:sz w:val="20"/>
                <w:szCs w:val="20"/>
                <w:color w:val="auto"/>
              </w:rPr>
            </w:pPr>
            <w:r>
              <w:rPr>
                <w:rFonts w:ascii="Arial" w:cs="Arial" w:eastAsia="Arial" w:hAnsi="Arial"/>
                <w:sz w:val="20"/>
                <w:szCs w:val="20"/>
                <w:color w:val="auto"/>
                <w:w w:val="99"/>
              </w:rPr>
              <w:t>Issuances of shares pursuant to equity-</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780" w:type="dxa"/>
            <w:vAlign w:val="bottom"/>
          </w:tcPr>
          <w:p>
            <w:pPr>
              <w:ind w:left="280"/>
              <w:spacing w:after="0"/>
              <w:rPr>
                <w:sz w:val="20"/>
                <w:szCs w:val="20"/>
                <w:color w:val="auto"/>
              </w:rPr>
            </w:pPr>
            <w:r>
              <w:rPr>
                <w:rFonts w:ascii="Arial" w:cs="Arial" w:eastAsia="Arial" w:hAnsi="Arial"/>
                <w:sz w:val="20"/>
                <w:szCs w:val="20"/>
                <w:color w:val="auto"/>
              </w:rPr>
              <w:t>based plans</w:t>
            </w:r>
          </w:p>
        </w:tc>
        <w:tc>
          <w:tcPr>
            <w:tcW w:w="1340" w:type="dxa"/>
            <w:vAlign w:val="bottom"/>
          </w:tcPr>
          <w:p>
            <w:pPr>
              <w:jc w:val="right"/>
              <w:ind w:right="1"/>
              <w:spacing w:after="0"/>
              <w:rPr>
                <w:sz w:val="20"/>
                <w:szCs w:val="20"/>
                <w:color w:val="auto"/>
              </w:rPr>
            </w:pPr>
            <w:r>
              <w:rPr>
                <w:rFonts w:ascii="Arial" w:cs="Arial" w:eastAsia="Arial" w:hAnsi="Arial"/>
                <w:sz w:val="20"/>
                <w:szCs w:val="20"/>
                <w:color w:val="auto"/>
              </w:rPr>
              <w:t>15,249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1"/>
                <w:szCs w:val="21"/>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Stock-based compensation</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61"/>
        </w:trPr>
        <w:tc>
          <w:tcPr>
            <w:tcW w:w="3780" w:type="dxa"/>
            <w:vAlign w:val="bottom"/>
          </w:tcPr>
          <w:p>
            <w:pPr>
              <w:ind w:left="280"/>
              <w:spacing w:after="0"/>
              <w:rPr>
                <w:sz w:val="20"/>
                <w:szCs w:val="20"/>
                <w:color w:val="auto"/>
              </w:rPr>
            </w:pPr>
            <w:r>
              <w:rPr>
                <w:rFonts w:ascii="Arial" w:cs="Arial" w:eastAsia="Arial" w:hAnsi="Arial"/>
                <w:sz w:val="20"/>
                <w:szCs w:val="20"/>
                <w:color w:val="auto"/>
              </w:rPr>
              <w:t>Other comprehensive income</w:t>
            </w:r>
          </w:p>
        </w:tc>
        <w:tc>
          <w:tcPr>
            <w:tcW w:w="146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2"/>
                <w:szCs w:val="22"/>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w w:val="99"/>
              </w:rPr>
              <w:t>Dividends declared ($0.3850 per share)</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r>
        <w:trPr>
          <w:trHeight w:val="261"/>
        </w:trPr>
        <w:tc>
          <w:tcPr>
            <w:tcW w:w="3780" w:type="dxa"/>
            <w:vAlign w:val="bottom"/>
          </w:tcPr>
          <w:p>
            <w:pPr>
              <w:ind w:left="280"/>
              <w:spacing w:after="0"/>
              <w:rPr>
                <w:sz w:val="20"/>
                <w:szCs w:val="20"/>
                <w:color w:val="auto"/>
              </w:rPr>
            </w:pPr>
            <w:r>
              <w:rPr>
                <w:rFonts w:ascii="Arial" w:cs="Arial" w:eastAsia="Arial" w:hAnsi="Arial"/>
                <w:sz w:val="20"/>
                <w:szCs w:val="20"/>
                <w:color w:val="auto"/>
              </w:rPr>
              <w:t>Net income</w:t>
            </w:r>
          </w:p>
        </w:tc>
        <w:tc>
          <w:tcPr>
            <w:tcW w:w="146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25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25</w:t>
            </w:r>
          </w:p>
        </w:tc>
        <w:tc>
          <w:tcPr>
            <w:tcW w:w="0" w:type="dxa"/>
            <w:vAlign w:val="bottom"/>
          </w:tcPr>
          <w:p>
            <w:pPr>
              <w:spacing w:after="0"/>
              <w:rPr>
                <w:sz w:val="1"/>
                <w:szCs w:val="1"/>
                <w:color w:val="auto"/>
              </w:rPr>
            </w:pPr>
          </w:p>
        </w:tc>
      </w:tr>
      <w:tr>
        <w:trPr>
          <w:trHeight w:val="23"/>
        </w:trPr>
        <w:tc>
          <w:tcPr>
            <w:tcW w:w="37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Balances as of June 30, 2019</w:t>
            </w: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89,371,560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1,215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1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1,334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2,542</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3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Balances as of December 31, 2017</w:t>
            </w:r>
          </w:p>
        </w:tc>
        <w:tc>
          <w:tcPr>
            <w:tcW w:w="13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89,114,265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1,207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1,217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2,416</w:t>
            </w:r>
          </w:p>
        </w:tc>
        <w:tc>
          <w:tcPr>
            <w:tcW w:w="0" w:type="dxa"/>
            <w:vAlign w:val="bottom"/>
          </w:tcPr>
          <w:p>
            <w:pPr>
              <w:spacing w:after="0"/>
              <w:rPr>
                <w:sz w:val="1"/>
                <w:szCs w:val="1"/>
                <w:color w:val="auto"/>
              </w:rPr>
            </w:pPr>
          </w:p>
        </w:tc>
      </w:tr>
      <w:tr>
        <w:trPr>
          <w:trHeight w:val="240"/>
        </w:trPr>
        <w:tc>
          <w:tcPr>
            <w:tcW w:w="3780" w:type="dxa"/>
            <w:vAlign w:val="bottom"/>
          </w:tcPr>
          <w:p>
            <w:pPr>
              <w:ind w:left="280"/>
              <w:spacing w:after="0"/>
              <w:rPr>
                <w:sz w:val="20"/>
                <w:szCs w:val="20"/>
                <w:color w:val="auto"/>
              </w:rPr>
            </w:pPr>
            <w:r>
              <w:rPr>
                <w:rFonts w:ascii="Arial" w:cs="Arial" w:eastAsia="Arial" w:hAnsi="Arial"/>
                <w:sz w:val="20"/>
                <w:szCs w:val="20"/>
                <w:color w:val="auto"/>
                <w:w w:val="99"/>
              </w:rPr>
              <w:t>Issuances of shares pursuant to equity-</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780" w:type="dxa"/>
            <w:vAlign w:val="bottom"/>
          </w:tcPr>
          <w:p>
            <w:pPr>
              <w:ind w:left="280"/>
              <w:spacing w:after="0"/>
              <w:rPr>
                <w:sz w:val="20"/>
                <w:szCs w:val="20"/>
                <w:color w:val="auto"/>
              </w:rPr>
            </w:pPr>
            <w:r>
              <w:rPr>
                <w:rFonts w:ascii="Arial" w:cs="Arial" w:eastAsia="Arial" w:hAnsi="Arial"/>
                <w:sz w:val="20"/>
                <w:szCs w:val="20"/>
                <w:color w:val="auto"/>
              </w:rPr>
              <w:t>based plans</w:t>
            </w:r>
          </w:p>
        </w:tc>
        <w:tc>
          <w:tcPr>
            <w:tcW w:w="1340" w:type="dxa"/>
            <w:vAlign w:val="bottom"/>
          </w:tcPr>
          <w:p>
            <w:pPr>
              <w:jc w:val="right"/>
              <w:ind w:right="1"/>
              <w:spacing w:after="0"/>
              <w:rPr>
                <w:sz w:val="20"/>
                <w:szCs w:val="20"/>
                <w:color w:val="auto"/>
              </w:rPr>
            </w:pPr>
            <w:r>
              <w:rPr>
                <w:rFonts w:ascii="Arial" w:cs="Arial" w:eastAsia="Arial" w:hAnsi="Arial"/>
                <w:sz w:val="20"/>
                <w:szCs w:val="20"/>
                <w:color w:val="auto"/>
              </w:rPr>
              <w:t>99,854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1"/>
                <w:szCs w:val="21"/>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Stock-based compensation</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61"/>
        </w:trPr>
        <w:tc>
          <w:tcPr>
            <w:tcW w:w="3780" w:type="dxa"/>
            <w:vAlign w:val="bottom"/>
          </w:tcPr>
          <w:p>
            <w:pPr>
              <w:ind w:left="280"/>
              <w:spacing w:after="0"/>
              <w:rPr>
                <w:sz w:val="20"/>
                <w:szCs w:val="20"/>
                <w:color w:val="auto"/>
              </w:rPr>
            </w:pPr>
            <w:r>
              <w:rPr>
                <w:rFonts w:ascii="Arial" w:cs="Arial" w:eastAsia="Arial" w:hAnsi="Arial"/>
                <w:sz w:val="20"/>
                <w:szCs w:val="20"/>
                <w:color w:val="auto"/>
                <w:w w:val="99"/>
              </w:rPr>
              <w:t>Dividends declared ($0.3400 per share)</w:t>
            </w:r>
          </w:p>
        </w:tc>
        <w:tc>
          <w:tcPr>
            <w:tcW w:w="146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(30)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Net income</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64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64</w:t>
            </w:r>
          </w:p>
        </w:tc>
        <w:tc>
          <w:tcPr>
            <w:tcW w:w="0" w:type="dxa"/>
            <w:vAlign w:val="bottom"/>
          </w:tcPr>
          <w:p>
            <w:pPr>
              <w:spacing w:after="0"/>
              <w:rPr>
                <w:sz w:val="1"/>
                <w:szCs w:val="1"/>
                <w:color w:val="auto"/>
              </w:rPr>
            </w:pPr>
          </w:p>
        </w:tc>
      </w:tr>
      <w:tr>
        <w:trPr>
          <w:trHeight w:val="254"/>
        </w:trPr>
        <w:tc>
          <w:tcPr>
            <w:tcW w:w="3780" w:type="dxa"/>
            <w:vAlign w:val="bottom"/>
          </w:tcPr>
          <w:p>
            <w:pPr>
              <w:ind w:left="40"/>
              <w:spacing w:after="0"/>
              <w:rPr>
                <w:sz w:val="20"/>
                <w:szCs w:val="20"/>
                <w:color w:val="auto"/>
              </w:rPr>
            </w:pPr>
            <w:r>
              <w:rPr>
                <w:rFonts w:ascii="Arial" w:cs="Arial" w:eastAsia="Arial" w:hAnsi="Arial"/>
                <w:sz w:val="20"/>
                <w:szCs w:val="20"/>
                <w:color w:val="auto"/>
              </w:rPr>
              <w:t>Balances as of March 31, 2018</w:t>
            </w:r>
          </w:p>
        </w:tc>
        <w:tc>
          <w:tcPr>
            <w:tcW w:w="134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89,214,119</w:t>
            </w:r>
          </w:p>
        </w:tc>
        <w:tc>
          <w:tcPr>
            <w:tcW w:w="120" w:type="dxa"/>
            <w:vAlign w:val="bottom"/>
          </w:tcPr>
          <w:p>
            <w:pPr>
              <w:spacing w:after="0"/>
              <w:rPr>
                <w:sz w:val="22"/>
                <w:szCs w:val="22"/>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1,206</w:t>
            </w:r>
          </w:p>
        </w:tc>
        <w:tc>
          <w:tcPr>
            <w:tcW w:w="120" w:type="dxa"/>
            <w:vAlign w:val="bottom"/>
          </w:tcPr>
          <w:p>
            <w:pPr>
              <w:spacing w:after="0"/>
              <w:rPr>
                <w:sz w:val="22"/>
                <w:szCs w:val="22"/>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(8)</w:t>
            </w:r>
          </w:p>
        </w:tc>
        <w:tc>
          <w:tcPr>
            <w:tcW w:w="120" w:type="dxa"/>
            <w:vAlign w:val="bottom"/>
          </w:tcPr>
          <w:p>
            <w:pPr>
              <w:spacing w:after="0"/>
              <w:rPr>
                <w:sz w:val="22"/>
                <w:szCs w:val="22"/>
                <w:color w:val="auto"/>
              </w:rPr>
            </w:pPr>
          </w:p>
        </w:tc>
        <w:tc>
          <w:tcPr>
            <w:tcW w:w="22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16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1,251</w:t>
            </w:r>
          </w:p>
        </w:tc>
        <w:tc>
          <w:tcPr>
            <w:tcW w:w="100" w:type="dxa"/>
            <w:vAlign w:val="bottom"/>
          </w:tcPr>
          <w:p>
            <w:pPr>
              <w:spacing w:after="0"/>
              <w:rPr>
                <w:sz w:val="22"/>
                <w:szCs w:val="22"/>
                <w:color w:val="auto"/>
              </w:rPr>
            </w:pPr>
          </w:p>
        </w:tc>
        <w:tc>
          <w:tcPr>
            <w:tcW w:w="300" w:type="dxa"/>
            <w:vAlign w:val="bottom"/>
            <w:tcBorders>
              <w:top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08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2,449</w:t>
            </w: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3780" w:type="dxa"/>
            <w:vAlign w:val="bottom"/>
            <w:shd w:val="clear" w:color="auto" w:fill="CCEEFF"/>
          </w:tcPr>
          <w:p>
            <w:pPr>
              <w:ind w:left="280"/>
              <w:spacing w:after="0"/>
              <w:rPr>
                <w:sz w:val="20"/>
                <w:szCs w:val="20"/>
                <w:color w:val="auto"/>
              </w:rPr>
            </w:pPr>
            <w:r>
              <w:rPr>
                <w:rFonts w:ascii="Arial" w:cs="Arial" w:eastAsia="Arial" w:hAnsi="Arial"/>
                <w:sz w:val="20"/>
                <w:szCs w:val="20"/>
                <w:color w:val="auto"/>
                <w:w w:val="99"/>
              </w:rPr>
              <w:t>Issuances of shares pursuant to equity-</w:t>
            </w: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based plans</w:t>
            </w:r>
          </w:p>
        </w:tc>
        <w:tc>
          <w:tcPr>
            <w:tcW w:w="13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24,087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1"/>
        </w:trPr>
        <w:tc>
          <w:tcPr>
            <w:tcW w:w="3780" w:type="dxa"/>
            <w:vAlign w:val="bottom"/>
          </w:tcPr>
          <w:p>
            <w:pPr>
              <w:ind w:left="280"/>
              <w:spacing w:after="0"/>
              <w:rPr>
                <w:sz w:val="20"/>
                <w:szCs w:val="20"/>
                <w:color w:val="auto"/>
              </w:rPr>
            </w:pPr>
            <w:r>
              <w:rPr>
                <w:rFonts w:ascii="Arial" w:cs="Arial" w:eastAsia="Arial" w:hAnsi="Arial"/>
                <w:sz w:val="20"/>
                <w:szCs w:val="20"/>
                <w:color w:val="auto"/>
              </w:rPr>
              <w:t>Stock-based compensation</w:t>
            </w:r>
          </w:p>
        </w:tc>
        <w:tc>
          <w:tcPr>
            <w:tcW w:w="146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2"/>
                <w:szCs w:val="22"/>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2"/>
                <w:szCs w:val="22"/>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w w:val="99"/>
              </w:rPr>
              <w:t>Dividends declared ($0.3625 per share)</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(32)</w:t>
            </w:r>
          </w:p>
        </w:tc>
        <w:tc>
          <w:tcPr>
            <w:tcW w:w="0" w:type="dxa"/>
            <w:vAlign w:val="bottom"/>
          </w:tcPr>
          <w:p>
            <w:pPr>
              <w:spacing w:after="0"/>
              <w:rPr>
                <w:sz w:val="1"/>
                <w:szCs w:val="1"/>
                <w:color w:val="auto"/>
              </w:rPr>
            </w:pPr>
          </w:p>
        </w:tc>
      </w:tr>
      <w:tr>
        <w:trPr>
          <w:trHeight w:val="261"/>
        </w:trPr>
        <w:tc>
          <w:tcPr>
            <w:tcW w:w="3780" w:type="dxa"/>
            <w:vAlign w:val="bottom"/>
          </w:tcPr>
          <w:p>
            <w:pPr>
              <w:ind w:left="280"/>
              <w:spacing w:after="0"/>
              <w:rPr>
                <w:sz w:val="20"/>
                <w:szCs w:val="20"/>
                <w:color w:val="auto"/>
              </w:rPr>
            </w:pPr>
            <w:r>
              <w:rPr>
                <w:rFonts w:ascii="Arial" w:cs="Arial" w:eastAsia="Arial" w:hAnsi="Arial"/>
                <w:sz w:val="20"/>
                <w:szCs w:val="20"/>
                <w:color w:val="auto"/>
              </w:rPr>
              <w:t>Net income</w:t>
            </w:r>
          </w:p>
        </w:tc>
        <w:tc>
          <w:tcPr>
            <w:tcW w:w="146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46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46</w:t>
            </w:r>
          </w:p>
        </w:tc>
        <w:tc>
          <w:tcPr>
            <w:tcW w:w="0" w:type="dxa"/>
            <w:vAlign w:val="bottom"/>
          </w:tcPr>
          <w:p>
            <w:pPr>
              <w:spacing w:after="0"/>
              <w:rPr>
                <w:sz w:val="1"/>
                <w:szCs w:val="1"/>
                <w:color w:val="auto"/>
              </w:rPr>
            </w:pPr>
          </w:p>
        </w:tc>
      </w:tr>
      <w:tr>
        <w:trPr>
          <w:trHeight w:val="23"/>
        </w:trPr>
        <w:tc>
          <w:tcPr>
            <w:tcW w:w="37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Balances as of June 30, 2018</w:t>
            </w: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89,238,206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1,208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1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1,265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2,465</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8: CONTINGENCIES</w:t>
      </w:r>
    </w:p>
    <w:p>
      <w:pPr>
        <w:spacing w:after="0" w:line="235" w:lineRule="exact"/>
        <w:rPr>
          <w:sz w:val="20"/>
          <w:szCs w:val="20"/>
          <w:color w:val="auto"/>
        </w:rPr>
      </w:pPr>
    </w:p>
    <w:p>
      <w:pPr>
        <w:ind w:right="560"/>
        <w:spacing w:after="0" w:line="260" w:lineRule="auto"/>
        <w:rPr>
          <w:sz w:val="20"/>
          <w:szCs w:val="20"/>
          <w:color w:val="auto"/>
        </w:rPr>
      </w:pPr>
      <w:r>
        <w:rPr>
          <w:rFonts w:ascii="Arial" w:cs="Arial" w:eastAsia="Arial" w:hAnsi="Arial"/>
          <w:sz w:val="20"/>
          <w:szCs w:val="20"/>
          <w:color w:val="auto"/>
        </w:rPr>
        <w:t>PGE is subject to legal, regulatory, and environmental proceedings, investigations, and claims that arise from time to time in the ordinary course of its business. Contingencies are evaluated using the best information available at the</w:t>
      </w:r>
    </w:p>
    <w:p>
      <w:pPr>
        <w:sectPr>
          <w:pgSz w:w="11900" w:h="16838" w:orient="portrait"/>
          <w:cols w:equalWidth="0" w:num="1">
            <w:col w:w="11420"/>
          </w:cols>
          <w:pgMar w:left="240" w:top="125" w:right="239" w:bottom="1440" w:gutter="0" w:footer="0" w:header="0"/>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ind w:left="280" w:right="1960"/>
        <w:spacing w:after="0" w:line="257" w:lineRule="auto"/>
        <w:rPr>
          <w:sz w:val="20"/>
          <w:szCs w:val="20"/>
          <w:color w:val="auto"/>
        </w:rPr>
      </w:pPr>
      <w:r>
        <w:rPr>
          <w:rFonts w:ascii="Arial" w:cs="Arial" w:eastAsia="Arial" w:hAnsi="Arial"/>
          <w:sz w:val="20"/>
          <w:szCs w:val="20"/>
          <w:b w:val="1"/>
          <w:bCs w:val="1"/>
          <w:color w:val="auto"/>
        </w:rPr>
        <w:t xml:space="preserve">PORTLAND GENERAL ELECTRIC COMPANY NOTES TO CONDENSED CONSOLIDATED FINANCIAL STATEMENTS, continued </w:t>
      </w:r>
      <w:r>
        <w:rPr>
          <w:rFonts w:ascii="Arial" w:cs="Arial" w:eastAsia="Arial" w:hAnsi="Arial"/>
          <w:sz w:val="20"/>
          <w:szCs w:val="20"/>
          <w:color w:val="auto"/>
        </w:rPr>
        <w:t>(Unaudited)</w:t>
      </w:r>
    </w:p>
    <w:p>
      <w:pPr>
        <w:spacing w:after="0" w:line="200" w:lineRule="exact"/>
        <w:rPr>
          <w:sz w:val="20"/>
          <w:szCs w:val="20"/>
          <w:color w:val="auto"/>
        </w:rPr>
      </w:pPr>
    </w:p>
    <w:p>
      <w:pPr>
        <w:spacing w:after="0" w:line="245"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time the condensed consolidated financial statements are prepared. Costs incurred in connection with loss contingencies are expensed as incurred. The Company may seek regulatory recovery of certain costs that are incurred in connection with such matters, although there can be no assurance that such recovery would be granted.</w:t>
      </w:r>
    </w:p>
    <w:p>
      <w:pPr>
        <w:spacing w:after="0" w:line="200"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Loss contingencies are accrued, and disclosed if material, when it is probable that an asset has been impaired or a liability incurred as of the financial statement date and the amount of the loss can be reasonably estimated. If a reasonable estimate of probable loss cannot be determined, a range of loss may be established, in which case the minimum amount in the range is accrued, unless some other amount within the range appears to be a better estimate.</w:t>
      </w:r>
    </w:p>
    <w:p>
      <w:pPr>
        <w:spacing w:after="0" w:line="205"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A loss contingency will also be disclosed when it is reasonably possible that an asset has been impaired or a liability incurred if the estimate or range of potential loss is material. If a probable or reasonably possible loss cannot be determined, then PGE: i) discloses an estimate of such loss or the range of such loss, if the Company is able to determine such an estimate; or ii) discloses that an estimate cannot be made and the reasons why the estimate cannot be made.</w:t>
      </w:r>
    </w:p>
    <w:p>
      <w:pPr>
        <w:spacing w:after="0" w:line="205" w:lineRule="exact"/>
        <w:rPr>
          <w:sz w:val="20"/>
          <w:szCs w:val="20"/>
          <w:color w:val="auto"/>
        </w:rPr>
      </w:pPr>
    </w:p>
    <w:p>
      <w:pPr>
        <w:ind w:right="240"/>
        <w:spacing w:after="0" w:line="250" w:lineRule="auto"/>
        <w:rPr>
          <w:sz w:val="20"/>
          <w:szCs w:val="20"/>
          <w:color w:val="auto"/>
        </w:rPr>
      </w:pPr>
      <w:r>
        <w:rPr>
          <w:rFonts w:ascii="Arial" w:cs="Arial" w:eastAsia="Arial" w:hAnsi="Arial"/>
          <w:sz w:val="20"/>
          <w:szCs w:val="20"/>
          <w:color w:val="auto"/>
        </w:rPr>
        <w:t>If an asset has been impaired or a liability incurred after the financial statement date, but prior to the issuance of the financial statements, the loss contingency is disclosed, if material, and the amount of any estimated loss is recorded in either the current or the subsequent reporting period, depending on the nature of the underlying event.</w:t>
      </w:r>
    </w:p>
    <w:p>
      <w:pPr>
        <w:spacing w:after="0" w:line="200" w:lineRule="exact"/>
        <w:rPr>
          <w:sz w:val="20"/>
          <w:szCs w:val="20"/>
          <w:color w:val="auto"/>
        </w:rPr>
      </w:pPr>
    </w:p>
    <w:p>
      <w:pPr>
        <w:ind w:right="40"/>
        <w:spacing w:after="0" w:line="256" w:lineRule="auto"/>
        <w:rPr>
          <w:sz w:val="20"/>
          <w:szCs w:val="20"/>
          <w:color w:val="auto"/>
        </w:rPr>
      </w:pPr>
      <w:r>
        <w:rPr>
          <w:rFonts w:ascii="Arial" w:cs="Arial" w:eastAsia="Arial" w:hAnsi="Arial"/>
          <w:sz w:val="19"/>
          <w:szCs w:val="19"/>
          <w:color w:val="auto"/>
        </w:rPr>
        <w:t>PGE evaluates, on a quarterly basis, developments in such matters that could affect the amount of any accrual, as well as the likelihood of developments that would make a loss contingency both probable and reasonably estimable. The assessment as to whether a loss is probable or reasonably possible, and as to whether such loss or a range of such loss is estimable, often involves a series of complex judgments about future events. Management is often unable to estimate a reasonably possible loss, or a range of loss, particularly in cases in which: i) the damages sought are indeterminate or the basis for the damages claimed is not clear; ii) the proceedings are in the early stages; iii) discovery is not complete; iv) the matters involve novel or unsettled legal theories; v) significant facts are in dispute; vi) a large number of parties are represented (including circumstances in which it is uncertain how liability, if any, would be shared among multiple defendants); or vii) a wide range of potential outcomes exist. In such cases, there may be considerable uncertainty regarding the timing or ultimate resolution, including any possible loss, fine, penalty, or business impact.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EPA Investigation of Portland Harbor</w:t>
      </w:r>
    </w:p>
    <w:p>
      <w:pPr>
        <w:spacing w:after="0" w:line="235"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An investigation by the United States Environmental Protection Agency (EPA) of a segment of the Willamette River known as Portland Harbor that began in 1997 revealed significant contamination of river sediments. The EPA subsequently included Portland Harbor on the National Priority List pursuant to the federal Comprehensive Environmental Response, Compensation, and Liability Act as a federal Superfund site. PGE has been included among more than one hundred Potentially Responsible Parties (PRPs) as it historically owned or operated property near the river.</w:t>
      </w:r>
    </w:p>
    <w:p>
      <w:pPr>
        <w:spacing w:after="0" w:line="208"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The Portland Harbor site remedial investigation had been completed pursuant to an agreement between the EPA and several PRPs known as the Lower Willamette Group (LWG), which did not include PGE. The LWG funded the remedial investigation and feasibility study and stated that it had incurred $115 million in investigation-related costs. The Company anticipates that such costs will ultimately be allocated to PRPs as a part of the allocation process for remediation costs of the EPA’s preferred remedy.</w:t>
      </w:r>
    </w:p>
    <w:p>
      <w:pPr>
        <w:spacing w:after="0" w:line="190"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The EPA finalized the feasibility study, along with the remedial investigation, and the results provided the framework for the EPA to determine a clean-up remedy for Portland Harbor that was documented in a Record of Decision (ROD) issued in January 2017. The ROD outlined the EPA’s selected remediation plan for clean-up of the</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125" w:right="2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ind w:left="320" w:right="1920"/>
        <w:spacing w:after="0" w:line="257" w:lineRule="auto"/>
        <w:rPr>
          <w:sz w:val="20"/>
          <w:szCs w:val="20"/>
          <w:color w:val="auto"/>
        </w:rPr>
      </w:pPr>
      <w:r>
        <w:rPr>
          <w:rFonts w:ascii="Arial" w:cs="Arial" w:eastAsia="Arial" w:hAnsi="Arial"/>
          <w:sz w:val="20"/>
          <w:szCs w:val="20"/>
          <w:b w:val="1"/>
          <w:bCs w:val="1"/>
          <w:color w:val="auto"/>
        </w:rPr>
        <w:t xml:space="preserve">PORTLAND GENERAL ELECTRIC COMPANY NOTES TO CONDENSED CONSOLIDATED FINANCIAL STATEMENTS, continued </w:t>
      </w:r>
      <w:r>
        <w:rPr>
          <w:rFonts w:ascii="Arial" w:cs="Arial" w:eastAsia="Arial" w:hAnsi="Arial"/>
          <w:sz w:val="20"/>
          <w:szCs w:val="20"/>
          <w:color w:val="auto"/>
        </w:rPr>
        <w:t>(Unaudited)</w:t>
      </w:r>
    </w:p>
    <w:p>
      <w:pPr>
        <w:spacing w:after="0" w:line="200" w:lineRule="exact"/>
        <w:rPr>
          <w:sz w:val="20"/>
          <w:szCs w:val="20"/>
          <w:color w:val="auto"/>
        </w:rPr>
      </w:pPr>
    </w:p>
    <w:p>
      <w:pPr>
        <w:spacing w:after="0" w:line="245" w:lineRule="exact"/>
        <w:rPr>
          <w:sz w:val="20"/>
          <w:szCs w:val="20"/>
          <w:color w:val="auto"/>
        </w:rPr>
      </w:pPr>
    </w:p>
    <w:p>
      <w:pPr>
        <w:ind w:right="20"/>
        <w:spacing w:after="0" w:line="313" w:lineRule="auto"/>
        <w:rPr>
          <w:sz w:val="20"/>
          <w:szCs w:val="20"/>
          <w:color w:val="auto"/>
        </w:rPr>
      </w:pPr>
      <w:r>
        <w:rPr>
          <w:rFonts w:ascii="Arial" w:cs="Arial" w:eastAsia="Arial" w:hAnsi="Arial"/>
          <w:sz w:val="16"/>
          <w:szCs w:val="16"/>
          <w:color w:val="auto"/>
        </w:rPr>
        <w:t>Portland Harbor site, which had an estimated total cost of $1.7 billion, comprised of $1.2 billion related to remediation construction costs and $0.5 billion related to long-term operation and maintenance costs, for a combined discounted present value of $1.1 billion. Remediation construction costs were estimated to be incurred over a 13-year period, with long-term operation and maintenance costs estimated to be incurred over a 30-year period from the start of construction. The EPA acknowledged the estimated costs were based on data that was outdated and that pre-remedial design sampling was necessary to gather updated baseline data to better refine the remedial design and estimated cost. A small group of PRPs performed pre-remedial design sampling to update baseline data and has submitted the data and conclusions in a report to the EPA for review. It is unclear to what extent the results of the sampling will impact the scope and cost of remediation.</w:t>
      </w:r>
    </w:p>
    <w:p>
      <w:pPr>
        <w:spacing w:after="0" w:line="157"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PGE continues to participate in a voluntary process to determine an appropriate allocation of costs amongst the PRPs. Significant uncertainties remain surrounding facts and circumstances that are integral to the determination of such an allocation percentage, including the final selection of a proposed remedy by the EPA, results of the pre-remedial design sampling, a final allocation methodology, and data with regard to property specific activities and history of ownership of sites within Portland Harbor that will inform the precise boundaries for clean-up. It is probable that PGE will share in a portion of the costs related to Portland Harbor. However, based on the above facts and remaining uncertainties, PGE does not currently have sufficient information to reasonably estimate the amount, or range, of its potential liability or determine an allocation percentage that represents PGE’s portion of the liability to clean-up Portland Harbor, although such costs could be material to PGE’s financial position.</w:t>
      </w:r>
    </w:p>
    <w:p>
      <w:pPr>
        <w:spacing w:after="0" w:line="195"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In cases in which injuries to natural resources have occurred as a result of releases of hazardous substances, federal and state natural resource trustees may seek to recover for damages at such sites, which are referred to as Natural Resource Damages (NRD). The EPA does not manage NRD assessment activities but does provide claims information and coordination support to the NRD trustees. NRD assessment activities are typically conducted by a Council made up of the trustee entities for the site. The Portland Harbor NRD trustees consist of the National Oceanic and Atmospheric Administration, the U.S. Fish and Wildlife Service, the State of Oregon, the Confederated Tribes of the Grand Ronde Community of Oregon, the Confederated Tribes of Siletz Indians, the Confederated Tribes of the Umatilla Indian Reservation, the Confederated Tribes of the Warm Springs Reservation of Oregon, and the Nez Perce Tribe.</w:t>
      </w:r>
    </w:p>
    <w:p>
      <w:pPr>
        <w:spacing w:after="0" w:line="193"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The NRD trustees may seek to negotiate legal settlements or take other legal actions against the parties responsible for the damages. Funds from such settlements must be used to restore injured resources and may also compensate the trustees for costs incurred in assessing the damages. The Company believes that PGE’s portion of NRD liabilities related to Portland Harbor will not have a material impact on its results of operations, financial position, or cash flows.</w:t>
      </w:r>
    </w:p>
    <w:p>
      <w:pPr>
        <w:spacing w:after="0" w:line="20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impact of such costs to the Company’s results of operations is mitigated by the Portland Harbor Environmental Remediation Account (PHERA) mechanism. As approved by the OPUC in 2017, the PHERA allows the Company to defer and recover incurred environmental expenditures related to the Portland Harbor Superfund Site through a combination of third-party proceeds, such as insurance recoveries, and if necessary, through customer prices. The mechanism established annual prudency reviews of environmental expenditures and third-party proceeds. Annual expenditures in excess of $6 million, excluding expenses related to contingent liabilities, are subject to an annual earnings test and would be ineligible for recovery to the extent PGE’s actual regulated return on equity exceeds its return on equity as authorized by the OPUC in PGE’s most recent general rate case. PGE’s results of operations may be impacted to the extent such expenditures are deemed imprudent by the OPUC or ineligible per the prescribed earnings test. The Company plans to seek recovery of any costs resulting from EPA’s determination of liability for Portland Harbor through application of the PHERA. At this time, PGE is not recovering any Portland Harbor cost from the PHERA through customer prices.</w:t>
      </w: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125" w:right="31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line="257" w:lineRule="auto"/>
        <w:rPr>
          <w:sz w:val="20"/>
          <w:szCs w:val="20"/>
          <w:color w:val="auto"/>
        </w:rPr>
      </w:pPr>
      <w:r>
        <w:rPr>
          <w:rFonts w:ascii="Arial" w:cs="Arial" w:eastAsia="Arial" w:hAnsi="Arial"/>
          <w:sz w:val="20"/>
          <w:szCs w:val="20"/>
          <w:b w:val="1"/>
          <w:bCs w:val="1"/>
          <w:color w:val="auto"/>
        </w:rPr>
        <w:t xml:space="preserve">PORTLAND GENERAL ELECTRIC COMPANY NOTES TO CONDENSED CONSOLIDATED FINANCIAL STATEMENTS, continued </w:t>
      </w:r>
      <w:r>
        <w:rPr>
          <w:rFonts w:ascii="Arial" w:cs="Arial" w:eastAsia="Arial" w:hAnsi="Arial"/>
          <w:sz w:val="20"/>
          <w:szCs w:val="20"/>
          <w:color w:val="auto"/>
        </w:rPr>
        <w:t>(Unaudited)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Trojan Investment Recovery Class Actions</w:t>
      </w:r>
    </w:p>
    <w:p>
      <w:pPr>
        <w:spacing w:after="0" w:line="235" w:lineRule="exact"/>
        <w:rPr>
          <w:sz w:val="20"/>
          <w:szCs w:val="20"/>
          <w:color w:val="auto"/>
        </w:rPr>
      </w:pPr>
    </w:p>
    <w:p>
      <w:pPr>
        <w:jc w:val="both"/>
        <w:ind w:right="260"/>
        <w:spacing w:after="0" w:line="250" w:lineRule="auto"/>
        <w:rPr>
          <w:sz w:val="20"/>
          <w:szCs w:val="20"/>
          <w:color w:val="auto"/>
        </w:rPr>
      </w:pPr>
      <w:r>
        <w:rPr>
          <w:rFonts w:ascii="Arial" w:cs="Arial" w:eastAsia="Arial" w:hAnsi="Arial"/>
          <w:sz w:val="20"/>
          <w:szCs w:val="20"/>
          <w:color w:val="auto"/>
        </w:rPr>
        <w:t>In 1993, PGE closed the Trojan nuclear power plant (Trojan) and sought full recovery of, and a rate of return on, its Trojan costs in a general rate case filing with the OPUC. In 1995, the OPUC issued a general rate order that granted the Company recovery of, and a rate of return on, 87% of its remaining investment in Trojan.</w:t>
      </w:r>
    </w:p>
    <w:p>
      <w:pPr>
        <w:spacing w:after="0" w:line="200" w:lineRule="exact"/>
        <w:rPr>
          <w:sz w:val="20"/>
          <w:szCs w:val="20"/>
          <w:color w:val="auto"/>
        </w:rPr>
      </w:pPr>
    </w:p>
    <w:p>
      <w:pPr>
        <w:ind w:right="240"/>
        <w:spacing w:after="0" w:line="250" w:lineRule="auto"/>
        <w:rPr>
          <w:sz w:val="20"/>
          <w:szCs w:val="20"/>
          <w:color w:val="auto"/>
        </w:rPr>
      </w:pPr>
      <w:r>
        <w:rPr>
          <w:rFonts w:ascii="Arial" w:cs="Arial" w:eastAsia="Arial" w:hAnsi="Arial"/>
          <w:sz w:val="20"/>
          <w:szCs w:val="20"/>
          <w:color w:val="auto"/>
        </w:rPr>
        <w:t>Numerous challenges and appeals were subsequently filed in various state courts on the issue of the OPUC’s authority under Oregon law to grant recovery of, and a return on, the Trojan investment. In 2007, following several appeals by various parties, the Oregon Court of Appeals issued an opinion that remanded the matter to the OPUC for reconsideration.</w:t>
      </w:r>
    </w:p>
    <w:p>
      <w:pPr>
        <w:spacing w:after="0" w:line="200" w:lineRule="exact"/>
        <w:rPr>
          <w:sz w:val="20"/>
          <w:szCs w:val="20"/>
          <w:color w:val="auto"/>
        </w:rPr>
      </w:pPr>
    </w:p>
    <w:p>
      <w:pPr>
        <w:ind w:right="140"/>
        <w:spacing w:after="0" w:line="263" w:lineRule="auto"/>
        <w:rPr>
          <w:sz w:val="20"/>
          <w:szCs w:val="20"/>
          <w:color w:val="auto"/>
        </w:rPr>
      </w:pPr>
      <w:r>
        <w:rPr>
          <w:rFonts w:ascii="Arial" w:cs="Arial" w:eastAsia="Arial" w:hAnsi="Arial"/>
          <w:sz w:val="19"/>
          <w:szCs w:val="19"/>
          <w:color w:val="auto"/>
        </w:rPr>
        <w:t>In 2003, in two separate legal proceedings, lawsuits were filed against PGE on behalf of two classes of electric service customers: i) Dreyer, Gearhart and Kafoury Bros., LLC v. Portland General Electric Company, Marion County Circuit Court (Circuit Court); and ii) Morgan v. Portland General Electric Company, Marion County Circuit Court. The class action lawsuits seek damages totaling $260 million, plus interest, as a result of the Company’s inclusion, in prices charged to customers, of a return on its investment in Trojan.</w:t>
      </w:r>
    </w:p>
    <w:p>
      <w:pPr>
        <w:spacing w:after="0" w:line="190" w:lineRule="exact"/>
        <w:rPr>
          <w:sz w:val="20"/>
          <w:szCs w:val="20"/>
          <w:color w:val="auto"/>
        </w:rPr>
      </w:pPr>
    </w:p>
    <w:p>
      <w:pPr>
        <w:jc w:val="both"/>
        <w:ind w:right="100"/>
        <w:spacing w:after="0" w:line="250" w:lineRule="auto"/>
        <w:rPr>
          <w:sz w:val="20"/>
          <w:szCs w:val="20"/>
          <w:color w:val="auto"/>
        </w:rPr>
      </w:pPr>
      <w:r>
        <w:rPr>
          <w:rFonts w:ascii="Arial" w:cs="Arial" w:eastAsia="Arial" w:hAnsi="Arial"/>
          <w:sz w:val="20"/>
          <w:szCs w:val="20"/>
          <w:color w:val="auto"/>
        </w:rPr>
        <w:t>In 2006, the Oregon Supreme Court (OSC) issued a ruling ordering the abatement of the class action proceedings. The OSC concluded that the OPUC had primary jurisdiction to determine what, if any, remedy could be offered to PGE customers, through price reductions or refunds, for any amount of return on the Trojan investment that the Company collected in prices.</w:t>
      </w:r>
    </w:p>
    <w:p>
      <w:pPr>
        <w:spacing w:after="0" w:line="200" w:lineRule="exact"/>
        <w:rPr>
          <w:sz w:val="20"/>
          <w:szCs w:val="20"/>
          <w:color w:val="auto"/>
        </w:rPr>
      </w:pPr>
    </w:p>
    <w:p>
      <w:pPr>
        <w:ind w:right="360"/>
        <w:spacing w:after="0" w:line="316" w:lineRule="auto"/>
        <w:rPr>
          <w:sz w:val="20"/>
          <w:szCs w:val="20"/>
          <w:color w:val="auto"/>
        </w:rPr>
      </w:pPr>
      <w:r>
        <w:rPr>
          <w:rFonts w:ascii="Arial" w:cs="Arial" w:eastAsia="Arial" w:hAnsi="Arial"/>
          <w:sz w:val="18"/>
          <w:szCs w:val="18"/>
          <w:color w:val="auto"/>
        </w:rPr>
        <w:t>In 2008, the OPUC issued an order (2008 Order) that required PGE to provide refunds, including interest, which refunds were completed in 2010. Following appeals, the 2008 Order was upheld by the Oregon Court of Appeals in 2013 and by the OSC in 2014.</w:t>
      </w:r>
    </w:p>
    <w:p>
      <w:pPr>
        <w:spacing w:after="0" w:line="144"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In 2015, based on a motion filed by PGE, the Circuit Court lifted the abatement on the class action proceedings and heard oral argument on the Company’s motion for Summary Judgment. In March 2016, the Circuit Court entered a general judgment that granted the Company’s motion for Summary Judgment and dismissed all claims by the plaintiffs. In April 2016, the plaintiffs appealed the Circuit Court dismissal to the Court of Appeals for the State of Oregon. A Court of Appeals decision remains pending.</w:t>
      </w:r>
    </w:p>
    <w:p>
      <w:pPr>
        <w:spacing w:after="0" w:line="190"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PGE believes that the 2014 OSC decision and the Circuit Court decisions that followed have reduced the risk of any loss to the Company beyond the amounts previously recorded and refunds discussed above. However, because the class actions remain subject to a decision in the appeal, management believes that it is reasonably possible that such a loss to the Company could result. As these matters involve unsettled legal theories and have a broad range of potential outcomes, sufficient information is currently not available to determine the amount of any such loss.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Deschutes River Alliance Clean Water Act Claims</w:t>
      </w:r>
    </w:p>
    <w:p>
      <w:pPr>
        <w:spacing w:after="0" w:line="235"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In 2016, the Deschutes River Alliance (DRA) filed a lawsuit against the Company (Deschutes River Alliance v. Portland General Electric Company, U.S. District Court of the District of Oregon) that sought injunctive and declaratory relief against PGE under the Clean Water Act (CWA) related to alleged past and continuing violations of the CWA. Specifically, DRA claimed PGE had violated certain conditions contained in PGE’s Water Quality Certification for the Pelton Round Butte Hydroelectric Project (Project) related to dissolved oxygen, temperature, and measures of acidity or alkalinity of the water. DRA alleged the violations were related to PGE’s operation of the Selective Water Withdrawal (SWW) facility at the Project.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ind w:left="260" w:right="1980"/>
        <w:spacing w:after="0" w:line="257" w:lineRule="auto"/>
        <w:rPr>
          <w:sz w:val="20"/>
          <w:szCs w:val="20"/>
          <w:color w:val="auto"/>
        </w:rPr>
      </w:pPr>
      <w:r>
        <w:rPr>
          <w:rFonts w:ascii="Arial" w:cs="Arial" w:eastAsia="Arial" w:hAnsi="Arial"/>
          <w:sz w:val="20"/>
          <w:szCs w:val="20"/>
          <w:b w:val="1"/>
          <w:bCs w:val="1"/>
          <w:color w:val="auto"/>
        </w:rPr>
        <w:t xml:space="preserve">PORTLAND GENERAL ELECTRIC COMPANY NOTES TO CONDENSED CONSOLIDATED FINANCIAL STATEMENTS, continued </w:t>
      </w:r>
      <w:r>
        <w:rPr>
          <w:rFonts w:ascii="Arial" w:cs="Arial" w:eastAsia="Arial" w:hAnsi="Arial"/>
          <w:sz w:val="20"/>
          <w:szCs w:val="20"/>
          <w:color w:val="auto"/>
        </w:rPr>
        <w:t>(Unaudited)</w:t>
      </w:r>
    </w:p>
    <w:p>
      <w:pPr>
        <w:spacing w:after="0" w:line="200" w:lineRule="exact"/>
        <w:rPr>
          <w:sz w:val="20"/>
          <w:szCs w:val="20"/>
          <w:color w:val="auto"/>
        </w:rPr>
      </w:pPr>
    </w:p>
    <w:p>
      <w:pPr>
        <w:spacing w:after="0" w:line="245"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The SWW, located above Round Butte Dam on the Deschutes River in central Oregon, is, among other things, designed to blend water from the surface with water near the bottom of the reservoir and was constructed and placed into service in 2010, as part of the FERC license requirements, for the purpose of restoration and enhancement of native salmon and steelhead fisheries above the Project. DRA alleged that PGE’s operation of the SWW had caused the above-referenced violations of the CWA, which in turn had degraded the fish and wildlife habitat of the Deschutes River below the Project and harmed the economic and personal interests of DRA’s members and supporters.</w:t>
      </w:r>
    </w:p>
    <w:p>
      <w:pPr>
        <w:spacing w:after="0" w:line="179" w:lineRule="exact"/>
        <w:rPr>
          <w:sz w:val="20"/>
          <w:szCs w:val="20"/>
          <w:color w:val="auto"/>
        </w:rPr>
      </w:pPr>
    </w:p>
    <w:p>
      <w:pPr>
        <w:jc w:val="both"/>
        <w:ind w:right="180"/>
        <w:spacing w:after="0" w:line="250" w:lineRule="auto"/>
        <w:rPr>
          <w:sz w:val="20"/>
          <w:szCs w:val="20"/>
          <w:color w:val="auto"/>
        </w:rPr>
      </w:pPr>
      <w:r>
        <w:rPr>
          <w:rFonts w:ascii="Arial" w:cs="Arial" w:eastAsia="Arial" w:hAnsi="Arial"/>
          <w:sz w:val="20"/>
          <w:szCs w:val="20"/>
          <w:color w:val="auto"/>
        </w:rPr>
        <w:t>In March and April 2018, DRA and PGE filed cross-motions for summary judgment and PGE and the Confederated Tribes of Warm Springs (CTWS), which co-own the Project, filed separate motions to dismiss. CTWS initially appeared as a friend of the court, but subsequently was found to be a necessary party to the lawsuit and joined as a defendant.</w:t>
      </w:r>
    </w:p>
    <w:p>
      <w:pPr>
        <w:spacing w:after="0" w:line="200"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In August 2018, the U.S. District Court of the District of Oregon (District Court) denied DRA’s motions for partial summary judgment and granted PGE’s and CTWS’s cross-motions for summary judgment, ruling in favor of PGE and CTWS. The District Court found that DRA had not shown a genuine dispute of material fact sufficient to support its contention that PGE and CTWS were operating the Project in violation of the CWA, and accordingly dismissed the case.</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In October 2018, DRA filed an appeal to the Ninth Circuit Court of Appeals. Briefing has been rescheduled to begin in November 2019.</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color w:val="auto"/>
        </w:rPr>
        <w:t>The Company cannot predict the outcome of this matter or determine the likelihood of whether the outcome will result in a material loss.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Matters</w:t>
      </w:r>
    </w:p>
    <w:p>
      <w:pPr>
        <w:spacing w:after="0" w:line="235" w:lineRule="exact"/>
        <w:rPr>
          <w:sz w:val="20"/>
          <w:szCs w:val="20"/>
          <w:color w:val="auto"/>
        </w:rPr>
      </w:pPr>
    </w:p>
    <w:p>
      <w:pPr>
        <w:jc w:val="both"/>
        <w:ind w:right="40"/>
        <w:spacing w:after="0" w:line="282" w:lineRule="auto"/>
        <w:rPr>
          <w:sz w:val="20"/>
          <w:szCs w:val="20"/>
          <w:color w:val="auto"/>
        </w:rPr>
      </w:pPr>
      <w:r>
        <w:rPr>
          <w:rFonts w:ascii="Arial" w:cs="Arial" w:eastAsia="Arial" w:hAnsi="Arial"/>
          <w:sz w:val="18"/>
          <w:szCs w:val="18"/>
          <w:color w:val="auto"/>
        </w:rPr>
        <w:t>PGE is subject to other regulatory, environmental, and legal proceedings, investigations, and claims that arise from time to time in the ordinary course of business that may result in judgments against the Company. Although management currently believes that resolution of such matters, individually and in the aggregate, will not have a material impact on its financial position, results of operations, or cash flows, these matters are subject to inherent uncertainties, and management’s view of these matters may change in the future.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9: GUARANTEES</w:t>
      </w:r>
    </w:p>
    <w:p>
      <w:pPr>
        <w:spacing w:after="0" w:line="235" w:lineRule="exact"/>
        <w:rPr>
          <w:sz w:val="20"/>
          <w:szCs w:val="20"/>
          <w:color w:val="auto"/>
        </w:rPr>
      </w:pPr>
    </w:p>
    <w:p>
      <w:pPr>
        <w:ind w:right="40"/>
        <w:spacing w:after="0" w:line="313" w:lineRule="auto"/>
        <w:rPr>
          <w:sz w:val="20"/>
          <w:szCs w:val="20"/>
          <w:color w:val="auto"/>
        </w:rPr>
      </w:pPr>
      <w:r>
        <w:rPr>
          <w:rFonts w:ascii="Arial" w:cs="Arial" w:eastAsia="Arial" w:hAnsi="Arial"/>
          <w:sz w:val="16"/>
          <w:szCs w:val="16"/>
          <w:color w:val="auto"/>
        </w:rPr>
        <w:t>PGE enters into financial agreements and power and natural gas purchase and sale agreements that include indemnification provisions relating to certain claims or liabilities that may arise relating to the transactions contemplated by these agreements. Generally, a maximum obligation is not explicitly stated in the indemnification provisions and, therefore, the overall maximum amount of the obligation under such indemnifications cannot be reasonably estimated. PGE periodically evaluates the likelihood of incurring costs under such indemnities based on the Company’s historical experience and the evaluation of the specific indemnities. As of June 30, 2019, management believes the likelihood is remote that PGE would be required to perform under such indemnification provisions or otherwise incur any significant losses with respect to such indemnities. The Company has not recorded any liability on the condensed consolidated balance sheets with respect to these indemnities.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line="257" w:lineRule="auto"/>
        <w:rPr>
          <w:sz w:val="20"/>
          <w:szCs w:val="20"/>
          <w:color w:val="auto"/>
        </w:rPr>
      </w:pPr>
      <w:r>
        <w:rPr>
          <w:rFonts w:ascii="Arial" w:cs="Arial" w:eastAsia="Arial" w:hAnsi="Arial"/>
          <w:sz w:val="20"/>
          <w:szCs w:val="20"/>
          <w:b w:val="1"/>
          <w:bCs w:val="1"/>
          <w:color w:val="auto"/>
        </w:rPr>
        <w:t xml:space="preserve">PORTLAND GENERAL ELECTRIC COMPANY NOTES TO CONDENSED CONSOLIDATED FINANCIAL STATEMENTS, continued </w:t>
      </w:r>
      <w:r>
        <w:rPr>
          <w:rFonts w:ascii="Arial" w:cs="Arial" w:eastAsia="Arial" w:hAnsi="Arial"/>
          <w:sz w:val="20"/>
          <w:szCs w:val="20"/>
          <w:color w:val="auto"/>
        </w:rPr>
        <w:t>(Unaudited)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10: INCOME TAXES</w:t>
      </w:r>
    </w:p>
    <w:p>
      <w:pPr>
        <w:spacing w:after="0" w:line="235"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Income tax expense for interim periods is based on the estimated annual effective tax rate, which includes regulatory flow-through adjustments, tax credits, and other items, applied to the Company’s year-to-date, pre-tax income. The significant differences between the U.S. Federal statutory rate and PGE’s effective tax rate are reflected in the following table: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900" w:type="dxa"/>
            <w:vAlign w:val="bottom"/>
          </w:tcPr>
          <w:p>
            <w:pPr>
              <w:spacing w:after="0"/>
              <w:rPr>
                <w:sz w:val="22"/>
                <w:szCs w:val="22"/>
                <w:color w:val="auto"/>
              </w:rPr>
            </w:pPr>
          </w:p>
        </w:tc>
        <w:tc>
          <w:tcPr>
            <w:tcW w:w="2920" w:type="dxa"/>
            <w:vAlign w:val="bottom"/>
            <w:gridSpan w:val="4"/>
          </w:tcPr>
          <w:p>
            <w:pPr>
              <w:ind w:left="100"/>
              <w:spacing w:after="0"/>
              <w:rPr>
                <w:sz w:val="20"/>
                <w:szCs w:val="20"/>
                <w:color w:val="auto"/>
              </w:rPr>
            </w:pPr>
            <w:r>
              <w:rPr>
                <w:rFonts w:ascii="Arial" w:cs="Arial" w:eastAsia="Arial" w:hAnsi="Arial"/>
                <w:sz w:val="20"/>
                <w:szCs w:val="20"/>
                <w:b w:val="1"/>
                <w:bCs w:val="1"/>
                <w:color w:val="auto"/>
                <w:w w:val="98"/>
              </w:rPr>
              <w:t>Three Months Ended June 30,</w:t>
            </w:r>
          </w:p>
        </w:tc>
        <w:tc>
          <w:tcPr>
            <w:tcW w:w="2600" w:type="dxa"/>
            <w:vAlign w:val="bottom"/>
            <w:gridSpan w:val="3"/>
          </w:tcPr>
          <w:p>
            <w:pPr>
              <w:jc w:val="right"/>
              <w:ind w:right="21"/>
              <w:spacing w:after="0"/>
              <w:rPr>
                <w:sz w:val="20"/>
                <w:szCs w:val="20"/>
                <w:color w:val="auto"/>
              </w:rPr>
            </w:pPr>
            <w:r>
              <w:rPr>
                <w:rFonts w:ascii="Arial" w:cs="Arial" w:eastAsia="Arial" w:hAnsi="Arial"/>
                <w:sz w:val="20"/>
                <w:szCs w:val="20"/>
                <w:b w:val="1"/>
                <w:bCs w:val="1"/>
                <w:color w:val="auto"/>
                <w:w w:val="94"/>
              </w:rPr>
              <w:t>Six Months Ended June 30,</w:t>
            </w:r>
          </w:p>
        </w:tc>
      </w:tr>
      <w:tr>
        <w:trPr>
          <w:trHeight w:val="23"/>
        </w:trPr>
        <w:tc>
          <w:tcPr>
            <w:tcW w:w="59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4"/>
        </w:trPr>
        <w:tc>
          <w:tcPr>
            <w:tcW w:w="5900" w:type="dxa"/>
            <w:vAlign w:val="bottom"/>
          </w:tcPr>
          <w:p>
            <w:pPr>
              <w:spacing w:after="0"/>
              <w:rPr>
                <w:sz w:val="22"/>
                <w:szCs w:val="22"/>
                <w:color w:val="auto"/>
              </w:rPr>
            </w:pPr>
          </w:p>
        </w:tc>
        <w:tc>
          <w:tcPr>
            <w:tcW w:w="1260" w:type="dxa"/>
            <w:vAlign w:val="bottom"/>
          </w:tcPr>
          <w:p>
            <w:pPr>
              <w:jc w:val="right"/>
              <w:ind w:right="341"/>
              <w:spacing w:after="0"/>
              <w:rPr>
                <w:sz w:val="20"/>
                <w:szCs w:val="20"/>
                <w:color w:val="auto"/>
              </w:rPr>
            </w:pPr>
            <w:r>
              <w:rPr>
                <w:rFonts w:ascii="Arial" w:cs="Arial" w:eastAsia="Arial" w:hAnsi="Arial"/>
                <w:sz w:val="20"/>
                <w:szCs w:val="20"/>
                <w:b w:val="1"/>
                <w:bCs w:val="1"/>
                <w:color w:val="auto"/>
              </w:rPr>
              <w:t>2019</w:t>
            </w:r>
          </w:p>
        </w:tc>
        <w:tc>
          <w:tcPr>
            <w:tcW w:w="200" w:type="dxa"/>
            <w:vAlign w:val="bottom"/>
          </w:tcPr>
          <w:p>
            <w:pPr>
              <w:spacing w:after="0"/>
              <w:rPr>
                <w:sz w:val="22"/>
                <w:szCs w:val="22"/>
                <w:color w:val="auto"/>
              </w:rPr>
            </w:pPr>
          </w:p>
        </w:tc>
        <w:tc>
          <w:tcPr>
            <w:tcW w:w="1260" w:type="dxa"/>
            <w:vAlign w:val="bottom"/>
          </w:tcPr>
          <w:p>
            <w:pPr>
              <w:jc w:val="right"/>
              <w:ind w:right="341"/>
              <w:spacing w:after="0"/>
              <w:rPr>
                <w:sz w:val="20"/>
                <w:szCs w:val="20"/>
                <w:color w:val="auto"/>
              </w:rPr>
            </w:pPr>
            <w:r>
              <w:rPr>
                <w:rFonts w:ascii="Arial" w:cs="Arial" w:eastAsia="Arial" w:hAnsi="Arial"/>
                <w:sz w:val="20"/>
                <w:szCs w:val="20"/>
                <w:b w:val="1"/>
                <w:bCs w:val="1"/>
                <w:color w:val="auto"/>
              </w:rPr>
              <w:t>2018</w:t>
            </w:r>
          </w:p>
        </w:tc>
        <w:tc>
          <w:tcPr>
            <w:tcW w:w="200" w:type="dxa"/>
            <w:vAlign w:val="bottom"/>
          </w:tcPr>
          <w:p>
            <w:pPr>
              <w:spacing w:after="0"/>
              <w:rPr>
                <w:sz w:val="22"/>
                <w:szCs w:val="22"/>
                <w:color w:val="auto"/>
              </w:rPr>
            </w:pPr>
          </w:p>
        </w:tc>
        <w:tc>
          <w:tcPr>
            <w:tcW w:w="1240" w:type="dxa"/>
            <w:vAlign w:val="bottom"/>
          </w:tcPr>
          <w:p>
            <w:pPr>
              <w:jc w:val="right"/>
              <w:ind w:right="321"/>
              <w:spacing w:after="0"/>
              <w:rPr>
                <w:sz w:val="20"/>
                <w:szCs w:val="20"/>
                <w:color w:val="auto"/>
              </w:rPr>
            </w:pPr>
            <w:r>
              <w:rPr>
                <w:rFonts w:ascii="Arial" w:cs="Arial" w:eastAsia="Arial" w:hAnsi="Arial"/>
                <w:sz w:val="20"/>
                <w:szCs w:val="20"/>
                <w:b w:val="1"/>
                <w:bCs w:val="1"/>
                <w:color w:val="auto"/>
              </w:rPr>
              <w:t>2019</w:t>
            </w:r>
          </w:p>
        </w:tc>
        <w:tc>
          <w:tcPr>
            <w:tcW w:w="120" w:type="dxa"/>
            <w:vAlign w:val="bottom"/>
          </w:tcPr>
          <w:p>
            <w:pPr>
              <w:spacing w:after="0"/>
              <w:rPr>
                <w:sz w:val="22"/>
                <w:szCs w:val="22"/>
                <w:color w:val="auto"/>
              </w:rPr>
            </w:pPr>
          </w:p>
        </w:tc>
        <w:tc>
          <w:tcPr>
            <w:tcW w:w="1240" w:type="dxa"/>
            <w:vAlign w:val="bottom"/>
          </w:tcPr>
          <w:p>
            <w:pPr>
              <w:jc w:val="right"/>
              <w:ind w:right="321"/>
              <w:spacing w:after="0"/>
              <w:rPr>
                <w:sz w:val="20"/>
                <w:szCs w:val="20"/>
                <w:color w:val="auto"/>
              </w:rPr>
            </w:pPr>
            <w:r>
              <w:rPr>
                <w:rFonts w:ascii="Arial" w:cs="Arial" w:eastAsia="Arial" w:hAnsi="Arial"/>
                <w:sz w:val="20"/>
                <w:szCs w:val="20"/>
                <w:b w:val="1"/>
                <w:bCs w:val="1"/>
                <w:color w:val="auto"/>
              </w:rPr>
              <w:t>2018</w:t>
            </w:r>
          </w:p>
        </w:tc>
      </w:tr>
      <w:tr>
        <w:trPr>
          <w:trHeight w:val="23"/>
        </w:trPr>
        <w:tc>
          <w:tcPr>
            <w:tcW w:w="59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Federal statutory tax rate</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21.0 %</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21.0 %</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21.0 %</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21.0 %</w:t>
            </w:r>
          </w:p>
        </w:tc>
      </w:tr>
      <w:tr>
        <w:trPr>
          <w:trHeight w:val="338"/>
        </w:trPr>
        <w:tc>
          <w:tcPr>
            <w:tcW w:w="5900" w:type="dxa"/>
            <w:vAlign w:val="bottom"/>
          </w:tcPr>
          <w:p>
            <w:pPr>
              <w:ind w:left="40"/>
              <w:spacing w:after="0"/>
              <w:rPr>
                <w:sz w:val="20"/>
                <w:szCs w:val="20"/>
                <w:color w:val="auto"/>
              </w:rPr>
            </w:pPr>
            <w:r>
              <w:rPr>
                <w:rFonts w:ascii="Arial" w:cs="Arial" w:eastAsia="Arial" w:hAnsi="Arial"/>
                <w:sz w:val="20"/>
                <w:szCs w:val="20"/>
                <w:color w:val="auto"/>
              </w:rPr>
              <w:t>Federal tax credits</w:t>
            </w:r>
            <w:r>
              <w:rPr>
                <w:rFonts w:ascii="Arial" w:cs="Arial" w:eastAsia="Arial" w:hAnsi="Arial"/>
                <w:sz w:val="25"/>
                <w:szCs w:val="25"/>
                <w:color w:val="auto"/>
                <w:vertAlign w:val="superscript"/>
              </w:rPr>
              <w:t>*</w:t>
            </w:r>
          </w:p>
        </w:tc>
        <w:tc>
          <w:tcPr>
            <w:tcW w:w="1260" w:type="dxa"/>
            <w:vAlign w:val="bottom"/>
          </w:tcPr>
          <w:p>
            <w:pPr>
              <w:jc w:val="right"/>
              <w:ind w:right="81"/>
              <w:spacing w:after="0"/>
              <w:rPr>
                <w:sz w:val="20"/>
                <w:szCs w:val="20"/>
                <w:color w:val="auto"/>
              </w:rPr>
            </w:pPr>
            <w:r>
              <w:rPr>
                <w:rFonts w:ascii="Arial" w:cs="Arial" w:eastAsia="Arial" w:hAnsi="Arial"/>
                <w:sz w:val="20"/>
                <w:szCs w:val="20"/>
                <w:color w:val="auto"/>
              </w:rPr>
              <w:t>(15.1)</w:t>
            </w:r>
          </w:p>
        </w:tc>
        <w:tc>
          <w:tcPr>
            <w:tcW w:w="200" w:type="dxa"/>
            <w:vAlign w:val="bottom"/>
          </w:tcPr>
          <w:p>
            <w:pPr>
              <w:spacing w:after="0"/>
              <w:rPr>
                <w:sz w:val="24"/>
                <w:szCs w:val="24"/>
                <w:color w:val="auto"/>
              </w:rPr>
            </w:pPr>
          </w:p>
        </w:tc>
        <w:tc>
          <w:tcPr>
            <w:tcW w:w="1260" w:type="dxa"/>
            <w:vAlign w:val="bottom"/>
          </w:tcPr>
          <w:p>
            <w:pPr>
              <w:jc w:val="right"/>
              <w:ind w:right="81"/>
              <w:spacing w:after="0"/>
              <w:rPr>
                <w:sz w:val="20"/>
                <w:szCs w:val="20"/>
                <w:color w:val="auto"/>
              </w:rPr>
            </w:pPr>
            <w:r>
              <w:rPr>
                <w:rFonts w:ascii="Arial" w:cs="Arial" w:eastAsia="Arial" w:hAnsi="Arial"/>
                <w:sz w:val="20"/>
                <w:szCs w:val="20"/>
                <w:color w:val="auto"/>
              </w:rPr>
              <w:t>(17.0)</w:t>
            </w:r>
          </w:p>
        </w:tc>
        <w:tc>
          <w:tcPr>
            <w:tcW w:w="200" w:type="dxa"/>
            <w:vAlign w:val="bottom"/>
          </w:tcPr>
          <w:p>
            <w:pPr>
              <w:spacing w:after="0"/>
              <w:rPr>
                <w:sz w:val="24"/>
                <w:szCs w:val="24"/>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(13.3)</w:t>
            </w:r>
          </w:p>
        </w:tc>
        <w:tc>
          <w:tcPr>
            <w:tcW w:w="120" w:type="dxa"/>
            <w:vAlign w:val="bottom"/>
          </w:tcPr>
          <w:p>
            <w:pPr>
              <w:spacing w:after="0"/>
              <w:rPr>
                <w:sz w:val="24"/>
                <w:szCs w:val="24"/>
                <w:color w:val="auto"/>
              </w:rPr>
            </w:pPr>
          </w:p>
        </w:tc>
        <w:tc>
          <w:tcPr>
            <w:tcW w:w="1240" w:type="dxa"/>
            <w:vAlign w:val="bottom"/>
          </w:tcPr>
          <w:p>
            <w:pPr>
              <w:jc w:val="right"/>
              <w:ind w:right="81"/>
              <w:spacing w:after="0"/>
              <w:rPr>
                <w:sz w:val="20"/>
                <w:szCs w:val="20"/>
                <w:color w:val="auto"/>
              </w:rPr>
            </w:pPr>
            <w:r>
              <w:rPr>
                <w:rFonts w:ascii="Arial" w:cs="Arial" w:eastAsia="Arial" w:hAnsi="Arial"/>
                <w:sz w:val="20"/>
                <w:szCs w:val="20"/>
                <w:color w:val="auto"/>
              </w:rPr>
              <w:t>(17.5)</w:t>
            </w:r>
          </w:p>
        </w:tc>
      </w:tr>
      <w:tr>
        <w:trPr>
          <w:trHeight w:val="26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State and local taxes, net of federal tax benefit</w:t>
            </w:r>
          </w:p>
        </w:tc>
        <w:tc>
          <w:tcPr>
            <w:tcW w:w="126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20"/>
                <w:szCs w:val="20"/>
                <w:color w:val="auto"/>
              </w:rPr>
              <w:t>6.5</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20"/>
                <w:szCs w:val="20"/>
                <w:color w:val="auto"/>
              </w:rPr>
              <w:t>6.5</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rPr>
              <w:t>6.5</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rPr>
              <w:t>6.5</w:t>
            </w:r>
          </w:p>
        </w:tc>
      </w:tr>
      <w:tr>
        <w:trPr>
          <w:trHeight w:val="261"/>
        </w:trPr>
        <w:tc>
          <w:tcPr>
            <w:tcW w:w="5900" w:type="dxa"/>
            <w:vAlign w:val="bottom"/>
          </w:tcPr>
          <w:p>
            <w:pPr>
              <w:ind w:left="40"/>
              <w:spacing w:after="0"/>
              <w:rPr>
                <w:sz w:val="20"/>
                <w:szCs w:val="20"/>
                <w:color w:val="auto"/>
              </w:rPr>
            </w:pPr>
            <w:r>
              <w:rPr>
                <w:rFonts w:ascii="Arial" w:cs="Arial" w:eastAsia="Arial" w:hAnsi="Arial"/>
                <w:sz w:val="20"/>
                <w:szCs w:val="20"/>
                <w:color w:val="auto"/>
              </w:rPr>
              <w:t>Flow through depreciation and cost basis differences</w:t>
            </w:r>
          </w:p>
        </w:tc>
        <w:tc>
          <w:tcPr>
            <w:tcW w:w="1260" w:type="dxa"/>
            <w:vAlign w:val="bottom"/>
          </w:tcPr>
          <w:p>
            <w:pPr>
              <w:jc w:val="right"/>
              <w:ind w:right="161"/>
              <w:spacing w:after="0"/>
              <w:rPr>
                <w:sz w:val="20"/>
                <w:szCs w:val="20"/>
                <w:color w:val="auto"/>
              </w:rPr>
            </w:pPr>
            <w:r>
              <w:rPr>
                <w:rFonts w:ascii="Arial" w:cs="Arial" w:eastAsia="Arial" w:hAnsi="Arial"/>
                <w:sz w:val="20"/>
                <w:szCs w:val="20"/>
                <w:color w:val="auto"/>
              </w:rPr>
              <w:t>0.4</w:t>
            </w:r>
          </w:p>
        </w:tc>
        <w:tc>
          <w:tcPr>
            <w:tcW w:w="200" w:type="dxa"/>
            <w:vAlign w:val="bottom"/>
          </w:tcPr>
          <w:p>
            <w:pPr>
              <w:spacing w:after="0"/>
              <w:rPr>
                <w:sz w:val="22"/>
                <w:szCs w:val="22"/>
                <w:color w:val="auto"/>
              </w:rPr>
            </w:pPr>
          </w:p>
        </w:tc>
        <w:tc>
          <w:tcPr>
            <w:tcW w:w="1260" w:type="dxa"/>
            <w:vAlign w:val="bottom"/>
          </w:tcPr>
          <w:p>
            <w:pPr>
              <w:jc w:val="right"/>
              <w:ind w:right="81"/>
              <w:spacing w:after="0"/>
              <w:rPr>
                <w:sz w:val="20"/>
                <w:szCs w:val="20"/>
                <w:color w:val="auto"/>
              </w:rPr>
            </w:pPr>
            <w:r>
              <w:rPr>
                <w:rFonts w:ascii="Arial" w:cs="Arial" w:eastAsia="Arial" w:hAnsi="Arial"/>
                <w:sz w:val="20"/>
                <w:szCs w:val="20"/>
                <w:color w:val="auto"/>
              </w:rPr>
              <w:t>(2.2)</w:t>
            </w:r>
          </w:p>
        </w:tc>
        <w:tc>
          <w:tcPr>
            <w:tcW w:w="200" w:type="dxa"/>
            <w:vAlign w:val="bottom"/>
          </w:tcPr>
          <w:p>
            <w:pPr>
              <w:spacing w:after="0"/>
              <w:rPr>
                <w:sz w:val="22"/>
                <w:szCs w:val="22"/>
                <w:color w:val="auto"/>
              </w:rPr>
            </w:pPr>
          </w:p>
        </w:tc>
        <w:tc>
          <w:tcPr>
            <w:tcW w:w="1240" w:type="dxa"/>
            <w:vAlign w:val="bottom"/>
          </w:tcPr>
          <w:p>
            <w:pPr>
              <w:jc w:val="right"/>
              <w:ind w:right="141"/>
              <w:spacing w:after="0"/>
              <w:rPr>
                <w:sz w:val="20"/>
                <w:szCs w:val="20"/>
                <w:color w:val="auto"/>
              </w:rPr>
            </w:pPr>
            <w:r>
              <w:rPr>
                <w:rFonts w:ascii="Arial" w:cs="Arial" w:eastAsia="Arial" w:hAnsi="Arial"/>
                <w:sz w:val="20"/>
                <w:szCs w:val="20"/>
                <w:color w:val="auto"/>
              </w:rPr>
              <w:t>1.4</w:t>
            </w:r>
          </w:p>
        </w:tc>
        <w:tc>
          <w:tcPr>
            <w:tcW w:w="120" w:type="dxa"/>
            <w:vAlign w:val="bottom"/>
          </w:tcPr>
          <w:p>
            <w:pPr>
              <w:spacing w:after="0"/>
              <w:rPr>
                <w:sz w:val="22"/>
                <w:szCs w:val="22"/>
                <w:color w:val="auto"/>
              </w:rPr>
            </w:pPr>
          </w:p>
        </w:tc>
        <w:tc>
          <w:tcPr>
            <w:tcW w:w="1240" w:type="dxa"/>
            <w:vAlign w:val="bottom"/>
          </w:tcPr>
          <w:p>
            <w:pPr>
              <w:jc w:val="right"/>
              <w:ind w:right="81"/>
              <w:spacing w:after="0"/>
              <w:rPr>
                <w:sz w:val="20"/>
                <w:szCs w:val="20"/>
                <w:color w:val="auto"/>
              </w:rPr>
            </w:pPr>
            <w:r>
              <w:rPr>
                <w:rFonts w:ascii="Arial" w:cs="Arial" w:eastAsia="Arial" w:hAnsi="Arial"/>
                <w:sz w:val="20"/>
                <w:szCs w:val="20"/>
                <w:color w:val="auto"/>
              </w:rPr>
              <w:t>(3.4)</w:t>
            </w:r>
          </w:p>
        </w:tc>
      </w:tr>
      <w:tr>
        <w:trPr>
          <w:trHeight w:val="23"/>
        </w:trPr>
        <w:tc>
          <w:tcPr>
            <w:tcW w:w="5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Excess deferred tax amortization</w:t>
            </w:r>
          </w:p>
        </w:tc>
        <w:tc>
          <w:tcPr>
            <w:tcW w:w="1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rPr>
              <w:t>(2.7)</w:t>
            </w:r>
          </w:p>
        </w:tc>
        <w:tc>
          <w:tcPr>
            <w:tcW w:w="2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r>
      <w:tr>
        <w:trPr>
          <w:trHeight w:val="261"/>
        </w:trPr>
        <w:tc>
          <w:tcPr>
            <w:tcW w:w="5900" w:type="dxa"/>
            <w:vAlign w:val="bottom"/>
          </w:tcPr>
          <w:p>
            <w:pPr>
              <w:ind w:left="40"/>
              <w:spacing w:after="0"/>
              <w:rPr>
                <w:sz w:val="20"/>
                <w:szCs w:val="20"/>
                <w:color w:val="auto"/>
              </w:rPr>
            </w:pPr>
            <w:r>
              <w:rPr>
                <w:rFonts w:ascii="Arial" w:cs="Arial" w:eastAsia="Arial" w:hAnsi="Arial"/>
                <w:sz w:val="20"/>
                <w:szCs w:val="20"/>
                <w:color w:val="auto"/>
              </w:rPr>
              <w:t>Other</w:t>
            </w:r>
          </w:p>
        </w:tc>
        <w:tc>
          <w:tcPr>
            <w:tcW w:w="1260" w:type="dxa"/>
            <w:vAlign w:val="bottom"/>
          </w:tcPr>
          <w:p>
            <w:pPr>
              <w:jc w:val="right"/>
              <w:ind w:right="161"/>
              <w:spacing w:after="0"/>
              <w:rPr>
                <w:sz w:val="20"/>
                <w:szCs w:val="20"/>
                <w:color w:val="auto"/>
              </w:rPr>
            </w:pPr>
            <w:r>
              <w:rPr>
                <w:rFonts w:ascii="Arial" w:cs="Arial" w:eastAsia="Arial" w:hAnsi="Arial"/>
                <w:sz w:val="20"/>
                <w:szCs w:val="20"/>
                <w:color w:val="auto"/>
              </w:rPr>
              <w:t>0.6</w:t>
            </w:r>
          </w:p>
        </w:tc>
        <w:tc>
          <w:tcPr>
            <w:tcW w:w="200" w:type="dxa"/>
            <w:vAlign w:val="bottom"/>
          </w:tcPr>
          <w:p>
            <w:pPr>
              <w:spacing w:after="0"/>
              <w:rPr>
                <w:sz w:val="22"/>
                <w:szCs w:val="22"/>
                <w:color w:val="auto"/>
              </w:rPr>
            </w:pPr>
          </w:p>
        </w:tc>
        <w:tc>
          <w:tcPr>
            <w:tcW w:w="1260" w:type="dxa"/>
            <w:vAlign w:val="bottom"/>
          </w:tcPr>
          <w:p>
            <w:pPr>
              <w:jc w:val="right"/>
              <w:ind w:right="161"/>
              <w:spacing w:after="0"/>
              <w:rPr>
                <w:sz w:val="20"/>
                <w:szCs w:val="20"/>
                <w:color w:val="auto"/>
              </w:rPr>
            </w:pPr>
            <w:r>
              <w:rPr>
                <w:rFonts w:ascii="Arial" w:cs="Arial" w:eastAsia="Arial" w:hAnsi="Arial"/>
                <w:sz w:val="20"/>
                <w:szCs w:val="20"/>
                <w:color w:val="auto"/>
              </w:rPr>
              <w:t>3.2</w:t>
            </w:r>
          </w:p>
        </w:tc>
        <w:tc>
          <w:tcPr>
            <w:tcW w:w="200" w:type="dxa"/>
            <w:vAlign w:val="bottom"/>
          </w:tcPr>
          <w:p>
            <w:pPr>
              <w:spacing w:after="0"/>
              <w:rPr>
                <w:sz w:val="22"/>
                <w:szCs w:val="22"/>
                <w:color w:val="auto"/>
              </w:rPr>
            </w:pPr>
          </w:p>
        </w:tc>
        <w:tc>
          <w:tcPr>
            <w:tcW w:w="1240" w:type="dxa"/>
            <w:vAlign w:val="bottom"/>
          </w:tcPr>
          <w:p>
            <w:pPr>
              <w:jc w:val="right"/>
              <w:ind w:right="141"/>
              <w:spacing w:after="0"/>
              <w:rPr>
                <w:sz w:val="20"/>
                <w:szCs w:val="20"/>
                <w:color w:val="auto"/>
              </w:rPr>
            </w:pPr>
            <w:r>
              <w:rPr>
                <w:rFonts w:ascii="Arial" w:cs="Arial" w:eastAsia="Arial" w:hAnsi="Arial"/>
                <w:sz w:val="20"/>
                <w:szCs w:val="20"/>
                <w:color w:val="auto"/>
              </w:rPr>
              <w:t>0.1</w:t>
            </w:r>
          </w:p>
        </w:tc>
        <w:tc>
          <w:tcPr>
            <w:tcW w:w="120" w:type="dxa"/>
            <w:vAlign w:val="bottom"/>
          </w:tcPr>
          <w:p>
            <w:pPr>
              <w:spacing w:after="0"/>
              <w:rPr>
                <w:sz w:val="22"/>
                <w:szCs w:val="22"/>
                <w:color w:val="auto"/>
              </w:rPr>
            </w:pPr>
          </w:p>
        </w:tc>
        <w:tc>
          <w:tcPr>
            <w:tcW w:w="1240" w:type="dxa"/>
            <w:vAlign w:val="bottom"/>
          </w:tcPr>
          <w:p>
            <w:pPr>
              <w:jc w:val="right"/>
              <w:ind w:right="141"/>
              <w:spacing w:after="0"/>
              <w:rPr>
                <w:sz w:val="20"/>
                <w:szCs w:val="20"/>
                <w:color w:val="auto"/>
              </w:rPr>
            </w:pPr>
            <w:r>
              <w:rPr>
                <w:rFonts w:ascii="Arial" w:cs="Arial" w:eastAsia="Arial" w:hAnsi="Arial"/>
                <w:sz w:val="20"/>
                <w:szCs w:val="20"/>
                <w:color w:val="auto"/>
              </w:rPr>
              <w:t>4.7</w:t>
            </w:r>
          </w:p>
        </w:tc>
      </w:tr>
      <w:tr>
        <w:trPr>
          <w:trHeight w:val="23"/>
        </w:trPr>
        <w:tc>
          <w:tcPr>
            <w:tcW w:w="59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2"/>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Effective tax rate</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10.7 %</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11.5 %</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12.5 %</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11.3 %</w:t>
            </w:r>
          </w:p>
        </w:tc>
      </w:tr>
      <w:tr>
        <w:trPr>
          <w:trHeight w:val="20"/>
        </w:trPr>
        <w:tc>
          <w:tcPr>
            <w:tcW w:w="59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20" w:firstLine="8"/>
        <w:spacing w:after="0" w:line="312" w:lineRule="auto"/>
        <w:tabs>
          <w:tab w:leader="none" w:pos="135" w:val="left"/>
        </w:tabs>
        <w:numPr>
          <w:ilvl w:val="0"/>
          <w:numId w:val="9"/>
        </w:numPr>
        <w:rPr>
          <w:rFonts w:ascii="Arial" w:cs="Arial" w:eastAsia="Arial" w:hAnsi="Arial"/>
          <w:sz w:val="16"/>
          <w:szCs w:val="16"/>
          <w:color w:val="auto"/>
        </w:rPr>
      </w:pPr>
      <w:r>
        <w:rPr>
          <w:rFonts w:ascii="Arial" w:cs="Arial" w:eastAsia="Arial" w:hAnsi="Arial"/>
          <w:sz w:val="16"/>
          <w:szCs w:val="16"/>
          <w:color w:val="auto"/>
        </w:rPr>
        <w:t>Federal tax credits consists of production tax credits (PTCs) earned from Company-owned wind-powered generating facilities. PTCs are earned based on a per-kilowatt hour rate and, as a result, the annual amount of PTCs earned will vary based on weather conditions and availability of the facilities. PTCs are generated for 10 years from the in-service dates of the corresponding facilities. PGE’s PTC generation ends at various dates through 2024.</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Carryforwards</w:t>
      </w:r>
    </w:p>
    <w:p>
      <w:pPr>
        <w:spacing w:after="0" w:line="216"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Federal tax credit carryforwards as of June 30, 2019 and December 31, 2018 were $58 million and $52 million, respectively. These credits consist of PTCs, which will expire at various dates through 2039. PGE believes that it is more likely than not that its deferred income tax assets as of June 30, 2019 will be realized; accordingly, no valuation allowance has been recorded. As of June 30, 2019, and December 31, 2018, PGE had no unrecognized tax benefits.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11: LEASES</w:t>
      </w:r>
    </w:p>
    <w:p>
      <w:pPr>
        <w:spacing w:after="0" w:line="235"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PGE determines if an arrangement is a lease at inception and whether the arrangement is classified as an operating or finance lease. At commencement of the lease, PGE records a right-of-use (ROU) asset and lease liability in the condensed consolidated balance sheets based on the present value of lease payments over the term of the arrangement. ROU assets represent the right to use an underlying asset for the lease term and lease liabilities represent PGE's obligation to make lease payments arising from the lease. If the implicit rate is not readily determinable in the contract, PGE uses its incremental borrowing rate based on the information available at commencement date in determining the present value of lease payments. Contract terms may include options to extend or terminate the lease, and, when the Company deems it is reasonably certain that PGE will exercise that option, it is included in the ROU asset and lease liability.</w:t>
      </w:r>
    </w:p>
    <w:p>
      <w:pPr>
        <w:spacing w:after="0" w:line="183"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Operating leases will reflect lease expense on a straight-line basis, while finance leases will result in the separate presentation of interest expense on the lease liability and amortization expense of the ROU asset. Any material differences between expense recognition and timing of payments will be deferred as a regulatory asset or liability in order to match what is being recovered in customer prices for ratemaking purposes.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line="257" w:lineRule="auto"/>
        <w:rPr>
          <w:sz w:val="20"/>
          <w:szCs w:val="20"/>
          <w:color w:val="auto"/>
        </w:rPr>
      </w:pPr>
      <w:r>
        <w:rPr>
          <w:rFonts w:ascii="Arial" w:cs="Arial" w:eastAsia="Arial" w:hAnsi="Arial"/>
          <w:sz w:val="20"/>
          <w:szCs w:val="20"/>
          <w:b w:val="1"/>
          <w:bCs w:val="1"/>
          <w:color w:val="auto"/>
        </w:rPr>
        <w:t xml:space="preserve">PORTLAND GENERAL ELECTRIC COMPANY NOTES TO CONDENSED CONSOLIDATED FINANCIAL STATEMENTS, continued </w:t>
      </w:r>
      <w:r>
        <w:rPr>
          <w:rFonts w:ascii="Arial" w:cs="Arial" w:eastAsia="Arial" w:hAnsi="Arial"/>
          <w:sz w:val="20"/>
          <w:szCs w:val="20"/>
          <w:color w:val="auto"/>
        </w:rPr>
        <w:t>(Unaudited)</w:t>
      </w:r>
    </w:p>
    <w:p>
      <w:pPr>
        <w:spacing w:after="0" w:line="200" w:lineRule="exact"/>
        <w:rPr>
          <w:sz w:val="20"/>
          <w:szCs w:val="20"/>
          <w:color w:val="auto"/>
        </w:rPr>
      </w:pPr>
    </w:p>
    <w:p>
      <w:pPr>
        <w:spacing w:after="0" w:line="245"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 xml:space="preserve">PGE does not record leases with a term of 12-months or less in the condensed consolidated balance sheet. Total short-term lease costs for the three and six months ended June 30, 2019 are immaterial. </w:t>
      </w:r>
      <w:r>
        <w:rPr>
          <w:rFonts w:ascii="Arial" w:cs="Arial" w:eastAsia="Arial" w:hAnsi="Arial"/>
          <w:sz w:val="18"/>
          <w:szCs w:val="18"/>
          <w:color w:val="auto"/>
        </w:rPr>
        <w:t>PGE</w:t>
      </w:r>
      <w:r>
        <w:rPr>
          <w:rFonts w:ascii="Arial" w:cs="Arial" w:eastAsia="Arial" w:hAnsi="Arial"/>
          <w:sz w:val="20"/>
          <w:szCs w:val="20"/>
          <w:color w:val="auto"/>
        </w:rPr>
        <w:t xml:space="preserve"> has lease agreements with lease and non-lease components, which are accounted for separately.</w:t>
      </w:r>
    </w:p>
    <w:p>
      <w:pPr>
        <w:spacing w:after="0" w:line="200"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The Company’s leases relate primarily to the use of land, support facilities, gas storage, and power purchase agreements that rely on identified plant. Variable payments are generally related to gas storage and power purchase agreements for components dependent upon variable factors, such as energy production and property taxes, and are not included in the determination of the present value of lease payments.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160" w:type="dxa"/>
            <w:vAlign w:val="bottom"/>
          </w:tcPr>
          <w:p>
            <w:pPr>
              <w:spacing w:after="0"/>
              <w:rPr>
                <w:sz w:val="20"/>
                <w:szCs w:val="20"/>
                <w:color w:val="auto"/>
              </w:rPr>
            </w:pPr>
            <w:r>
              <w:rPr>
                <w:rFonts w:ascii="Arial" w:cs="Arial" w:eastAsia="Arial" w:hAnsi="Arial"/>
                <w:sz w:val="20"/>
                <w:szCs w:val="20"/>
                <w:color w:val="auto"/>
              </w:rPr>
              <w:t>The components of lease cost were as follows (in millions):</w:t>
            </w:r>
          </w:p>
        </w:tc>
        <w:tc>
          <w:tcPr>
            <w:tcW w:w="1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365"/>
        </w:trPr>
        <w:tc>
          <w:tcPr>
            <w:tcW w:w="6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Arial" w:cs="Arial" w:eastAsia="Arial" w:hAnsi="Arial"/>
                <w:sz w:val="20"/>
                <w:szCs w:val="20"/>
                <w:b w:val="1"/>
                <w:bCs w:val="1"/>
                <w:color w:val="auto"/>
              </w:rPr>
              <w:t>Three Months Ended June</w:t>
            </w:r>
          </w:p>
        </w:tc>
        <w:tc>
          <w:tcPr>
            <w:tcW w:w="2520" w:type="dxa"/>
            <w:vAlign w:val="bottom"/>
            <w:gridSpan w:val="2"/>
          </w:tcPr>
          <w:p>
            <w:pPr>
              <w:jc w:val="right"/>
              <w:ind w:right="1"/>
              <w:spacing w:after="0"/>
              <w:rPr>
                <w:sz w:val="20"/>
                <w:szCs w:val="20"/>
                <w:color w:val="auto"/>
              </w:rPr>
            </w:pPr>
            <w:r>
              <w:rPr>
                <w:rFonts w:ascii="Arial" w:cs="Arial" w:eastAsia="Arial" w:hAnsi="Arial"/>
                <w:sz w:val="20"/>
                <w:szCs w:val="20"/>
                <w:b w:val="1"/>
                <w:bCs w:val="1"/>
                <w:color w:val="auto"/>
                <w:w w:val="92"/>
              </w:rPr>
              <w:t>Six Months Ended June 30,</w:t>
            </w:r>
          </w:p>
        </w:tc>
      </w:tr>
      <w:tr>
        <w:trPr>
          <w:trHeight w:val="256"/>
        </w:trPr>
        <w:tc>
          <w:tcPr>
            <w:tcW w:w="6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0" w:type="dxa"/>
            <w:vAlign w:val="bottom"/>
          </w:tcPr>
          <w:p>
            <w:pPr>
              <w:jc w:val="right"/>
              <w:ind w:right="821"/>
              <w:spacing w:after="0"/>
              <w:rPr>
                <w:sz w:val="20"/>
                <w:szCs w:val="20"/>
                <w:color w:val="auto"/>
              </w:rPr>
            </w:pPr>
            <w:r>
              <w:rPr>
                <w:rFonts w:ascii="Arial" w:cs="Arial" w:eastAsia="Arial" w:hAnsi="Arial"/>
                <w:sz w:val="20"/>
                <w:szCs w:val="20"/>
                <w:b w:val="1"/>
                <w:bCs w:val="1"/>
                <w:color w:val="auto"/>
              </w:rPr>
              <w:t>30, 2019</w:t>
            </w: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940" w:type="dxa"/>
            <w:vAlign w:val="bottom"/>
          </w:tcPr>
          <w:p>
            <w:pPr>
              <w:jc w:val="right"/>
              <w:ind w:right="961"/>
              <w:spacing w:after="0"/>
              <w:rPr>
                <w:sz w:val="20"/>
                <w:szCs w:val="20"/>
                <w:color w:val="auto"/>
              </w:rPr>
            </w:pPr>
            <w:r>
              <w:rPr>
                <w:rFonts w:ascii="Arial" w:cs="Arial" w:eastAsia="Arial" w:hAnsi="Arial"/>
                <w:sz w:val="20"/>
                <w:szCs w:val="20"/>
                <w:b w:val="1"/>
                <w:bCs w:val="1"/>
                <w:color w:val="auto"/>
              </w:rPr>
              <w:t>2019</w:t>
            </w:r>
          </w:p>
        </w:tc>
      </w:tr>
      <w:tr>
        <w:trPr>
          <w:trHeight w:val="23"/>
        </w:trPr>
        <w:tc>
          <w:tcPr>
            <w:tcW w:w="6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318"/>
        </w:trPr>
        <w:tc>
          <w:tcPr>
            <w:tcW w:w="6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64"/>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b w:val="1"/>
                <w:bCs w:val="1"/>
                <w:color w:val="auto"/>
              </w:rPr>
              <w:t>Operating lease cost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4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w:t>
            </w:r>
          </w:p>
        </w:tc>
        <w:tc>
          <w:tcPr>
            <w:tcW w:w="2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61"/>
              <w:spacing w:after="0"/>
              <w:rPr>
                <w:sz w:val="20"/>
                <w:szCs w:val="20"/>
                <w:color w:val="auto"/>
              </w:rPr>
            </w:pPr>
            <w:r>
              <w:rPr>
                <w:rFonts w:ascii="Arial" w:cs="Arial" w:eastAsia="Arial" w:hAnsi="Arial"/>
                <w:sz w:val="20"/>
                <w:szCs w:val="20"/>
                <w:color w:val="auto"/>
                <w:w w:val="89"/>
              </w:rPr>
              <w:t>$</w:t>
            </w:r>
          </w:p>
        </w:tc>
        <w:tc>
          <w:tcPr>
            <w:tcW w:w="1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w:t>
            </w:r>
          </w:p>
        </w:tc>
      </w:tr>
      <w:tr>
        <w:trPr>
          <w:trHeight w:val="324"/>
        </w:trPr>
        <w:tc>
          <w:tcPr>
            <w:tcW w:w="6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64"/>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b w:val="1"/>
                <w:bCs w:val="1"/>
                <w:color w:val="auto"/>
              </w:rPr>
              <w:t>Finance lease cost:</w:t>
            </w:r>
          </w:p>
        </w:tc>
        <w:tc>
          <w:tcPr>
            <w:tcW w:w="12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r>
      <w:tr>
        <w:trPr>
          <w:trHeight w:val="261"/>
        </w:trPr>
        <w:tc>
          <w:tcPr>
            <w:tcW w:w="6160" w:type="dxa"/>
            <w:vAlign w:val="bottom"/>
          </w:tcPr>
          <w:p>
            <w:pPr>
              <w:ind w:left="280"/>
              <w:spacing w:after="0"/>
              <w:rPr>
                <w:sz w:val="20"/>
                <w:szCs w:val="20"/>
                <w:color w:val="auto"/>
              </w:rPr>
            </w:pPr>
            <w:r>
              <w:rPr>
                <w:rFonts w:ascii="Arial" w:cs="Arial" w:eastAsia="Arial" w:hAnsi="Arial"/>
                <w:sz w:val="20"/>
                <w:szCs w:val="20"/>
                <w:color w:val="auto"/>
              </w:rPr>
              <w:t>Amortization of right-of-use assets</w:t>
            </w: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400" w:type="dxa"/>
            <w:vAlign w:val="bottom"/>
          </w:tcPr>
          <w:p>
            <w:pPr>
              <w:jc w:val="right"/>
              <w:ind w:right="1"/>
              <w:spacing w:after="0"/>
              <w:rPr>
                <w:sz w:val="20"/>
                <w:szCs w:val="20"/>
                <w:color w:val="auto"/>
              </w:rPr>
            </w:pPr>
            <w:r>
              <w:rPr>
                <w:rFonts w:ascii="Arial" w:cs="Arial" w:eastAsia="Arial" w:hAnsi="Arial"/>
                <w:sz w:val="20"/>
                <w:szCs w:val="20"/>
                <w:color w:val="auto"/>
              </w:rPr>
              <w:t>1</w:t>
            </w:r>
          </w:p>
        </w:tc>
        <w:tc>
          <w:tcPr>
            <w:tcW w:w="220" w:type="dxa"/>
            <w:vAlign w:val="bottom"/>
          </w:tcPr>
          <w:p>
            <w:pPr>
              <w:spacing w:after="0"/>
              <w:rPr>
                <w:sz w:val="22"/>
                <w:szCs w:val="22"/>
                <w:color w:val="auto"/>
              </w:rPr>
            </w:pPr>
          </w:p>
        </w:tc>
        <w:tc>
          <w:tcPr>
            <w:tcW w:w="580" w:type="dxa"/>
            <w:vAlign w:val="bottom"/>
          </w:tcPr>
          <w:p>
            <w:pPr>
              <w:jc w:val="right"/>
              <w:ind w:right="361"/>
              <w:spacing w:after="0"/>
              <w:rPr>
                <w:sz w:val="20"/>
                <w:szCs w:val="20"/>
                <w:color w:val="auto"/>
              </w:rPr>
            </w:pPr>
            <w:r>
              <w:rPr>
                <w:rFonts w:ascii="Arial" w:cs="Arial" w:eastAsia="Arial" w:hAnsi="Arial"/>
                <w:sz w:val="20"/>
                <w:szCs w:val="20"/>
                <w:color w:val="auto"/>
                <w:w w:val="89"/>
              </w:rPr>
              <w:t>$</w:t>
            </w:r>
          </w:p>
        </w:tc>
        <w:tc>
          <w:tcPr>
            <w:tcW w:w="1940" w:type="dxa"/>
            <w:vAlign w:val="bottom"/>
          </w:tcPr>
          <w:p>
            <w:pPr>
              <w:jc w:val="right"/>
              <w:ind w:right="1"/>
              <w:spacing w:after="0"/>
              <w:rPr>
                <w:sz w:val="20"/>
                <w:szCs w:val="20"/>
                <w:color w:val="auto"/>
              </w:rPr>
            </w:pPr>
            <w:r>
              <w:rPr>
                <w:rFonts w:ascii="Arial" w:cs="Arial" w:eastAsia="Arial" w:hAnsi="Arial"/>
                <w:sz w:val="20"/>
                <w:szCs w:val="20"/>
                <w:color w:val="auto"/>
              </w:rPr>
              <w:t>1</w:t>
            </w:r>
          </w:p>
        </w:tc>
      </w:tr>
      <w:tr>
        <w:trPr>
          <w:trHeight w:val="23"/>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84"/>
        </w:trPr>
        <w:tc>
          <w:tcPr>
            <w:tcW w:w="6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Interest on lease liabilities</w:t>
            </w:r>
          </w:p>
        </w:tc>
        <w:tc>
          <w:tcPr>
            <w:tcW w:w="120" w:type="dxa"/>
            <w:vAlign w:val="bottom"/>
            <w:tcBorders>
              <w:bottom w:val="single" w:sz="8" w:color="CCEEFF"/>
            </w:tcBorders>
            <w:shd w:val="clear" w:color="auto" w:fill="CCEEFF"/>
          </w:tcPr>
          <w:p>
            <w:pPr>
              <w:spacing w:after="0"/>
              <w:rPr>
                <w:sz w:val="24"/>
                <w:szCs w:val="24"/>
                <w:color w:val="auto"/>
              </w:rPr>
            </w:pPr>
          </w:p>
        </w:tc>
        <w:tc>
          <w:tcPr>
            <w:tcW w:w="24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w:t>
            </w: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w:t>
            </w:r>
          </w:p>
        </w:tc>
      </w:tr>
      <w:tr>
        <w:trPr>
          <w:trHeight w:val="312"/>
        </w:trPr>
        <w:tc>
          <w:tcPr>
            <w:tcW w:w="6160" w:type="dxa"/>
            <w:vAlign w:val="bottom"/>
            <w:tcBorders>
              <w:bottom w:val="single" w:sz="8" w:color="CCEEFF"/>
            </w:tcBorders>
          </w:tcPr>
          <w:p>
            <w:pPr>
              <w:ind w:left="280"/>
              <w:spacing w:after="0"/>
              <w:rPr>
                <w:sz w:val="20"/>
                <w:szCs w:val="20"/>
                <w:color w:val="auto"/>
              </w:rPr>
            </w:pPr>
            <w:r>
              <w:rPr>
                <w:rFonts w:ascii="Arial" w:cs="Arial" w:eastAsia="Arial" w:hAnsi="Arial"/>
                <w:sz w:val="20"/>
                <w:szCs w:val="20"/>
                <w:color w:val="auto"/>
              </w:rPr>
              <w:t>Total finance lease cost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24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2</w:t>
            </w:r>
          </w:p>
        </w:tc>
        <w:tc>
          <w:tcPr>
            <w:tcW w:w="22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20"/>
                <w:szCs w:val="20"/>
                <w:color w:val="auto"/>
                <w:w w:val="89"/>
              </w:rPr>
              <w:t>$</w:t>
            </w:r>
          </w:p>
        </w:tc>
        <w:tc>
          <w:tcPr>
            <w:tcW w:w="19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2</w:t>
            </w:r>
          </w:p>
        </w:tc>
      </w:tr>
      <w:tr>
        <w:trPr>
          <w:trHeight w:val="309"/>
        </w:trPr>
        <w:tc>
          <w:tcPr>
            <w:tcW w:w="6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r>
      <w:tr>
        <w:trPr>
          <w:trHeight w:val="261"/>
        </w:trPr>
        <w:tc>
          <w:tcPr>
            <w:tcW w:w="6160" w:type="dxa"/>
            <w:vAlign w:val="bottom"/>
          </w:tcPr>
          <w:p>
            <w:pPr>
              <w:ind w:left="40"/>
              <w:spacing w:after="0"/>
              <w:rPr>
                <w:sz w:val="20"/>
                <w:szCs w:val="20"/>
                <w:color w:val="auto"/>
              </w:rPr>
            </w:pPr>
            <w:r>
              <w:rPr>
                <w:rFonts w:ascii="Arial" w:cs="Arial" w:eastAsia="Arial" w:hAnsi="Arial"/>
                <w:sz w:val="20"/>
                <w:szCs w:val="20"/>
                <w:b w:val="1"/>
                <w:bCs w:val="1"/>
                <w:color w:val="auto"/>
              </w:rPr>
              <w:t>Variable lease cost</w:t>
            </w: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400" w:type="dxa"/>
            <w:vAlign w:val="bottom"/>
          </w:tcPr>
          <w:p>
            <w:pPr>
              <w:jc w:val="right"/>
              <w:ind w:right="1"/>
              <w:spacing w:after="0"/>
              <w:rPr>
                <w:sz w:val="20"/>
                <w:szCs w:val="20"/>
                <w:color w:val="auto"/>
              </w:rPr>
            </w:pPr>
            <w:r>
              <w:rPr>
                <w:rFonts w:ascii="Arial" w:cs="Arial" w:eastAsia="Arial" w:hAnsi="Arial"/>
                <w:sz w:val="20"/>
                <w:szCs w:val="20"/>
                <w:color w:val="auto"/>
              </w:rPr>
              <w:t>2</w:t>
            </w:r>
          </w:p>
        </w:tc>
        <w:tc>
          <w:tcPr>
            <w:tcW w:w="220" w:type="dxa"/>
            <w:vAlign w:val="bottom"/>
          </w:tcPr>
          <w:p>
            <w:pPr>
              <w:spacing w:after="0"/>
              <w:rPr>
                <w:sz w:val="22"/>
                <w:szCs w:val="22"/>
                <w:color w:val="auto"/>
              </w:rPr>
            </w:pPr>
          </w:p>
        </w:tc>
        <w:tc>
          <w:tcPr>
            <w:tcW w:w="580" w:type="dxa"/>
            <w:vAlign w:val="bottom"/>
          </w:tcPr>
          <w:p>
            <w:pPr>
              <w:jc w:val="right"/>
              <w:ind w:right="361"/>
              <w:spacing w:after="0"/>
              <w:rPr>
                <w:sz w:val="20"/>
                <w:szCs w:val="20"/>
                <w:color w:val="auto"/>
              </w:rPr>
            </w:pPr>
            <w:r>
              <w:rPr>
                <w:rFonts w:ascii="Arial" w:cs="Arial" w:eastAsia="Arial" w:hAnsi="Arial"/>
                <w:sz w:val="20"/>
                <w:szCs w:val="20"/>
                <w:color w:val="auto"/>
                <w:w w:val="89"/>
              </w:rPr>
              <w:t>$</w:t>
            </w:r>
          </w:p>
        </w:tc>
        <w:tc>
          <w:tcPr>
            <w:tcW w:w="1940" w:type="dxa"/>
            <w:vAlign w:val="bottom"/>
          </w:tcPr>
          <w:p>
            <w:pPr>
              <w:jc w:val="right"/>
              <w:ind w:right="1"/>
              <w:spacing w:after="0"/>
              <w:rPr>
                <w:sz w:val="20"/>
                <w:szCs w:val="20"/>
                <w:color w:val="auto"/>
              </w:rPr>
            </w:pPr>
            <w:r>
              <w:rPr>
                <w:rFonts w:ascii="Arial" w:cs="Arial" w:eastAsia="Arial" w:hAnsi="Arial"/>
                <w:sz w:val="20"/>
                <w:szCs w:val="20"/>
                <w:color w:val="auto"/>
              </w:rPr>
              <w:t>11</w:t>
            </w:r>
          </w:p>
        </w:tc>
      </w:tr>
    </w:tbl>
    <w:p>
      <w:pPr>
        <w:spacing w:after="0" w:line="200" w:lineRule="exact"/>
        <w:rPr>
          <w:sz w:val="20"/>
          <w:szCs w:val="20"/>
          <w:color w:val="auto"/>
        </w:rPr>
      </w:pPr>
    </w:p>
    <w:p>
      <w:pPr>
        <w:spacing w:after="0" w:line="252"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Supplemental information related to amounts and presentation of leases in the condensed consolidated balance sheets is presented below (in millions):</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4220" w:type="dxa"/>
            <w:vAlign w:val="bottom"/>
          </w:tcPr>
          <w:p>
            <w:pPr>
              <w:spacing w:after="0"/>
              <w:rPr>
                <w:sz w:val="22"/>
                <w:szCs w:val="22"/>
                <w:color w:val="auto"/>
              </w:rPr>
            </w:pPr>
          </w:p>
        </w:tc>
        <w:tc>
          <w:tcPr>
            <w:tcW w:w="5120" w:type="dxa"/>
            <w:vAlign w:val="bottom"/>
          </w:tcPr>
          <w:p>
            <w:pPr>
              <w:ind w:left="1360"/>
              <w:spacing w:after="0"/>
              <w:rPr>
                <w:sz w:val="20"/>
                <w:szCs w:val="20"/>
                <w:color w:val="auto"/>
              </w:rPr>
            </w:pPr>
            <w:r>
              <w:rPr>
                <w:rFonts w:ascii="Arial" w:cs="Arial" w:eastAsia="Arial" w:hAnsi="Arial"/>
                <w:sz w:val="20"/>
                <w:szCs w:val="20"/>
                <w:b w:val="1"/>
                <w:bCs w:val="1"/>
                <w:color w:val="auto"/>
              </w:rPr>
              <w:t>Balance Sheet Classification</w:t>
            </w:r>
          </w:p>
        </w:tc>
        <w:tc>
          <w:tcPr>
            <w:tcW w:w="280" w:type="dxa"/>
            <w:vAlign w:val="bottom"/>
          </w:tcPr>
          <w:p>
            <w:pPr>
              <w:spacing w:after="0"/>
              <w:rPr>
                <w:sz w:val="22"/>
                <w:szCs w:val="22"/>
                <w:color w:val="auto"/>
              </w:rPr>
            </w:pPr>
          </w:p>
        </w:tc>
        <w:tc>
          <w:tcPr>
            <w:tcW w:w="1760" w:type="dxa"/>
            <w:vAlign w:val="bottom"/>
          </w:tcPr>
          <w:p>
            <w:pPr>
              <w:jc w:val="right"/>
              <w:ind w:right="341"/>
              <w:spacing w:after="0"/>
              <w:rPr>
                <w:sz w:val="20"/>
                <w:szCs w:val="20"/>
                <w:color w:val="auto"/>
              </w:rPr>
            </w:pPr>
            <w:r>
              <w:rPr>
                <w:rFonts w:ascii="Arial" w:cs="Arial" w:eastAsia="Arial" w:hAnsi="Arial"/>
                <w:sz w:val="20"/>
                <w:szCs w:val="20"/>
                <w:b w:val="1"/>
                <w:bCs w:val="1"/>
                <w:color w:val="auto"/>
                <w:w w:val="99"/>
              </w:rPr>
              <w:t>June 30, 2019</w:t>
            </w:r>
          </w:p>
        </w:tc>
        <w:tc>
          <w:tcPr>
            <w:tcW w:w="0" w:type="dxa"/>
            <w:vAlign w:val="bottom"/>
          </w:tcPr>
          <w:p>
            <w:pPr>
              <w:spacing w:after="0"/>
              <w:rPr>
                <w:sz w:val="1"/>
                <w:szCs w:val="1"/>
                <w:color w:val="auto"/>
              </w:rPr>
            </w:pPr>
          </w:p>
        </w:tc>
      </w:tr>
      <w:tr>
        <w:trPr>
          <w:trHeight w:val="23"/>
        </w:trPr>
        <w:tc>
          <w:tcPr>
            <w:tcW w:w="422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Operating Leases:</w:t>
            </w:r>
          </w:p>
        </w:tc>
        <w:tc>
          <w:tcPr>
            <w:tcW w:w="5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220" w:type="dxa"/>
            <w:vAlign w:val="bottom"/>
            <w:vMerge w:val="continue"/>
          </w:tcPr>
          <w:p>
            <w:pPr>
              <w:spacing w:after="0"/>
              <w:rPr>
                <w:sz w:val="20"/>
                <w:szCs w:val="20"/>
                <w:color w:val="auto"/>
              </w:rPr>
            </w:pPr>
          </w:p>
        </w:tc>
        <w:tc>
          <w:tcPr>
            <w:tcW w:w="5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42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20"/>
                <w:szCs w:val="20"/>
                <w:color w:val="auto"/>
              </w:rPr>
              <w:t>Operating lease right-of-use assets</w:t>
            </w:r>
          </w:p>
        </w:tc>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Other noncurrent assets</w:t>
            </w:r>
          </w:p>
        </w:tc>
        <w:tc>
          <w:tcPr>
            <w:tcW w:w="2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7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40</w:t>
            </w:r>
          </w:p>
        </w:tc>
        <w:tc>
          <w:tcPr>
            <w:tcW w:w="0" w:type="dxa"/>
            <w:vAlign w:val="bottom"/>
          </w:tcPr>
          <w:p>
            <w:pPr>
              <w:spacing w:after="0"/>
              <w:rPr>
                <w:sz w:val="1"/>
                <w:szCs w:val="1"/>
                <w:color w:val="auto"/>
              </w:rPr>
            </w:pPr>
          </w:p>
        </w:tc>
      </w:tr>
      <w:tr>
        <w:trPr>
          <w:trHeight w:val="324"/>
        </w:trPr>
        <w:tc>
          <w:tcPr>
            <w:tcW w:w="42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20"/>
                <w:szCs w:val="20"/>
                <w:color w:val="auto"/>
              </w:rPr>
              <w:t>Current liabilities</w:t>
            </w:r>
          </w:p>
        </w:tc>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Accrued expenses and other current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61"/>
        </w:trPr>
        <w:tc>
          <w:tcPr>
            <w:tcW w:w="4220" w:type="dxa"/>
            <w:vAlign w:val="bottom"/>
          </w:tcPr>
          <w:p>
            <w:pPr>
              <w:ind w:left="380"/>
              <w:spacing w:after="0"/>
              <w:rPr>
                <w:sz w:val="20"/>
                <w:szCs w:val="20"/>
                <w:color w:val="auto"/>
              </w:rPr>
            </w:pPr>
            <w:r>
              <w:rPr>
                <w:rFonts w:ascii="Arial" w:cs="Arial" w:eastAsia="Arial" w:hAnsi="Arial"/>
                <w:sz w:val="20"/>
                <w:szCs w:val="20"/>
                <w:color w:val="auto"/>
              </w:rPr>
              <w:t>Noncurrent liabilities</w:t>
            </w:r>
          </w:p>
        </w:tc>
        <w:tc>
          <w:tcPr>
            <w:tcW w:w="5120" w:type="dxa"/>
            <w:vAlign w:val="bottom"/>
          </w:tcPr>
          <w:p>
            <w:pPr>
              <w:ind w:left="20"/>
              <w:spacing w:after="0"/>
              <w:rPr>
                <w:sz w:val="20"/>
                <w:szCs w:val="20"/>
                <w:color w:val="auto"/>
              </w:rPr>
            </w:pPr>
            <w:r>
              <w:rPr>
                <w:rFonts w:ascii="Arial" w:cs="Arial" w:eastAsia="Arial" w:hAnsi="Arial"/>
                <w:sz w:val="20"/>
                <w:szCs w:val="20"/>
                <w:color w:val="auto"/>
              </w:rPr>
              <w:t>Other noncurrent liabilities</w:t>
            </w:r>
          </w:p>
        </w:tc>
        <w:tc>
          <w:tcPr>
            <w:tcW w:w="280" w:type="dxa"/>
            <w:vAlign w:val="bottom"/>
          </w:tcPr>
          <w:p>
            <w:pPr>
              <w:spacing w:after="0"/>
              <w:rPr>
                <w:sz w:val="22"/>
                <w:szCs w:val="22"/>
                <w:color w:val="auto"/>
              </w:rPr>
            </w:pPr>
          </w:p>
        </w:tc>
        <w:tc>
          <w:tcPr>
            <w:tcW w:w="1760" w:type="dxa"/>
            <w:vAlign w:val="bottom"/>
          </w:tcPr>
          <w:p>
            <w:pPr>
              <w:jc w:val="right"/>
              <w:ind w:right="1"/>
              <w:spacing w:after="0"/>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r>
        <w:trPr>
          <w:trHeight w:val="23"/>
        </w:trPr>
        <w:tc>
          <w:tcPr>
            <w:tcW w:w="422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2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20"/>
                <w:szCs w:val="20"/>
                <w:color w:val="auto"/>
              </w:rPr>
              <w:t>Total operating lease liabilities</w:t>
            </w:r>
          </w:p>
        </w:tc>
        <w:tc>
          <w:tcPr>
            <w:tcW w:w="5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40</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2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Finance Leases:</w:t>
            </w:r>
          </w:p>
        </w:tc>
        <w:tc>
          <w:tcPr>
            <w:tcW w:w="5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4220" w:type="dxa"/>
            <w:vAlign w:val="bottom"/>
          </w:tcPr>
          <w:p>
            <w:pPr>
              <w:ind w:left="280"/>
              <w:spacing w:after="0"/>
              <w:rPr>
                <w:sz w:val="20"/>
                <w:szCs w:val="20"/>
                <w:color w:val="auto"/>
              </w:rPr>
            </w:pPr>
            <w:r>
              <w:rPr>
                <w:rFonts w:ascii="Arial" w:cs="Arial" w:eastAsia="Arial" w:hAnsi="Arial"/>
                <w:sz w:val="20"/>
                <w:szCs w:val="20"/>
                <w:color w:val="auto"/>
              </w:rPr>
              <w:t>Finance lease right-of-use assets</w:t>
            </w:r>
          </w:p>
        </w:tc>
        <w:tc>
          <w:tcPr>
            <w:tcW w:w="5120" w:type="dxa"/>
            <w:vAlign w:val="bottom"/>
          </w:tcPr>
          <w:p>
            <w:pPr>
              <w:ind w:left="20"/>
              <w:spacing w:after="0"/>
              <w:rPr>
                <w:sz w:val="20"/>
                <w:szCs w:val="20"/>
                <w:color w:val="auto"/>
              </w:rPr>
            </w:pPr>
            <w:r>
              <w:rPr>
                <w:rFonts w:ascii="Arial" w:cs="Arial" w:eastAsia="Arial" w:hAnsi="Arial"/>
                <w:sz w:val="20"/>
                <w:szCs w:val="20"/>
                <w:color w:val="auto"/>
              </w:rPr>
              <w:t>Electric utility plant, net</w:t>
            </w: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1760" w:type="dxa"/>
            <w:vAlign w:val="bottom"/>
          </w:tcPr>
          <w:p>
            <w:pPr>
              <w:jc w:val="right"/>
              <w:ind w:right="1"/>
              <w:spacing w:after="0"/>
              <w:rPr>
                <w:sz w:val="20"/>
                <w:szCs w:val="20"/>
                <w:color w:val="auto"/>
              </w:rPr>
            </w:pPr>
            <w:r>
              <w:rPr>
                <w:rFonts w:ascii="Arial" w:cs="Arial" w:eastAsia="Arial" w:hAnsi="Arial"/>
                <w:sz w:val="20"/>
                <w:szCs w:val="20"/>
                <w:color w:val="auto"/>
              </w:rPr>
              <w:t>153</w:t>
            </w:r>
          </w:p>
        </w:tc>
        <w:tc>
          <w:tcPr>
            <w:tcW w:w="0" w:type="dxa"/>
            <w:vAlign w:val="bottom"/>
          </w:tcPr>
          <w:p>
            <w:pPr>
              <w:spacing w:after="0"/>
              <w:rPr>
                <w:sz w:val="1"/>
                <w:szCs w:val="1"/>
                <w:color w:val="auto"/>
              </w:rPr>
            </w:pPr>
          </w:p>
        </w:tc>
      </w:tr>
      <w:tr>
        <w:trPr>
          <w:trHeight w:val="23"/>
        </w:trPr>
        <w:tc>
          <w:tcPr>
            <w:tcW w:w="42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220" w:type="dxa"/>
            <w:vAlign w:val="bottom"/>
            <w:shd w:val="clear" w:color="auto" w:fill="CCEEFF"/>
          </w:tcPr>
          <w:p>
            <w:pPr>
              <w:spacing w:after="0"/>
              <w:rPr>
                <w:sz w:val="24"/>
                <w:szCs w:val="24"/>
                <w:color w:val="auto"/>
              </w:rPr>
            </w:pPr>
          </w:p>
        </w:tc>
        <w:tc>
          <w:tcPr>
            <w:tcW w:w="5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220" w:type="dxa"/>
            <w:vAlign w:val="bottom"/>
          </w:tcPr>
          <w:p>
            <w:pPr>
              <w:ind w:left="280"/>
              <w:spacing w:after="0"/>
              <w:rPr>
                <w:sz w:val="20"/>
                <w:szCs w:val="20"/>
                <w:color w:val="auto"/>
              </w:rPr>
            </w:pPr>
            <w:r>
              <w:rPr>
                <w:rFonts w:ascii="Arial" w:cs="Arial" w:eastAsia="Arial" w:hAnsi="Arial"/>
                <w:sz w:val="20"/>
                <w:szCs w:val="20"/>
                <w:color w:val="auto"/>
              </w:rPr>
              <w:t>Current liabilities</w:t>
            </w:r>
          </w:p>
        </w:tc>
        <w:tc>
          <w:tcPr>
            <w:tcW w:w="5120" w:type="dxa"/>
            <w:vAlign w:val="bottom"/>
          </w:tcPr>
          <w:p>
            <w:pPr>
              <w:ind w:left="20"/>
              <w:spacing w:after="0"/>
              <w:rPr>
                <w:sz w:val="20"/>
                <w:szCs w:val="20"/>
                <w:color w:val="auto"/>
              </w:rPr>
            </w:pPr>
            <w:r>
              <w:rPr>
                <w:rFonts w:ascii="Arial" w:cs="Arial" w:eastAsia="Arial" w:hAnsi="Arial"/>
                <w:sz w:val="20"/>
                <w:szCs w:val="20"/>
                <w:color w:val="auto"/>
              </w:rPr>
              <w:t>Current portion of finance lease obligations</w:t>
            </w:r>
          </w:p>
        </w:tc>
        <w:tc>
          <w:tcPr>
            <w:tcW w:w="280" w:type="dxa"/>
            <w:vAlign w:val="bottom"/>
          </w:tcPr>
          <w:p>
            <w:pPr>
              <w:spacing w:after="0"/>
              <w:rPr>
                <w:sz w:val="22"/>
                <w:szCs w:val="22"/>
                <w:color w:val="auto"/>
              </w:rPr>
            </w:pPr>
          </w:p>
        </w:tc>
        <w:tc>
          <w:tcPr>
            <w:tcW w:w="1760" w:type="dxa"/>
            <w:vAlign w:val="bottom"/>
          </w:tcPr>
          <w:p>
            <w:pPr>
              <w:jc w:val="right"/>
              <w:ind w:right="1"/>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23"/>
        </w:trPr>
        <w:tc>
          <w:tcPr>
            <w:tcW w:w="42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Noncurrent liabilities</w:t>
            </w:r>
          </w:p>
        </w:tc>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Finance lease obligations, net of current portion</w:t>
            </w:r>
          </w:p>
        </w:tc>
        <w:tc>
          <w:tcPr>
            <w:tcW w:w="28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137</w:t>
            </w:r>
          </w:p>
        </w:tc>
        <w:tc>
          <w:tcPr>
            <w:tcW w:w="0" w:type="dxa"/>
            <w:vAlign w:val="bottom"/>
          </w:tcPr>
          <w:p>
            <w:pPr>
              <w:spacing w:after="0"/>
              <w:rPr>
                <w:sz w:val="1"/>
                <w:szCs w:val="1"/>
                <w:color w:val="auto"/>
              </w:rPr>
            </w:pPr>
          </w:p>
        </w:tc>
      </w:tr>
      <w:tr>
        <w:trPr>
          <w:trHeight w:val="271"/>
        </w:trPr>
        <w:tc>
          <w:tcPr>
            <w:tcW w:w="4220" w:type="dxa"/>
            <w:vAlign w:val="bottom"/>
          </w:tcPr>
          <w:p>
            <w:pPr>
              <w:ind w:left="700"/>
              <w:spacing w:after="0"/>
              <w:rPr>
                <w:sz w:val="20"/>
                <w:szCs w:val="20"/>
                <w:color w:val="auto"/>
              </w:rPr>
            </w:pPr>
            <w:r>
              <w:rPr>
                <w:rFonts w:ascii="Arial" w:cs="Arial" w:eastAsia="Arial" w:hAnsi="Arial"/>
                <w:sz w:val="20"/>
                <w:szCs w:val="20"/>
                <w:color w:val="auto"/>
              </w:rPr>
              <w:t>Total finance lease liabilities</w:t>
            </w:r>
          </w:p>
        </w:tc>
        <w:tc>
          <w:tcPr>
            <w:tcW w:w="5120" w:type="dxa"/>
            <w:vAlign w:val="bottom"/>
          </w:tcPr>
          <w:p>
            <w:pPr>
              <w:spacing w:after="0"/>
              <w:rPr>
                <w:sz w:val="23"/>
                <w:szCs w:val="23"/>
                <w:color w:val="auto"/>
              </w:rPr>
            </w:pPr>
          </w:p>
        </w:tc>
        <w:tc>
          <w:tcPr>
            <w:tcW w:w="2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20"/>
                <w:szCs w:val="20"/>
                <w:color w:val="auto"/>
                <w:w w:val="89"/>
              </w:rPr>
              <w:t>$</w:t>
            </w:r>
          </w:p>
        </w:tc>
        <w:tc>
          <w:tcPr>
            <w:tcW w:w="17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154</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5120" w:type="dxa"/>
            <w:vAlign w:val="bottom"/>
            <w:vMerge w:val="restart"/>
          </w:tcPr>
          <w:p>
            <w:pPr>
              <w:ind w:left="1380"/>
              <w:spacing w:after="0"/>
              <w:rPr>
                <w:sz w:val="20"/>
                <w:szCs w:val="20"/>
                <w:color w:val="auto"/>
              </w:rPr>
            </w:pPr>
            <w:r>
              <w:rPr>
                <w:rFonts w:ascii="Arial" w:cs="Arial" w:eastAsia="Arial" w:hAnsi="Arial"/>
                <w:sz w:val="18"/>
                <w:szCs w:val="18"/>
                <w:color w:val="auto"/>
              </w:rPr>
              <w:t>32</w:t>
            </w: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422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0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7"/>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8300" w:type="dxa"/>
            <w:vAlign w:val="bottom"/>
            <w:gridSpan w:val="6"/>
          </w:tcPr>
          <w:p>
            <w:pPr>
              <w:jc w:val="center"/>
              <w:ind w:left="481"/>
              <w:spacing w:after="0"/>
              <w:rPr>
                <w:sz w:val="20"/>
                <w:szCs w:val="20"/>
                <w:color w:val="auto"/>
              </w:rPr>
            </w:pPr>
            <w:r>
              <w:rPr>
                <w:rFonts w:ascii="Arial" w:cs="Arial" w:eastAsia="Arial" w:hAnsi="Arial"/>
                <w:sz w:val="20"/>
                <w:szCs w:val="20"/>
                <w:b w:val="1"/>
                <w:bCs w:val="1"/>
                <w:color w:val="auto"/>
              </w:rPr>
              <w:t>PORTLAND GENERAL ELECTRIC COMPANY</w:t>
            </w: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300" w:type="dxa"/>
            <w:vAlign w:val="bottom"/>
            <w:gridSpan w:val="6"/>
          </w:tcPr>
          <w:p>
            <w:pPr>
              <w:jc w:val="center"/>
              <w:ind w:left="461"/>
              <w:spacing w:after="0"/>
              <w:rPr>
                <w:sz w:val="20"/>
                <w:szCs w:val="20"/>
                <w:color w:val="auto"/>
              </w:rPr>
            </w:pPr>
            <w:r>
              <w:rPr>
                <w:rFonts w:ascii="Arial" w:cs="Arial" w:eastAsia="Arial" w:hAnsi="Arial"/>
                <w:sz w:val="20"/>
                <w:szCs w:val="20"/>
                <w:b w:val="1"/>
                <w:bCs w:val="1"/>
                <w:color w:val="auto"/>
                <w:w w:val="97"/>
              </w:rPr>
              <w:t>NOTES TO CONDENSED CONSOLIDATED FINANCIAL STATEMENTS, continued</w:t>
            </w: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20" w:type="dxa"/>
            <w:vAlign w:val="bottom"/>
          </w:tcPr>
          <w:p>
            <w:pPr>
              <w:jc w:val="center"/>
              <w:ind w:left="2761"/>
              <w:spacing w:after="0"/>
              <w:rPr>
                <w:sz w:val="20"/>
                <w:szCs w:val="20"/>
                <w:color w:val="auto"/>
              </w:rPr>
            </w:pPr>
            <w:r>
              <w:rPr>
                <w:rFonts w:ascii="Arial" w:cs="Arial" w:eastAsia="Arial" w:hAnsi="Arial"/>
                <w:sz w:val="20"/>
                <w:szCs w:val="20"/>
                <w:color w:val="auto"/>
                <w:w w:val="91"/>
              </w:rPr>
              <w:t>(Unaudited)</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3"/>
        </w:trPr>
        <w:tc>
          <w:tcPr>
            <w:tcW w:w="7300" w:type="dxa"/>
            <w:vAlign w:val="bottom"/>
            <w:gridSpan w:val="3"/>
          </w:tcPr>
          <w:p>
            <w:pPr>
              <w:spacing w:after="0"/>
              <w:rPr>
                <w:sz w:val="20"/>
                <w:szCs w:val="20"/>
                <w:color w:val="auto"/>
              </w:rPr>
            </w:pPr>
            <w:r>
              <w:rPr>
                <w:rFonts w:ascii="Arial" w:cs="Arial" w:eastAsia="Arial" w:hAnsi="Arial"/>
                <w:sz w:val="20"/>
                <w:szCs w:val="20"/>
                <w:color w:val="auto"/>
              </w:rPr>
              <w:t>Lease term and discount rates were as follows: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right"/>
              <w:ind w:right="381"/>
              <w:spacing w:after="0"/>
              <w:rPr>
                <w:sz w:val="20"/>
                <w:szCs w:val="20"/>
                <w:color w:val="auto"/>
              </w:rPr>
            </w:pPr>
            <w:r>
              <w:rPr>
                <w:rFonts w:ascii="Arial" w:cs="Arial" w:eastAsia="Arial" w:hAnsi="Arial"/>
                <w:sz w:val="20"/>
                <w:szCs w:val="20"/>
                <w:b w:val="1"/>
                <w:bCs w:val="1"/>
                <w:color w:val="auto"/>
                <w:w w:val="89"/>
              </w:rPr>
              <w:t>June 30, 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280" w:type="dxa"/>
            <w:vAlign w:val="bottom"/>
            <w:gridSpan w:val="2"/>
            <w:vMerge w:val="restart"/>
          </w:tcPr>
          <w:p>
            <w:pPr>
              <w:ind w:left="20"/>
              <w:spacing w:after="0"/>
              <w:rPr>
                <w:sz w:val="20"/>
                <w:szCs w:val="20"/>
                <w:color w:val="auto"/>
              </w:rPr>
            </w:pPr>
            <w:r>
              <w:rPr>
                <w:rFonts w:ascii="Arial" w:cs="Arial" w:eastAsia="Arial" w:hAnsi="Arial"/>
                <w:sz w:val="20"/>
                <w:szCs w:val="20"/>
                <w:b w:val="1"/>
                <w:bCs w:val="1"/>
                <w:color w:val="auto"/>
              </w:rPr>
              <w:t>Weighted Average Remaining Lease Term</w:t>
            </w: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72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20"/>
                <w:szCs w:val="20"/>
                <w:color w:val="auto"/>
              </w:rPr>
              <w:t>Operating leases</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rPr>
              <w:t>30 years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7280" w:type="dxa"/>
            <w:vAlign w:val="bottom"/>
            <w:gridSpan w:val="2"/>
          </w:tcPr>
          <w:p>
            <w:pPr>
              <w:ind w:left="280"/>
              <w:spacing w:after="0"/>
              <w:rPr>
                <w:sz w:val="20"/>
                <w:szCs w:val="20"/>
                <w:color w:val="auto"/>
              </w:rPr>
            </w:pPr>
            <w:r>
              <w:rPr>
                <w:rFonts w:ascii="Arial" w:cs="Arial" w:eastAsia="Arial" w:hAnsi="Arial"/>
                <w:sz w:val="20"/>
                <w:szCs w:val="20"/>
                <w:color w:val="auto"/>
              </w:rPr>
              <w:t>Finance leases</w:t>
            </w: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jc w:val="right"/>
              <w:ind w:right="101"/>
              <w:spacing w:after="0"/>
              <w:rPr>
                <w:sz w:val="20"/>
                <w:szCs w:val="20"/>
                <w:color w:val="auto"/>
              </w:rPr>
            </w:pPr>
            <w:r>
              <w:rPr>
                <w:rFonts w:ascii="Arial" w:cs="Arial" w:eastAsia="Arial" w:hAnsi="Arial"/>
                <w:sz w:val="20"/>
                <w:szCs w:val="20"/>
                <w:color w:val="auto"/>
              </w:rPr>
              <w:t>30 years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0" w:type="dxa"/>
            <w:vAlign w:val="bottom"/>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6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7280" w:type="dxa"/>
            <w:vAlign w:val="bottom"/>
            <w:gridSpan w:val="2"/>
          </w:tcPr>
          <w:p>
            <w:pPr>
              <w:ind w:left="20"/>
              <w:spacing w:after="0"/>
              <w:rPr>
                <w:sz w:val="20"/>
                <w:szCs w:val="20"/>
                <w:color w:val="auto"/>
              </w:rPr>
            </w:pPr>
            <w:r>
              <w:rPr>
                <w:rFonts w:ascii="Arial" w:cs="Arial" w:eastAsia="Arial" w:hAnsi="Arial"/>
                <w:sz w:val="20"/>
                <w:szCs w:val="20"/>
                <w:b w:val="1"/>
                <w:bCs w:val="1"/>
                <w:color w:val="auto"/>
              </w:rPr>
              <w:t>Weighted Average Discount Rate</w:t>
            </w: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72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20"/>
                <w:szCs w:val="20"/>
                <w:color w:val="auto"/>
              </w:rPr>
              <w:t>Operating leases</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7280" w:type="dxa"/>
            <w:vAlign w:val="bottom"/>
            <w:gridSpan w:val="2"/>
          </w:tcPr>
          <w:p>
            <w:pPr>
              <w:ind w:left="280"/>
              <w:spacing w:after="0"/>
              <w:rPr>
                <w:sz w:val="20"/>
                <w:szCs w:val="20"/>
                <w:color w:val="auto"/>
              </w:rPr>
            </w:pPr>
            <w:r>
              <w:rPr>
                <w:rFonts w:ascii="Arial" w:cs="Arial" w:eastAsia="Arial" w:hAnsi="Arial"/>
                <w:sz w:val="20"/>
                <w:szCs w:val="20"/>
                <w:color w:val="auto"/>
              </w:rPr>
              <w:t>Finance leases</w:t>
            </w: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7.3%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02"/>
        </w:trPr>
        <w:tc>
          <w:tcPr>
            <w:tcW w:w="11400" w:type="dxa"/>
            <w:vAlign w:val="bottom"/>
            <w:gridSpan w:val="10"/>
          </w:tcPr>
          <w:p>
            <w:pPr>
              <w:spacing w:after="0"/>
              <w:rPr>
                <w:sz w:val="20"/>
                <w:szCs w:val="20"/>
                <w:color w:val="auto"/>
              </w:rPr>
            </w:pPr>
            <w:r>
              <w:rPr>
                <w:rFonts w:ascii="Arial" w:cs="Arial" w:eastAsia="Arial" w:hAnsi="Arial"/>
                <w:sz w:val="20"/>
                <w:szCs w:val="20"/>
                <w:color w:val="auto"/>
                <w:w w:val="97"/>
              </w:rPr>
              <w:t>PGE’s gas storage finance lease contains five 10-year renewal periods which have not been included in the finance lease obligation.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300" w:type="dxa"/>
            <w:vAlign w:val="bottom"/>
            <w:gridSpan w:val="3"/>
          </w:tcPr>
          <w:p>
            <w:pPr>
              <w:spacing w:after="0"/>
              <w:rPr>
                <w:sz w:val="20"/>
                <w:szCs w:val="20"/>
                <w:color w:val="auto"/>
              </w:rPr>
            </w:pPr>
            <w:r>
              <w:rPr>
                <w:rFonts w:ascii="Arial" w:cs="Arial" w:eastAsia="Arial" w:hAnsi="Arial"/>
                <w:sz w:val="20"/>
                <w:szCs w:val="20"/>
                <w:color w:val="auto"/>
              </w:rPr>
              <w:t>As of June 30, 2019, maturities of lease liabilities were as follows (in millions):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4"/>
          </w:tcPr>
          <w:p>
            <w:pPr>
              <w:ind w:left="80"/>
              <w:spacing w:after="0"/>
              <w:rPr>
                <w:sz w:val="20"/>
                <w:szCs w:val="20"/>
                <w:color w:val="auto"/>
              </w:rPr>
            </w:pPr>
            <w:r>
              <w:rPr>
                <w:rFonts w:ascii="Arial" w:cs="Arial" w:eastAsia="Arial" w:hAnsi="Arial"/>
                <w:sz w:val="20"/>
                <w:szCs w:val="20"/>
                <w:b w:val="1"/>
                <w:bCs w:val="1"/>
                <w:color w:val="auto"/>
              </w:rPr>
              <w:t>Operating Leases</w:t>
            </w:r>
          </w:p>
        </w:tc>
        <w:tc>
          <w:tcPr>
            <w:tcW w:w="160" w:type="dxa"/>
            <w:vAlign w:val="bottom"/>
          </w:tcPr>
          <w:p>
            <w:pPr>
              <w:spacing w:after="0"/>
              <w:rPr>
                <w:sz w:val="24"/>
                <w:szCs w:val="24"/>
                <w:color w:val="auto"/>
              </w:rPr>
            </w:pPr>
          </w:p>
        </w:tc>
        <w:tc>
          <w:tcPr>
            <w:tcW w:w="1660" w:type="dxa"/>
            <w:vAlign w:val="bottom"/>
          </w:tcPr>
          <w:p>
            <w:pPr>
              <w:jc w:val="right"/>
              <w:ind w:right="161"/>
              <w:spacing w:after="0"/>
              <w:rPr>
                <w:sz w:val="20"/>
                <w:szCs w:val="20"/>
                <w:color w:val="auto"/>
              </w:rPr>
            </w:pPr>
            <w:r>
              <w:rPr>
                <w:rFonts w:ascii="Arial" w:cs="Arial" w:eastAsia="Arial" w:hAnsi="Arial"/>
                <w:sz w:val="20"/>
                <w:szCs w:val="20"/>
                <w:b w:val="1"/>
                <w:bCs w:val="1"/>
                <w:color w:val="auto"/>
                <w:w w:val="92"/>
              </w:rPr>
              <w:t>Finance Leases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280" w:type="dxa"/>
            <w:vAlign w:val="bottom"/>
            <w:gridSpan w:val="2"/>
          </w:tcPr>
          <w:p>
            <w:pPr>
              <w:spacing w:after="0"/>
              <w:rPr>
                <w:sz w:val="2"/>
                <w:szCs w:val="2"/>
                <w:color w:val="auto"/>
              </w:rPr>
            </w:pPr>
          </w:p>
        </w:tc>
        <w:tc>
          <w:tcPr>
            <w:tcW w:w="6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color w:val="auto"/>
              </w:rPr>
              <w:t>2019</w:t>
            </w:r>
          </w:p>
        </w:tc>
        <w:tc>
          <w:tcPr>
            <w:tcW w:w="60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3</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9</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1280" w:type="dxa"/>
            <w:vAlign w:val="bottom"/>
            <w:gridSpan w:val="2"/>
          </w:tcPr>
          <w:p>
            <w:pPr>
              <w:ind w:left="40"/>
              <w:spacing w:after="0"/>
              <w:rPr>
                <w:sz w:val="20"/>
                <w:szCs w:val="20"/>
                <w:color w:val="auto"/>
              </w:rPr>
            </w:pPr>
            <w:r>
              <w:rPr>
                <w:rFonts w:ascii="Arial" w:cs="Arial" w:eastAsia="Arial" w:hAnsi="Arial"/>
                <w:sz w:val="20"/>
                <w:szCs w:val="20"/>
                <w:color w:val="auto"/>
              </w:rPr>
              <w:t>2020</w:t>
            </w:r>
          </w:p>
        </w:tc>
        <w:tc>
          <w:tcPr>
            <w:tcW w:w="6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60" w:type="dxa"/>
            <w:vAlign w:val="bottom"/>
            <w:gridSpan w:val="2"/>
          </w:tcPr>
          <w:p>
            <w:pPr>
              <w:jc w:val="right"/>
              <w:spacing w:after="0"/>
              <w:rPr>
                <w:sz w:val="20"/>
                <w:szCs w:val="20"/>
                <w:color w:val="auto"/>
              </w:rPr>
            </w:pPr>
            <w:r>
              <w:rPr>
                <w:rFonts w:ascii="Arial" w:cs="Arial" w:eastAsia="Arial" w:hAnsi="Arial"/>
                <w:sz w:val="20"/>
                <w:szCs w:val="20"/>
                <w:color w:val="auto"/>
              </w:rPr>
              <w:t>5</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280" w:type="dxa"/>
            <w:vAlign w:val="bottom"/>
            <w:gridSpan w:val="2"/>
          </w:tcPr>
          <w:p>
            <w:pPr>
              <w:spacing w:after="0"/>
              <w:rPr>
                <w:sz w:val="2"/>
                <w:szCs w:val="2"/>
                <w:color w:val="auto"/>
              </w:rPr>
            </w:pPr>
          </w:p>
        </w:tc>
        <w:tc>
          <w:tcPr>
            <w:tcW w:w="6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1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color w:val="auto"/>
              </w:rPr>
              <w:t>2021</w:t>
            </w:r>
          </w:p>
        </w:tc>
        <w:tc>
          <w:tcPr>
            <w:tcW w:w="60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5</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16</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1280" w:type="dxa"/>
            <w:vAlign w:val="bottom"/>
            <w:gridSpan w:val="2"/>
          </w:tcPr>
          <w:p>
            <w:pPr>
              <w:ind w:left="40"/>
              <w:spacing w:after="0"/>
              <w:rPr>
                <w:sz w:val="20"/>
                <w:szCs w:val="20"/>
                <w:color w:val="auto"/>
              </w:rPr>
            </w:pPr>
            <w:r>
              <w:rPr>
                <w:rFonts w:ascii="Arial" w:cs="Arial" w:eastAsia="Arial" w:hAnsi="Arial"/>
                <w:sz w:val="20"/>
                <w:szCs w:val="20"/>
                <w:color w:val="auto"/>
              </w:rPr>
              <w:t>2022</w:t>
            </w:r>
          </w:p>
        </w:tc>
        <w:tc>
          <w:tcPr>
            <w:tcW w:w="6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60" w:type="dxa"/>
            <w:vAlign w:val="bottom"/>
            <w:gridSpan w:val="2"/>
          </w:tcPr>
          <w:p>
            <w:pPr>
              <w:jc w:val="right"/>
              <w:spacing w:after="0"/>
              <w:rPr>
                <w:sz w:val="20"/>
                <w:szCs w:val="20"/>
                <w:color w:val="auto"/>
              </w:rPr>
            </w:pPr>
            <w:r>
              <w:rPr>
                <w:rFonts w:ascii="Arial" w:cs="Arial" w:eastAsia="Arial" w:hAnsi="Arial"/>
                <w:sz w:val="20"/>
                <w:szCs w:val="20"/>
                <w:color w:val="auto"/>
              </w:rPr>
              <w:t>5</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280" w:type="dxa"/>
            <w:vAlign w:val="bottom"/>
            <w:gridSpan w:val="2"/>
          </w:tcPr>
          <w:p>
            <w:pPr>
              <w:spacing w:after="0"/>
              <w:rPr>
                <w:sz w:val="2"/>
                <w:szCs w:val="2"/>
                <w:color w:val="auto"/>
              </w:rPr>
            </w:pPr>
          </w:p>
        </w:tc>
        <w:tc>
          <w:tcPr>
            <w:tcW w:w="6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1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color w:val="auto"/>
              </w:rPr>
              <w:t>2023</w:t>
            </w:r>
          </w:p>
        </w:tc>
        <w:tc>
          <w:tcPr>
            <w:tcW w:w="60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5</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14</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7280" w:type="dxa"/>
            <w:vAlign w:val="bottom"/>
            <w:gridSpan w:val="2"/>
          </w:tcPr>
          <w:p>
            <w:pPr>
              <w:ind w:left="20"/>
              <w:spacing w:after="0"/>
              <w:rPr>
                <w:sz w:val="20"/>
                <w:szCs w:val="20"/>
                <w:color w:val="auto"/>
              </w:rPr>
            </w:pPr>
            <w:r>
              <w:rPr>
                <w:rFonts w:ascii="Arial" w:cs="Arial" w:eastAsia="Arial" w:hAnsi="Arial"/>
                <w:sz w:val="20"/>
                <w:szCs w:val="20"/>
                <w:color w:val="auto"/>
              </w:rPr>
              <w:t>Thereafter</w:t>
            </w:r>
          </w:p>
        </w:tc>
        <w:tc>
          <w:tcPr>
            <w:tcW w:w="220" w:type="dxa"/>
            <w:vAlign w:val="bottom"/>
          </w:tcPr>
          <w:p>
            <w:pPr>
              <w:spacing w:after="0"/>
              <w:rPr>
                <w:sz w:val="22"/>
                <w:szCs w:val="22"/>
                <w:color w:val="auto"/>
              </w:rPr>
            </w:pPr>
          </w:p>
        </w:tc>
        <w:tc>
          <w:tcPr>
            <w:tcW w:w="1760" w:type="dxa"/>
            <w:vAlign w:val="bottom"/>
            <w:gridSpan w:val="2"/>
          </w:tcPr>
          <w:p>
            <w:pPr>
              <w:jc w:val="right"/>
              <w:spacing w:after="0"/>
              <w:rPr>
                <w:sz w:val="20"/>
                <w:szCs w:val="20"/>
                <w:color w:val="auto"/>
              </w:rPr>
            </w:pPr>
            <w:r>
              <w:rPr>
                <w:rFonts w:ascii="Arial" w:cs="Arial" w:eastAsia="Arial" w:hAnsi="Arial"/>
                <w:sz w:val="20"/>
                <w:szCs w:val="20"/>
                <w:color w:val="auto"/>
              </w:rPr>
              <w:t>53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250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72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20"/>
                <w:szCs w:val="20"/>
                <w:color w:val="auto"/>
              </w:rPr>
              <w:t>Total lease payments</w:t>
            </w:r>
          </w:p>
        </w:tc>
        <w:tc>
          <w:tcPr>
            <w:tcW w:w="2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76</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321</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7280" w:type="dxa"/>
            <w:vAlign w:val="bottom"/>
            <w:gridSpan w:val="2"/>
          </w:tcPr>
          <w:p>
            <w:pPr>
              <w:ind w:left="20"/>
              <w:spacing w:after="0"/>
              <w:rPr>
                <w:sz w:val="20"/>
                <w:szCs w:val="20"/>
                <w:color w:val="auto"/>
              </w:rPr>
            </w:pPr>
            <w:r>
              <w:rPr>
                <w:rFonts w:ascii="Arial" w:cs="Arial" w:eastAsia="Arial" w:hAnsi="Arial"/>
                <w:sz w:val="20"/>
                <w:szCs w:val="20"/>
                <w:color w:val="auto"/>
              </w:rPr>
              <w:t>Less imputed interest</w:t>
            </w:r>
          </w:p>
        </w:tc>
        <w:tc>
          <w:tcPr>
            <w:tcW w:w="220" w:type="dxa"/>
            <w:vAlign w:val="bottom"/>
          </w:tcPr>
          <w:p>
            <w:pPr>
              <w:spacing w:after="0"/>
              <w:rPr>
                <w:sz w:val="22"/>
                <w:szCs w:val="22"/>
                <w:color w:val="auto"/>
              </w:rPr>
            </w:pPr>
          </w:p>
        </w:tc>
        <w:tc>
          <w:tcPr>
            <w:tcW w:w="1840" w:type="dxa"/>
            <w:vAlign w:val="bottom"/>
            <w:gridSpan w:val="3"/>
          </w:tcPr>
          <w:p>
            <w:pPr>
              <w:jc w:val="right"/>
              <w:ind w:right="40"/>
              <w:spacing w:after="0"/>
              <w:rPr>
                <w:sz w:val="20"/>
                <w:szCs w:val="20"/>
                <w:color w:val="auto"/>
              </w:rPr>
            </w:pPr>
            <w:r>
              <w:rPr>
                <w:rFonts w:ascii="Arial" w:cs="Arial" w:eastAsia="Arial" w:hAnsi="Arial"/>
                <w:sz w:val="20"/>
                <w:szCs w:val="20"/>
                <w:color w:val="auto"/>
              </w:rPr>
              <w:t>(36)</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(167)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0" w:type="dxa"/>
            <w:vAlign w:val="bottom"/>
            <w:tcBorders>
              <w:bottom w:val="single" w:sz="8" w:color="CCEEFF"/>
            </w:tcBorders>
            <w:shd w:val="clear" w:color="auto" w:fill="CCEEFF"/>
          </w:tcPr>
          <w:p>
            <w:pPr>
              <w:spacing w:after="0"/>
              <w:rPr>
                <w:sz w:val="23"/>
                <w:szCs w:val="23"/>
                <w:color w:val="auto"/>
              </w:rPr>
            </w:pPr>
          </w:p>
        </w:tc>
        <w:tc>
          <w:tcPr>
            <w:tcW w:w="72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20"/>
                <w:szCs w:val="20"/>
                <w:color w:val="auto"/>
              </w:rPr>
              <w:t>Total</w:t>
            </w: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20"/>
                <w:szCs w:val="20"/>
                <w:color w:val="auto"/>
              </w:rPr>
              <w:t>40</w:t>
            </w:r>
          </w:p>
        </w:tc>
        <w:tc>
          <w:tcPr>
            <w:tcW w:w="8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154</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300" w:type="dxa"/>
            <w:vAlign w:val="bottom"/>
            <w:gridSpan w:val="3"/>
            <w:vMerge w:val="restart"/>
          </w:tcPr>
          <w:p>
            <w:pPr>
              <w:spacing w:after="0"/>
              <w:rPr>
                <w:sz w:val="20"/>
                <w:szCs w:val="20"/>
                <w:color w:val="auto"/>
              </w:rPr>
            </w:pPr>
            <w:r>
              <w:rPr>
                <w:rFonts w:ascii="Arial" w:cs="Arial" w:eastAsia="Arial" w:hAnsi="Arial"/>
                <w:sz w:val="20"/>
                <w:szCs w:val="20"/>
                <w:color w:val="auto"/>
              </w:rPr>
              <w:t>Supplemental cash flow information related to leases was as follows (in millions):</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5"/>
        </w:trPr>
        <w:tc>
          <w:tcPr>
            <w:tcW w:w="730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00" w:type="dxa"/>
            <w:vAlign w:val="bottom"/>
            <w:gridSpan w:val="5"/>
          </w:tcPr>
          <w:p>
            <w:pPr>
              <w:jc w:val="right"/>
              <w:spacing w:after="0"/>
              <w:rPr>
                <w:sz w:val="20"/>
                <w:szCs w:val="20"/>
                <w:color w:val="auto"/>
              </w:rPr>
            </w:pPr>
            <w:r>
              <w:rPr>
                <w:rFonts w:ascii="Arial" w:cs="Arial" w:eastAsia="Arial" w:hAnsi="Arial"/>
                <w:sz w:val="20"/>
                <w:szCs w:val="20"/>
                <w:b w:val="1"/>
                <w:bCs w:val="1"/>
                <w:color w:val="auto"/>
                <w:w w:val="92"/>
              </w:rPr>
              <w:t>Six Months Ended June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jc w:val="right"/>
              <w:ind w:right="941"/>
              <w:spacing w:after="0"/>
              <w:rPr>
                <w:sz w:val="20"/>
                <w:szCs w:val="20"/>
                <w:color w:val="auto"/>
              </w:rPr>
            </w:pPr>
            <w:r>
              <w:rPr>
                <w:rFonts w:ascii="Arial" w:cs="Arial" w:eastAsia="Arial" w:hAnsi="Arial"/>
                <w:sz w:val="20"/>
                <w:szCs w:val="20"/>
                <w:b w:val="1"/>
                <w:bCs w:val="1"/>
                <w:color w:val="auto"/>
              </w:rPr>
              <w:t>2019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280" w:type="dxa"/>
            <w:vAlign w:val="bottom"/>
            <w:gridSpan w:val="2"/>
            <w:vMerge w:val="restart"/>
          </w:tcPr>
          <w:p>
            <w:pPr>
              <w:ind w:left="20"/>
              <w:spacing w:after="0"/>
              <w:rPr>
                <w:sz w:val="20"/>
                <w:szCs w:val="20"/>
                <w:color w:val="auto"/>
              </w:rPr>
            </w:pPr>
            <w:r>
              <w:rPr>
                <w:rFonts w:ascii="Arial" w:cs="Arial" w:eastAsia="Arial" w:hAnsi="Arial"/>
                <w:sz w:val="20"/>
                <w:szCs w:val="20"/>
                <w:color w:val="auto"/>
              </w:rPr>
              <w:t>Cash paid for amounts included in the measurement of lease liabilities*:</w:t>
            </w: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2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20"/>
                <w:szCs w:val="20"/>
                <w:color w:val="auto"/>
              </w:rPr>
              <w:t>Operating cash flows from operating leases</w:t>
            </w:r>
          </w:p>
        </w:tc>
        <w:tc>
          <w:tcPr>
            <w:tcW w:w="2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Right-of-use assets obtained in leasing arrangements:</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7280" w:type="dxa"/>
            <w:vAlign w:val="bottom"/>
            <w:gridSpan w:val="2"/>
          </w:tcPr>
          <w:p>
            <w:pPr>
              <w:ind w:left="260"/>
              <w:spacing w:after="0"/>
              <w:rPr>
                <w:sz w:val="20"/>
                <w:szCs w:val="20"/>
                <w:color w:val="auto"/>
              </w:rPr>
            </w:pPr>
            <w:r>
              <w:rPr>
                <w:rFonts w:ascii="Arial" w:cs="Arial" w:eastAsia="Arial" w:hAnsi="Arial"/>
                <w:sz w:val="20"/>
                <w:szCs w:val="20"/>
                <w:color w:val="auto"/>
              </w:rPr>
              <w:t>Operating leases</w:t>
            </w:r>
          </w:p>
        </w:tc>
        <w:tc>
          <w:tcPr>
            <w:tcW w:w="220" w:type="dxa"/>
            <w:vAlign w:val="bottom"/>
          </w:tcPr>
          <w:p>
            <w:pPr>
              <w:spacing w:after="0"/>
              <w:rPr>
                <w:sz w:val="22"/>
                <w:szCs w:val="22"/>
                <w:color w:val="auto"/>
              </w:rPr>
            </w:pPr>
          </w:p>
        </w:tc>
        <w:tc>
          <w:tcPr>
            <w:tcW w:w="1760" w:type="dxa"/>
            <w:vAlign w:val="bottom"/>
            <w:gridSpan w:val="2"/>
          </w:tcPr>
          <w:p>
            <w:pPr>
              <w:jc w:val="right"/>
              <w:ind w:right="161"/>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42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20" w:type="dxa"/>
            <w:vAlign w:val="bottom"/>
            <w:shd w:val="clear" w:color="auto" w:fill="CCEEFF"/>
          </w:tcPr>
          <w:p>
            <w:pPr>
              <w:spacing w:after="0"/>
              <w:rPr>
                <w:sz w:val="22"/>
                <w:szCs w:val="22"/>
                <w:color w:val="auto"/>
              </w:rPr>
            </w:pPr>
          </w:p>
        </w:tc>
        <w:tc>
          <w:tcPr>
            <w:tcW w:w="7280" w:type="dxa"/>
            <w:vAlign w:val="bottom"/>
            <w:gridSpan w:val="2"/>
            <w:shd w:val="clear" w:color="auto" w:fill="CCEEFF"/>
          </w:tcPr>
          <w:p>
            <w:pPr>
              <w:ind w:left="260"/>
              <w:spacing w:after="0"/>
              <w:rPr>
                <w:sz w:val="20"/>
                <w:szCs w:val="20"/>
                <w:color w:val="auto"/>
              </w:rPr>
            </w:pPr>
            <w:r>
              <w:rPr>
                <w:rFonts w:ascii="Arial" w:cs="Arial" w:eastAsia="Arial" w:hAnsi="Arial"/>
                <w:sz w:val="20"/>
                <w:szCs w:val="20"/>
                <w:color w:val="auto"/>
              </w:rPr>
              <w:t>Finance leases</w:t>
            </w: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154</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60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*Cash paid for recently commenced finance leases was immaterial for the six months ended June 30, 2019.</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08"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ind w:left="420" w:right="1820"/>
        <w:spacing w:after="0" w:line="257" w:lineRule="auto"/>
        <w:rPr>
          <w:sz w:val="20"/>
          <w:szCs w:val="20"/>
          <w:color w:val="auto"/>
        </w:rPr>
      </w:pPr>
      <w:r>
        <w:rPr>
          <w:rFonts w:ascii="Arial" w:cs="Arial" w:eastAsia="Arial" w:hAnsi="Arial"/>
          <w:sz w:val="20"/>
          <w:szCs w:val="20"/>
          <w:b w:val="1"/>
          <w:bCs w:val="1"/>
          <w:color w:val="auto"/>
        </w:rPr>
        <w:t xml:space="preserve">PORTLAND GENERAL ELECTRIC COMPANY NOTES TO CONDENSED CONSOLIDATED FINANCIAL STATEMENTS, continued </w:t>
      </w:r>
      <w:r>
        <w:rPr>
          <w:rFonts w:ascii="Arial" w:cs="Arial" w:eastAsia="Arial" w:hAnsi="Arial"/>
          <w:sz w:val="20"/>
          <w:szCs w:val="20"/>
          <w:color w:val="auto"/>
        </w:rPr>
        <w:t>(Unaudited)</w:t>
      </w:r>
    </w:p>
    <w:p>
      <w:pPr>
        <w:spacing w:after="0" w:line="200" w:lineRule="exact"/>
        <w:rPr>
          <w:sz w:val="20"/>
          <w:szCs w:val="20"/>
          <w:color w:val="auto"/>
        </w:rPr>
      </w:pPr>
    </w:p>
    <w:p>
      <w:pPr>
        <w:spacing w:after="0" w:line="245"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As of June 30, 2019, PGE has an additional operating lease for a power purchase agreement which has not yet commenced. This operating lease is expected to commence in the third quarter of 2019 with lease terms of five years and estimated present value of future lease payments of $15 million.</w:t>
      </w:r>
    </w:p>
    <w:p>
      <w:pPr>
        <w:spacing w:after="0" w:line="200" w:lineRule="exact"/>
        <w:rPr>
          <w:sz w:val="20"/>
          <w:szCs w:val="20"/>
          <w:color w:val="auto"/>
        </w:rPr>
      </w:pPr>
    </w:p>
    <w:p>
      <w:pPr>
        <w:spacing w:after="0" w:line="2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240" w:top="125" w:right="41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line="257" w:lineRule="auto"/>
        <w:rPr>
          <w:sz w:val="20"/>
          <w:szCs w:val="20"/>
          <w:color w:val="auto"/>
        </w:rPr>
      </w:pPr>
      <w:r>
        <w:rPr>
          <w:rFonts w:ascii="Arial" w:cs="Arial" w:eastAsia="Arial" w:hAnsi="Arial"/>
          <w:sz w:val="20"/>
          <w:szCs w:val="20"/>
          <w:b w:val="1"/>
          <w:bCs w:val="1"/>
          <w:color w:val="auto"/>
        </w:rPr>
        <w:t xml:space="preserve">PORTLAND GENERAL ELECTRIC COMPANY NOTES TO CONDENSED CONSOLIDATED FINANCIAL STATEMENTS, continued </w:t>
      </w:r>
      <w:r>
        <w:rPr>
          <w:rFonts w:ascii="Arial" w:cs="Arial" w:eastAsia="Arial" w:hAnsi="Arial"/>
          <w:sz w:val="20"/>
          <w:szCs w:val="20"/>
          <w:color w:val="auto"/>
        </w:rPr>
        <w:t>(Unaudited)</w:t>
      </w: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2018 Lease Obligations</w:t>
      </w:r>
    </w:p>
    <w:p>
      <w:pPr>
        <w:spacing w:after="0" w:line="223" w:lineRule="exact"/>
        <w:rPr>
          <w:sz w:val="20"/>
          <w:szCs w:val="20"/>
          <w:color w:val="auto"/>
        </w:rPr>
      </w:pPr>
    </w:p>
    <w:p>
      <w:pPr>
        <w:ind w:right="560"/>
        <w:spacing w:after="0" w:line="316" w:lineRule="auto"/>
        <w:rPr>
          <w:sz w:val="20"/>
          <w:szCs w:val="20"/>
          <w:color w:val="auto"/>
        </w:rPr>
      </w:pPr>
      <w:r>
        <w:rPr>
          <w:rFonts w:ascii="Arial" w:cs="Arial" w:eastAsia="Arial" w:hAnsi="Arial"/>
          <w:sz w:val="18"/>
          <w:szCs w:val="18"/>
          <w:color w:val="auto"/>
        </w:rPr>
        <w:t>As of December 31, 2018, and pursuant to historical lease accounting under Topic 840, PGE’s estimated future minimum lease payments pursuant to capital, build-to-suit, and operating leases for the following five years and thereafter are as follows (in millions):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80" w:type="dxa"/>
            <w:vAlign w:val="bottom"/>
            <w:gridSpan w:val="6"/>
          </w:tcPr>
          <w:p>
            <w:pPr>
              <w:jc w:val="right"/>
              <w:spacing w:after="0"/>
              <w:rPr>
                <w:sz w:val="20"/>
                <w:szCs w:val="20"/>
                <w:color w:val="auto"/>
              </w:rPr>
            </w:pPr>
            <w:r>
              <w:rPr>
                <w:rFonts w:ascii="Arial" w:cs="Arial" w:eastAsia="Arial" w:hAnsi="Arial"/>
                <w:sz w:val="20"/>
                <w:szCs w:val="20"/>
                <w:b w:val="1"/>
                <w:bCs w:val="1"/>
                <w:color w:val="auto"/>
              </w:rPr>
              <w:t>Future Minimum Lease Payments</w:t>
            </w: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tcPr>
          <w:p>
            <w:pPr>
              <w:jc w:val="right"/>
              <w:ind w:right="261"/>
              <w:spacing w:after="0"/>
              <w:rPr>
                <w:sz w:val="20"/>
                <w:szCs w:val="20"/>
                <w:color w:val="auto"/>
              </w:rPr>
            </w:pPr>
            <w:r>
              <w:rPr>
                <w:rFonts w:ascii="Arial" w:cs="Arial" w:eastAsia="Arial" w:hAnsi="Arial"/>
                <w:sz w:val="20"/>
                <w:szCs w:val="20"/>
                <w:b w:val="1"/>
                <w:bCs w:val="1"/>
                <w:color w:val="auto"/>
                <w:w w:val="94"/>
              </w:rPr>
              <w:t>Capital Leases</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80" w:type="dxa"/>
            <w:vAlign w:val="bottom"/>
            <w:gridSpan w:val="2"/>
          </w:tcPr>
          <w:p>
            <w:pPr>
              <w:ind w:left="180"/>
              <w:spacing w:after="0"/>
              <w:rPr>
                <w:sz w:val="20"/>
                <w:szCs w:val="20"/>
                <w:color w:val="auto"/>
              </w:rPr>
            </w:pPr>
            <w:r>
              <w:rPr>
                <w:rFonts w:ascii="Arial" w:cs="Arial" w:eastAsia="Arial" w:hAnsi="Arial"/>
                <w:sz w:val="20"/>
                <w:szCs w:val="20"/>
                <w:b w:val="1"/>
                <w:bCs w:val="1"/>
                <w:color w:val="auto"/>
              </w:rPr>
              <w:t>Build-to-Suit</w:t>
            </w:r>
          </w:p>
        </w:tc>
        <w:tc>
          <w:tcPr>
            <w:tcW w:w="280" w:type="dxa"/>
            <w:vAlign w:val="bottom"/>
          </w:tcPr>
          <w:p>
            <w:pPr>
              <w:spacing w:after="0"/>
              <w:rPr>
                <w:sz w:val="22"/>
                <w:szCs w:val="22"/>
                <w:color w:val="auto"/>
              </w:rPr>
            </w:pPr>
          </w:p>
        </w:tc>
        <w:tc>
          <w:tcPr>
            <w:tcW w:w="1780" w:type="dxa"/>
            <w:vAlign w:val="bottom"/>
          </w:tcPr>
          <w:p>
            <w:pPr>
              <w:jc w:val="right"/>
              <w:ind w:right="201"/>
              <w:spacing w:after="0"/>
              <w:rPr>
                <w:sz w:val="20"/>
                <w:szCs w:val="20"/>
                <w:color w:val="auto"/>
              </w:rPr>
            </w:pPr>
            <w:r>
              <w:rPr>
                <w:rFonts w:ascii="Arial" w:cs="Arial" w:eastAsia="Arial" w:hAnsi="Arial"/>
                <w:sz w:val="20"/>
                <w:szCs w:val="20"/>
                <w:b w:val="1"/>
                <w:bCs w:val="1"/>
                <w:color w:val="auto"/>
                <w:w w:val="86"/>
              </w:rPr>
              <w:t>Operating Leases</w:t>
            </w:r>
          </w:p>
        </w:tc>
        <w:tc>
          <w:tcPr>
            <w:tcW w:w="0" w:type="dxa"/>
            <w:vAlign w:val="bottom"/>
          </w:tcPr>
          <w:p>
            <w:pPr>
              <w:spacing w:after="0"/>
              <w:rPr>
                <w:sz w:val="1"/>
                <w:szCs w:val="1"/>
                <w:color w:val="auto"/>
              </w:rPr>
            </w:pPr>
          </w:p>
        </w:tc>
      </w:tr>
      <w:tr>
        <w:trPr>
          <w:trHeight w:val="23"/>
        </w:trPr>
        <w:tc>
          <w:tcPr>
            <w:tcW w:w="4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2019</w:t>
            </w: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1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6</w:t>
            </w:r>
          </w:p>
        </w:tc>
        <w:tc>
          <w:tcPr>
            <w:tcW w:w="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1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11</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7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61"/>
        </w:trPr>
        <w:tc>
          <w:tcPr>
            <w:tcW w:w="4920" w:type="dxa"/>
            <w:vAlign w:val="bottom"/>
          </w:tcPr>
          <w:p>
            <w:pPr>
              <w:ind w:left="40"/>
              <w:spacing w:after="0"/>
              <w:rPr>
                <w:sz w:val="20"/>
                <w:szCs w:val="20"/>
                <w:color w:val="auto"/>
              </w:rPr>
            </w:pPr>
            <w:r>
              <w:rPr>
                <w:rFonts w:ascii="Arial" w:cs="Arial" w:eastAsia="Arial" w:hAnsi="Arial"/>
                <w:sz w:val="20"/>
                <w:szCs w:val="20"/>
                <w:color w:val="auto"/>
              </w:rPr>
              <w:t>2020</w:t>
            </w:r>
          </w:p>
        </w:tc>
        <w:tc>
          <w:tcPr>
            <w:tcW w:w="240" w:type="dxa"/>
            <w:vAlign w:val="bottom"/>
          </w:tcPr>
          <w:p>
            <w:pPr>
              <w:spacing w:after="0"/>
              <w:rPr>
                <w:sz w:val="22"/>
                <w:szCs w:val="22"/>
                <w:color w:val="auto"/>
              </w:rPr>
            </w:pPr>
          </w:p>
        </w:tc>
        <w:tc>
          <w:tcPr>
            <w:tcW w:w="1700" w:type="dxa"/>
            <w:vAlign w:val="bottom"/>
          </w:tcPr>
          <w:p>
            <w:pPr>
              <w:jc w:val="right"/>
              <w:ind w:right="21"/>
              <w:spacing w:after="0"/>
              <w:rPr>
                <w:sz w:val="20"/>
                <w:szCs w:val="20"/>
                <w:color w:val="auto"/>
              </w:rPr>
            </w:pPr>
            <w:r>
              <w:rPr>
                <w:rFonts w:ascii="Arial" w:cs="Arial" w:eastAsia="Arial" w:hAnsi="Arial"/>
                <w:sz w:val="20"/>
                <w:szCs w:val="20"/>
                <w:color w:val="auto"/>
              </w:rPr>
              <w:t>6</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60" w:type="dxa"/>
            <w:vAlign w:val="bottom"/>
          </w:tcPr>
          <w:p>
            <w:pPr>
              <w:jc w:val="right"/>
              <w:ind w:right="21"/>
              <w:spacing w:after="0"/>
              <w:rPr>
                <w:sz w:val="20"/>
                <w:szCs w:val="20"/>
                <w:color w:val="auto"/>
              </w:rPr>
            </w:pPr>
            <w:r>
              <w:rPr>
                <w:rFonts w:ascii="Arial" w:cs="Arial" w:eastAsia="Arial" w:hAnsi="Arial"/>
                <w:sz w:val="20"/>
                <w:szCs w:val="20"/>
                <w:color w:val="auto"/>
              </w:rPr>
              <w:t>14</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80" w:type="dxa"/>
            <w:vAlign w:val="bottom"/>
          </w:tcPr>
          <w:p>
            <w:pPr>
              <w:jc w:val="right"/>
              <w:ind w:right="1"/>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3"/>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2021</w:t>
            </w:r>
          </w:p>
        </w:tc>
        <w:tc>
          <w:tcPr>
            <w:tcW w:w="2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6</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13</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61"/>
        </w:trPr>
        <w:tc>
          <w:tcPr>
            <w:tcW w:w="4920" w:type="dxa"/>
            <w:vAlign w:val="bottom"/>
          </w:tcPr>
          <w:p>
            <w:pPr>
              <w:ind w:left="40"/>
              <w:spacing w:after="0"/>
              <w:rPr>
                <w:sz w:val="20"/>
                <w:szCs w:val="20"/>
                <w:color w:val="auto"/>
              </w:rPr>
            </w:pPr>
            <w:r>
              <w:rPr>
                <w:rFonts w:ascii="Arial" w:cs="Arial" w:eastAsia="Arial" w:hAnsi="Arial"/>
                <w:sz w:val="20"/>
                <w:szCs w:val="20"/>
                <w:color w:val="auto"/>
              </w:rPr>
              <w:t>2022</w:t>
            </w:r>
          </w:p>
        </w:tc>
        <w:tc>
          <w:tcPr>
            <w:tcW w:w="240" w:type="dxa"/>
            <w:vAlign w:val="bottom"/>
          </w:tcPr>
          <w:p>
            <w:pPr>
              <w:spacing w:after="0"/>
              <w:rPr>
                <w:sz w:val="22"/>
                <w:szCs w:val="22"/>
                <w:color w:val="auto"/>
              </w:rPr>
            </w:pPr>
          </w:p>
        </w:tc>
        <w:tc>
          <w:tcPr>
            <w:tcW w:w="1700" w:type="dxa"/>
            <w:vAlign w:val="bottom"/>
          </w:tcPr>
          <w:p>
            <w:pPr>
              <w:jc w:val="right"/>
              <w:ind w:right="21"/>
              <w:spacing w:after="0"/>
              <w:rPr>
                <w:sz w:val="20"/>
                <w:szCs w:val="20"/>
                <w:color w:val="auto"/>
              </w:rPr>
            </w:pPr>
            <w:r>
              <w:rPr>
                <w:rFonts w:ascii="Arial" w:cs="Arial" w:eastAsia="Arial" w:hAnsi="Arial"/>
                <w:sz w:val="20"/>
                <w:szCs w:val="20"/>
                <w:color w:val="auto"/>
              </w:rPr>
              <w:t>6</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60" w:type="dxa"/>
            <w:vAlign w:val="bottom"/>
          </w:tcPr>
          <w:p>
            <w:pPr>
              <w:jc w:val="right"/>
              <w:ind w:right="21"/>
              <w:spacing w:after="0"/>
              <w:rPr>
                <w:sz w:val="20"/>
                <w:szCs w:val="20"/>
                <w:color w:val="auto"/>
              </w:rPr>
            </w:pPr>
            <w:r>
              <w:rPr>
                <w:rFonts w:ascii="Arial" w:cs="Arial" w:eastAsia="Arial" w:hAnsi="Arial"/>
                <w:sz w:val="20"/>
                <w:szCs w:val="20"/>
                <w:color w:val="auto"/>
              </w:rPr>
              <w:t>13</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80" w:type="dxa"/>
            <w:vAlign w:val="bottom"/>
          </w:tcPr>
          <w:p>
            <w:pPr>
              <w:jc w:val="right"/>
              <w:ind w:right="1"/>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3"/>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2023</w:t>
            </w:r>
          </w:p>
        </w:tc>
        <w:tc>
          <w:tcPr>
            <w:tcW w:w="2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5</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13</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61"/>
        </w:trPr>
        <w:tc>
          <w:tcPr>
            <w:tcW w:w="4920" w:type="dxa"/>
            <w:vAlign w:val="bottom"/>
          </w:tcPr>
          <w:p>
            <w:pPr>
              <w:ind w:left="40"/>
              <w:spacing w:after="0"/>
              <w:rPr>
                <w:sz w:val="20"/>
                <w:szCs w:val="20"/>
                <w:color w:val="auto"/>
              </w:rPr>
            </w:pPr>
            <w:r>
              <w:rPr>
                <w:rFonts w:ascii="Arial" w:cs="Arial" w:eastAsia="Arial" w:hAnsi="Arial"/>
                <w:sz w:val="20"/>
                <w:szCs w:val="20"/>
                <w:color w:val="auto"/>
              </w:rPr>
              <w:t>Thereafter</w:t>
            </w:r>
          </w:p>
        </w:tc>
        <w:tc>
          <w:tcPr>
            <w:tcW w:w="240" w:type="dxa"/>
            <w:vAlign w:val="bottom"/>
          </w:tcPr>
          <w:p>
            <w:pPr>
              <w:spacing w:after="0"/>
              <w:rPr>
                <w:sz w:val="22"/>
                <w:szCs w:val="22"/>
                <w:color w:val="auto"/>
              </w:rPr>
            </w:pPr>
          </w:p>
        </w:tc>
        <w:tc>
          <w:tcPr>
            <w:tcW w:w="1700" w:type="dxa"/>
            <w:vAlign w:val="bottom"/>
          </w:tcPr>
          <w:p>
            <w:pPr>
              <w:jc w:val="right"/>
              <w:ind w:right="21"/>
              <w:spacing w:after="0"/>
              <w:rPr>
                <w:sz w:val="20"/>
                <w:szCs w:val="20"/>
                <w:color w:val="auto"/>
              </w:rPr>
            </w:pPr>
            <w:r>
              <w:rPr>
                <w:rFonts w:ascii="Arial" w:cs="Arial" w:eastAsia="Arial" w:hAnsi="Arial"/>
                <w:sz w:val="20"/>
                <w:szCs w:val="20"/>
                <w:color w:val="auto"/>
              </w:rPr>
              <w:t>67</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60" w:type="dxa"/>
            <w:vAlign w:val="bottom"/>
          </w:tcPr>
          <w:p>
            <w:pPr>
              <w:jc w:val="right"/>
              <w:ind w:right="21"/>
              <w:spacing w:after="0"/>
              <w:rPr>
                <w:sz w:val="20"/>
                <w:szCs w:val="20"/>
                <w:color w:val="auto"/>
              </w:rPr>
            </w:pPr>
            <w:r>
              <w:rPr>
                <w:rFonts w:ascii="Arial" w:cs="Arial" w:eastAsia="Arial" w:hAnsi="Arial"/>
                <w:sz w:val="20"/>
                <w:szCs w:val="20"/>
                <w:color w:val="auto"/>
              </w:rPr>
              <w:t>225</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80" w:type="dxa"/>
            <w:vAlign w:val="bottom"/>
          </w:tcPr>
          <w:p>
            <w:pPr>
              <w:jc w:val="right"/>
              <w:ind w:right="1"/>
              <w:spacing w:after="0"/>
              <w:rPr>
                <w:sz w:val="20"/>
                <w:szCs w:val="20"/>
                <w:color w:val="auto"/>
              </w:rPr>
            </w:pPr>
            <w:r>
              <w:rPr>
                <w:rFonts w:ascii="Arial" w:cs="Arial" w:eastAsia="Arial" w:hAnsi="Arial"/>
                <w:sz w:val="20"/>
                <w:szCs w:val="20"/>
                <w:color w:val="auto"/>
              </w:rPr>
              <w:t>97</w:t>
            </w:r>
          </w:p>
        </w:tc>
        <w:tc>
          <w:tcPr>
            <w:tcW w:w="0" w:type="dxa"/>
            <w:vAlign w:val="bottom"/>
          </w:tcPr>
          <w:p>
            <w:pPr>
              <w:spacing w:after="0"/>
              <w:rPr>
                <w:sz w:val="1"/>
                <w:szCs w:val="1"/>
                <w:color w:val="auto"/>
              </w:rPr>
            </w:pPr>
          </w:p>
        </w:tc>
      </w:tr>
      <w:tr>
        <w:trPr>
          <w:trHeight w:val="23"/>
        </w:trPr>
        <w:tc>
          <w:tcPr>
            <w:tcW w:w="4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920" w:type="dxa"/>
            <w:vAlign w:val="bottom"/>
            <w:shd w:val="clear" w:color="auto" w:fill="CCEEFF"/>
          </w:tcPr>
          <w:p>
            <w:pPr>
              <w:ind w:left="40"/>
              <w:spacing w:after="0"/>
              <w:rPr>
                <w:sz w:val="20"/>
                <w:szCs w:val="20"/>
                <w:color w:val="auto"/>
              </w:rPr>
            </w:pPr>
            <w:r>
              <w:rPr>
                <w:rFonts w:ascii="Arial" w:cs="Arial" w:eastAsia="Arial" w:hAnsi="Arial"/>
                <w:sz w:val="20"/>
                <w:szCs w:val="20"/>
                <w:color w:val="auto"/>
              </w:rPr>
              <w:t>Total minimum lease payments</w:t>
            </w: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96</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17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289</w:t>
            </w:r>
          </w:p>
        </w:tc>
        <w:tc>
          <w:tcPr>
            <w:tcW w:w="2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7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124</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20"/>
                <w:szCs w:val="20"/>
                <w:color w:val="auto"/>
              </w:rPr>
              <w:t>Less imputed interest</w:t>
            </w:r>
          </w:p>
        </w:tc>
        <w:tc>
          <w:tcPr>
            <w:tcW w:w="2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20"/>
                <w:szCs w:val="20"/>
                <w:color w:val="auto"/>
              </w:rPr>
              <w:t>(47)</w:t>
            </w: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9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4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Present value of net minimum lease payments</w:t>
            </w:r>
          </w:p>
        </w:tc>
        <w:tc>
          <w:tcPr>
            <w:tcW w:w="2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49</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4920" w:type="dxa"/>
            <w:vAlign w:val="bottom"/>
          </w:tcPr>
          <w:p>
            <w:pPr>
              <w:ind w:left="40"/>
              <w:spacing w:after="0"/>
              <w:rPr>
                <w:sz w:val="20"/>
                <w:szCs w:val="20"/>
                <w:color w:val="auto"/>
              </w:rPr>
            </w:pPr>
            <w:r>
              <w:rPr>
                <w:rFonts w:ascii="Arial" w:cs="Arial" w:eastAsia="Arial" w:hAnsi="Arial"/>
                <w:sz w:val="20"/>
                <w:szCs w:val="20"/>
                <w:color w:val="auto"/>
              </w:rPr>
              <w:t>Less current portion</w:t>
            </w:r>
          </w:p>
        </w:tc>
        <w:tc>
          <w:tcPr>
            <w:tcW w:w="24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Arial" w:cs="Arial" w:eastAsia="Arial" w:hAnsi="Arial"/>
                <w:sz w:val="20"/>
                <w:szCs w:val="20"/>
                <w:color w:val="auto"/>
              </w:rPr>
              <w:t>(2)</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Noncurrent portion</w:t>
            </w:r>
          </w:p>
        </w:tc>
        <w:tc>
          <w:tcPr>
            <w:tcW w:w="2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17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47</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right="100"/>
        <w:spacing w:after="0" w:line="263" w:lineRule="auto"/>
        <w:rPr>
          <w:sz w:val="20"/>
          <w:szCs w:val="20"/>
          <w:color w:val="auto"/>
        </w:rPr>
      </w:pPr>
      <w:r>
        <w:rPr>
          <w:rFonts w:ascii="Arial" w:cs="Arial" w:eastAsia="Arial" w:hAnsi="Arial"/>
          <w:sz w:val="19"/>
          <w:szCs w:val="19"/>
          <w:i w:val="1"/>
          <w:iCs w:val="1"/>
          <w:color w:val="auto"/>
        </w:rPr>
        <w:t>Capital Leases</w:t>
      </w:r>
      <w:r>
        <w:rPr>
          <w:rFonts w:ascii="Arial" w:cs="Arial" w:eastAsia="Arial" w:hAnsi="Arial"/>
          <w:sz w:val="19"/>
          <w:szCs w:val="19"/>
          <w:color w:val="auto"/>
        </w:rPr>
        <w:t>—PGE entered into agreements to purchase natural gas transportation capacity via a 24-mile natural gas pipeline, Carty Lateral,</w:t>
      </w:r>
      <w:r>
        <w:rPr>
          <w:rFonts w:ascii="Arial" w:cs="Arial" w:eastAsia="Arial" w:hAnsi="Arial"/>
          <w:sz w:val="19"/>
          <w:szCs w:val="19"/>
          <w:i w:val="1"/>
          <w:iCs w:val="1"/>
          <w:color w:val="auto"/>
        </w:rPr>
        <w:t xml:space="preserve"> </w:t>
      </w:r>
      <w:r>
        <w:rPr>
          <w:rFonts w:ascii="Arial" w:cs="Arial" w:eastAsia="Arial" w:hAnsi="Arial"/>
          <w:sz w:val="19"/>
          <w:szCs w:val="19"/>
          <w:color w:val="auto"/>
        </w:rPr>
        <w:t>that was constructed to serve the Carty facility. The Company has entered into a 30-year agreement to purchase the entire capacity of Carty Lateral, which is approximately 175,000 decatherms per day. At the end of the initial contract term, the Company has the option to renew the agreement in continuous three-year increments with at least 24 months prior written notice.</w:t>
      </w:r>
    </w:p>
    <w:p>
      <w:pPr>
        <w:spacing w:after="0" w:line="190"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color w:val="auto"/>
        </w:rPr>
        <w:t>As of December 31, 2018, a capital lease asset of $57 million and accumulated amortization of such assets of $8 million was reflected within Electric utility plant, net in the condensed consolidated balance sheets. The present value of the future minimum lease payments due under the agreement included $2 million within Accrued expenses and other current liabilities and $47 million in Other noncurrent liabilities on the condensed consolidated balance sheets. For ratemaking purposes capital leases are treated as operating leases; therefore, in accordance with the accounting rules for regulated operations, the amortization of the leased asset is based on the rental payments recovered from customers. Amortization of the leased asset of $3 million and interest expense of $4 million was recorded to Purchased power and fuel expense in the consolidated statements of income through December 31, 2018. Pursuant to the adoption of the new lease accounting standard, Topic 842, PGE derecognized the capital lease obligation and related capital lease asset as it no longer met the definition of a lease.</w:t>
      </w:r>
    </w:p>
    <w:p>
      <w:pPr>
        <w:spacing w:after="0" w:line="183"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i w:val="1"/>
          <w:iCs w:val="1"/>
          <w:color w:val="auto"/>
        </w:rPr>
        <w:t>Build-to-suit</w:t>
      </w:r>
      <w:r>
        <w:rPr>
          <w:rFonts w:ascii="Arial" w:cs="Arial" w:eastAsia="Arial" w:hAnsi="Arial"/>
          <w:sz w:val="18"/>
          <w:szCs w:val="18"/>
          <w:color w:val="auto"/>
        </w:rPr>
        <w:t>—PGE entered into a 30-year lease agreement with a local natural gas company, NW Natural, to expand their current natural gas</w:t>
      </w:r>
      <w:r>
        <w:rPr>
          <w:rFonts w:ascii="Arial" w:cs="Arial" w:eastAsia="Arial" w:hAnsi="Arial"/>
          <w:sz w:val="18"/>
          <w:szCs w:val="18"/>
          <w:i w:val="1"/>
          <w:iCs w:val="1"/>
          <w:color w:val="auto"/>
        </w:rPr>
        <w:t xml:space="preserve"> </w:t>
      </w:r>
      <w:r>
        <w:rPr>
          <w:rFonts w:ascii="Arial" w:cs="Arial" w:eastAsia="Arial" w:hAnsi="Arial"/>
          <w:sz w:val="18"/>
          <w:szCs w:val="18"/>
          <w:color w:val="auto"/>
        </w:rPr>
        <w:t>storage facilities, including the development of an underground storage reservoir and construction of a new compressor station and 13-miles of pipeline, which are collectively designed to provide no-notice storage and transportation services to PGE’s Port Westward and Beaver natural gas-fired generating plants. Pursuant to the agreement, in September 2016, PGE issued NW Natural a Notice To Proceed with construction of the expansion project, which was completed during the second quarter of 2019, at a cost of $149 million. Due to the level of PGE’s involvement during the construction period, the Company was deemed to be the owner of the assets for accounting purposes during the construction period. As a result, PGE recorded $131 million to Construction work-in-progress within Electric utility plant, net and a corresponding liability for the same amount to Other noncurrent liabilities in the condensed consolidated balance sheets as of December 31, 2018. Pursuant to the adoption of the new lease accounting standard, Topic 842, PGE derecognized the build-to-suit assets and liabilities as they are no longer considered to meet the build-to-suit criteria under the new standard.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p>
      <w:pPr>
        <w:spacing w:after="0" w:line="54"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ind w:left="260" w:right="1980"/>
        <w:spacing w:after="0" w:line="257" w:lineRule="auto"/>
        <w:rPr>
          <w:sz w:val="20"/>
          <w:szCs w:val="20"/>
          <w:color w:val="auto"/>
        </w:rPr>
      </w:pPr>
      <w:r>
        <w:rPr>
          <w:rFonts w:ascii="Arial" w:cs="Arial" w:eastAsia="Arial" w:hAnsi="Arial"/>
          <w:sz w:val="20"/>
          <w:szCs w:val="20"/>
          <w:b w:val="1"/>
          <w:bCs w:val="1"/>
          <w:color w:val="auto"/>
        </w:rPr>
        <w:t xml:space="preserve">PORTLAND GENERAL ELECTRIC COMPANY NOTES TO CONDENSED CONSOLIDATED FINANCIAL STATEMENTS, continued </w:t>
      </w:r>
      <w:r>
        <w:rPr>
          <w:rFonts w:ascii="Arial" w:cs="Arial" w:eastAsia="Arial" w:hAnsi="Arial"/>
          <w:sz w:val="20"/>
          <w:szCs w:val="20"/>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The table above reflects PGE’s estimated future minimum lease payments pursuant to the agreement based on estimated costs.</w:t>
      </w:r>
    </w:p>
    <w:p>
      <w:pPr>
        <w:spacing w:after="0" w:line="229"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i w:val="1"/>
          <w:iCs w:val="1"/>
          <w:color w:val="auto"/>
        </w:rPr>
        <w:t>Operating leases</w:t>
      </w:r>
      <w:r>
        <w:rPr>
          <w:rFonts w:ascii="Arial" w:cs="Arial" w:eastAsia="Arial" w:hAnsi="Arial"/>
          <w:sz w:val="20"/>
          <w:szCs w:val="20"/>
          <w:color w:val="auto"/>
        </w:rPr>
        <w:t>—PGE has various operating leases associated with leases of land, support facilities, and power purchase agreements that rely</w:t>
      </w:r>
      <w:r>
        <w:rPr>
          <w:rFonts w:ascii="Arial" w:cs="Arial" w:eastAsia="Arial" w:hAnsi="Arial"/>
          <w:sz w:val="20"/>
          <w:szCs w:val="20"/>
          <w:i w:val="1"/>
          <w:iCs w:val="1"/>
          <w:color w:val="auto"/>
        </w:rPr>
        <w:t xml:space="preserve"> </w:t>
      </w:r>
      <w:r>
        <w:rPr>
          <w:rFonts w:ascii="Arial" w:cs="Arial" w:eastAsia="Arial" w:hAnsi="Arial"/>
          <w:sz w:val="20"/>
          <w:szCs w:val="20"/>
          <w:color w:val="auto"/>
        </w:rPr>
        <w:t>on identified plant that expire in various years, extending through 2096. Rent expense was $7 million in 2018. Contingent rents related to power purchase agreements was $14 million in 2018.</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Sublease income was $4 million in 2018.</w:t>
      </w:r>
    </w:p>
    <w:p>
      <w:pPr>
        <w:spacing w:after="0" w:line="372"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35" w:lineRule="exact"/>
        <w:rPr>
          <w:sz w:val="20"/>
          <w:szCs w:val="20"/>
          <w:color w:val="auto"/>
        </w:rPr>
      </w:pPr>
    </w:p>
    <w:p>
      <w:pPr>
        <w:ind w:right="60"/>
        <w:spacing w:after="0" w:line="259" w:lineRule="auto"/>
        <w:rPr>
          <w:sz w:val="20"/>
          <w:szCs w:val="20"/>
          <w:color w:val="auto"/>
        </w:rPr>
      </w:pPr>
      <w:r>
        <w:rPr>
          <w:rFonts w:ascii="Arial" w:cs="Arial" w:eastAsia="Arial" w:hAnsi="Arial"/>
          <w:sz w:val="19"/>
          <w:szCs w:val="19"/>
          <w:color w:val="auto"/>
        </w:rPr>
        <w:t>The information in this report includes statements that are forward-looking within the meaning of the Private Securities Litigation Reform Act of 1995. Such forward-looking statements include, but are not limited to, statements that relate to expectations, beliefs, plans, assumptions and objectives concerning future results of operations, business prospects, future loads, the outcome of litigation and regulatory proceedings, future capital expenditures, market conditions, future events or performance, and other matters. Words or phrases such as “anticipates,” “believes,” “estimates,” “expects,” “intends,” “plans,” “predicts,” “projects,” “will likely result,” “will continue,” “should,” or similar expressions are intended to identify such forward-looking statements.</w:t>
      </w:r>
    </w:p>
    <w:p>
      <w:pPr>
        <w:spacing w:after="0" w:line="179" w:lineRule="exact"/>
        <w:rPr>
          <w:sz w:val="20"/>
          <w:szCs w:val="20"/>
          <w:color w:val="auto"/>
        </w:rPr>
      </w:pPr>
    </w:p>
    <w:p>
      <w:pPr>
        <w:ind w:right="100"/>
        <w:spacing w:after="0" w:line="260" w:lineRule="auto"/>
        <w:rPr>
          <w:sz w:val="20"/>
          <w:szCs w:val="20"/>
          <w:color w:val="auto"/>
        </w:rPr>
      </w:pPr>
      <w:r>
        <w:rPr>
          <w:rFonts w:ascii="Arial" w:cs="Arial" w:eastAsia="Arial" w:hAnsi="Arial"/>
          <w:sz w:val="19"/>
          <w:szCs w:val="19"/>
          <w:color w:val="auto"/>
        </w:rPr>
        <w:t>Forward-looking statements are not guarantees of future performance and involve risks and uncertainties that could cause actual results or outcomes to differ materially from those expressed. PGE’s forward-looking statements are expressed in good faith and are believed by the Company to have a reasonable basis including, but not limited to, management’s examination of historical operating trends and data contained either in internal records or available from third parties, but there can be no assurance that the expectations, beliefs, or projections contained in such forward-looking statements will be achieved or accomplished.</w:t>
      </w:r>
    </w:p>
    <w:p>
      <w:pPr>
        <w:spacing w:after="0" w:line="181" w:lineRule="exact"/>
        <w:rPr>
          <w:sz w:val="20"/>
          <w:szCs w:val="20"/>
          <w:color w:val="auto"/>
        </w:rPr>
      </w:pPr>
    </w:p>
    <w:p>
      <w:pPr>
        <w:ind w:right="340"/>
        <w:spacing w:after="0" w:line="316" w:lineRule="auto"/>
        <w:rPr>
          <w:sz w:val="20"/>
          <w:szCs w:val="20"/>
          <w:color w:val="auto"/>
        </w:rPr>
      </w:pPr>
      <w:r>
        <w:rPr>
          <w:rFonts w:ascii="Arial" w:cs="Arial" w:eastAsia="Arial" w:hAnsi="Arial"/>
          <w:sz w:val="18"/>
          <w:szCs w:val="18"/>
          <w:color w:val="auto"/>
        </w:rPr>
        <w:t>In addition to any assumptions and other factors and matters referred to specifically in connection with such forward-looking statements, factors that could cause actual results or outcomes for PGE to differ materially from those discussed in forward-looking statements include:</w:t>
      </w:r>
    </w:p>
    <w:p>
      <w:pPr>
        <w:spacing w:after="0" w:line="36" w:lineRule="exact"/>
        <w:rPr>
          <w:sz w:val="20"/>
          <w:szCs w:val="20"/>
          <w:color w:val="auto"/>
        </w:rPr>
      </w:pPr>
    </w:p>
    <w:p>
      <w:pPr>
        <w:ind w:left="660" w:right="60" w:hanging="328"/>
        <w:spacing w:after="0" w:line="263"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9"/>
          <w:szCs w:val="19"/>
          <w:color w:val="auto"/>
        </w:rPr>
        <w:t>governmental policies, legislative actions, and regulatory audits, investigations and actions, including those of the Federal Energy Regulatory Commission and the OPUC with respect to allowed rates of return, financings, electricity pricing and price structures, acquisition and disposal of facilities and other assets, construction and operation of plant facilities, transmission of electricity, recovery of power costs and capital investments, and current or prospective wholesale and retail competition;</w:t>
      </w:r>
    </w:p>
    <w:p>
      <w:pPr>
        <w:spacing w:after="0" w:line="82" w:lineRule="exact"/>
        <w:rPr>
          <w:rFonts w:ascii="Arial" w:cs="Arial" w:eastAsia="Arial" w:hAnsi="Arial"/>
          <w:sz w:val="17"/>
          <w:szCs w:val="17"/>
          <w:color w:val="auto"/>
        </w:rPr>
      </w:pPr>
    </w:p>
    <w:p>
      <w:pPr>
        <w:ind w:left="660" w:right="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20"/>
          <w:szCs w:val="20"/>
          <w:color w:val="auto"/>
        </w:rPr>
        <w:t>economic conditions that result in decreased demand for electricity, reduced revenue from sales of excess energy during periods of low wholesale market prices, impaired financial stability of vendors and service providers, and elevated levels of uncollectible customer accounts;</w:t>
      </w:r>
    </w:p>
    <w:p>
      <w:pPr>
        <w:spacing w:after="0" w:line="91" w:lineRule="exact"/>
        <w:rPr>
          <w:rFonts w:ascii="Arial" w:cs="Arial" w:eastAsia="Arial" w:hAnsi="Arial"/>
          <w:sz w:val="18"/>
          <w:szCs w:val="18"/>
          <w:color w:val="auto"/>
        </w:rPr>
      </w:pPr>
    </w:p>
    <w:p>
      <w:pPr>
        <w:ind w:left="660" w:right="1100" w:hanging="328"/>
        <w:spacing w:after="0" w:line="26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20"/>
          <w:szCs w:val="20"/>
          <w:color w:val="auto"/>
        </w:rPr>
        <w:t>the outcomes of legal and regulatory proceedings and issues including, but not limited to, the matters described in Note 8, Contingencies, in the Notes to the Condensed Consolidated Financial Statements;</w:t>
      </w:r>
    </w:p>
    <w:p>
      <w:pPr>
        <w:spacing w:after="0" w:line="82"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20"/>
          <w:szCs w:val="20"/>
          <w:color w:val="auto"/>
        </w:rPr>
        <w:t>unseasonable or extreme weather and other natural phenomena, which could affect customers’ demand for power and PGE’s ability and cost to procure adequate power and fuel supplies to serve its customers, and could increase the Company’s costs to maintain its generating facilities and transmission and distribution systems;</w:t>
      </w:r>
    </w:p>
    <w:p>
      <w:pPr>
        <w:spacing w:after="0" w:line="91" w:lineRule="exact"/>
        <w:rPr>
          <w:rFonts w:ascii="Arial" w:cs="Arial" w:eastAsia="Arial" w:hAnsi="Arial"/>
          <w:sz w:val="18"/>
          <w:szCs w:val="18"/>
          <w:color w:val="auto"/>
        </w:rPr>
      </w:pPr>
    </w:p>
    <w:p>
      <w:pPr>
        <w:ind w:left="660" w:right="80" w:hanging="328"/>
        <w:spacing w:after="0" w:line="31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operational factors affecting PGE’s power generating facilities, including forced outages, hydro and wind conditions, and disruption of fuel supply, any of which may cause the Company to incur repair costs or purchase replacement power at increased costs;</w:t>
      </w:r>
    </w:p>
    <w:p>
      <w:pPr>
        <w:spacing w:after="0" w:line="35" w:lineRule="exact"/>
        <w:rPr>
          <w:rFonts w:ascii="Arial" w:cs="Arial" w:eastAsia="Arial" w:hAnsi="Arial"/>
          <w:sz w:val="18"/>
          <w:szCs w:val="18"/>
          <w:color w:val="auto"/>
        </w:rPr>
      </w:pPr>
    </w:p>
    <w:p>
      <w:pPr>
        <w:ind w:left="660" w:right="160" w:hanging="328"/>
        <w:spacing w:after="0" w:line="260" w:lineRule="auto"/>
        <w:tabs>
          <w:tab w:leader="none" w:pos="6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failure to complete capital projects on schedule and within budget or the abandonment of capital projects, either of which could result in the Company’s inability to recover any such project costs;</w:t>
      </w:r>
    </w:p>
    <w:p>
      <w:pPr>
        <w:spacing w:after="0" w:line="82"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volatility in wholesale power and natural gas prices, which could require PGE to issue additional letters of credit or post additional cash as collateral with counterparties pursuant to power and natural gas purchase agreements;</w:t>
      </w:r>
    </w:p>
    <w:p>
      <w:pPr>
        <w:spacing w:after="0" w:line="82" w:lineRule="exact"/>
        <w:rPr>
          <w:rFonts w:ascii="Arial" w:cs="Arial" w:eastAsia="Arial" w:hAnsi="Arial"/>
          <w:sz w:val="20"/>
          <w:szCs w:val="20"/>
          <w:color w:val="auto"/>
        </w:rPr>
      </w:pPr>
    </w:p>
    <w:p>
      <w:pPr>
        <w:ind w:left="660" w:right="220" w:hanging="328"/>
        <w:spacing w:after="0" w:line="260" w:lineRule="auto"/>
        <w:tabs>
          <w:tab w:leader="none" w:pos="6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changes in the availability and price of wholesale power and fuels, including natural gas and coal, and the impact of such changes on the Company’s power costs;</w:t>
      </w:r>
    </w:p>
    <w:p>
      <w:pPr>
        <w:spacing w:after="0" w:line="82" w:lineRule="exact"/>
        <w:rPr>
          <w:rFonts w:ascii="Arial" w:cs="Arial" w:eastAsia="Arial" w:hAnsi="Arial"/>
          <w:sz w:val="20"/>
          <w:szCs w:val="20"/>
          <w:color w:val="auto"/>
        </w:rPr>
      </w:pPr>
    </w:p>
    <w:p>
      <w:pPr>
        <w:ind w:left="660" w:right="20" w:hanging="328"/>
        <w:spacing w:after="0" w:line="246" w:lineRule="auto"/>
        <w:tabs>
          <w:tab w:leader="none" w:pos="6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capital market conditions, including availability of capital, volatility of interest rates, reductions in demand for investment-grade commercial paper, as well as changes in PGE’s credit ratings, any of which could have an impact on the Company’s cost of capital and its ability to access the capital markets to support requirements for working capital, construction of capital projects, and the repayments of maturing debt;</w:t>
      </w:r>
    </w:p>
    <w:p>
      <w:pPr>
        <w:spacing w:after="0" w:line="96" w:lineRule="exact"/>
        <w:rPr>
          <w:rFonts w:ascii="Arial" w:cs="Arial" w:eastAsia="Arial" w:hAnsi="Arial"/>
          <w:sz w:val="20"/>
          <w:szCs w:val="20"/>
          <w:color w:val="auto"/>
        </w:rPr>
      </w:pPr>
    </w:p>
    <w:p>
      <w:pPr>
        <w:ind w:left="660" w:right="200" w:hanging="328"/>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future laws, regulations, and proceedings that could increase the Company’s costs of operating its thermal generating plants, or affect the operations of such plants by imposing requirements for additional emissions controls or significant emissions fees or taxes, particularly with respect to coal-fired generating facilities, in order to mitigate carbon dioxide, mercury, and other gas emissions;</w:t>
      </w:r>
    </w:p>
    <w:p>
      <w:pPr>
        <w:spacing w:after="0" w:line="23" w:lineRule="exact"/>
        <w:rPr>
          <w:rFonts w:ascii="Arial" w:cs="Arial" w:eastAsia="Arial" w:hAnsi="Arial"/>
          <w:sz w:val="16"/>
          <w:szCs w:val="16"/>
          <w:color w:val="auto"/>
        </w:rPr>
      </w:pPr>
    </w:p>
    <w:p>
      <w:pPr>
        <w:ind w:left="660" w:right="160" w:hanging="328"/>
        <w:spacing w:after="0" w:line="260" w:lineRule="auto"/>
        <w:tabs>
          <w:tab w:leader="none" w:pos="6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changes in, and compliance with, environmental laws and policies, including those related to threatened and endangered species, fish, and wildlife;</w:t>
      </w:r>
    </w:p>
    <w:p>
      <w:pPr>
        <w:spacing w:after="0" w:line="82" w:lineRule="exact"/>
        <w:rPr>
          <w:rFonts w:ascii="Arial" w:cs="Arial" w:eastAsia="Arial" w:hAnsi="Arial"/>
          <w:sz w:val="20"/>
          <w:szCs w:val="20"/>
          <w:color w:val="auto"/>
        </w:rPr>
      </w:pPr>
    </w:p>
    <w:p>
      <w:pPr>
        <w:ind w:left="660" w:right="140" w:hanging="328"/>
        <w:spacing w:after="0" w:line="260" w:lineRule="auto"/>
        <w:tabs>
          <w:tab w:leader="none" w:pos="6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effects of climate change, including changes in the environment that may affect energy costs or consumption, increase the Company’s costs, or adversely affect its operations;</w:t>
      </w:r>
    </w:p>
    <w:p>
      <w:pPr>
        <w:sectPr>
          <w:pgSz w:w="11900" w:h="16893" w:orient="portrait"/>
          <w:cols w:equalWidth="0" w:num="1">
            <w:col w:w="11400"/>
          </w:cols>
          <w:pgMar w:left="240" w:top="125" w:right="259" w:bottom="0" w:gutter="0" w:footer="0" w:header="0"/>
        </w:sectPr>
      </w:pPr>
    </w:p>
    <w:bookmarkStart w:id="37" w:name="page38"/>
    <w:bookmarkEnd w:id="37"/>
    <w:p>
      <w:pPr>
        <w:ind w:left="660" w:hanging="328"/>
        <w:spacing w:after="0"/>
        <w:tabs>
          <w:tab w:leader="none" w:pos="660" w:val="left"/>
        </w:tabs>
        <w:numPr>
          <w:ilvl w:val="0"/>
          <w:numId w:val="11"/>
        </w:numPr>
        <w:rPr>
          <w:rFonts w:ascii="Arial" w:cs="Arial" w:eastAsia="Arial" w:hAnsi="Arial"/>
          <w:sz w:val="19"/>
          <w:szCs w:val="19"/>
          <w:color w:val="auto"/>
        </w:rPr>
      </w:pPr>
      <w:r>
        <w:rPr>
          <w:rFonts w:ascii="Arial" w:cs="Arial" w:eastAsia="Arial" w:hAnsi="Arial"/>
          <w:sz w:val="19"/>
          <w:szCs w:val="19"/>
          <w:color w:val="auto"/>
        </w:rPr>
        <w:t>changes in residential, commercial, and industrial customer growth, and in demographic patterns, in PGE’s service territory;</w:t>
      </w:r>
    </w:p>
    <w:p>
      <w:pPr>
        <w:spacing w:after="0" w:line="132" w:lineRule="exact"/>
        <w:rPr>
          <w:rFonts w:ascii="Arial" w:cs="Arial" w:eastAsia="Arial" w:hAnsi="Arial"/>
          <w:sz w:val="19"/>
          <w:szCs w:val="19"/>
          <w:color w:val="auto"/>
        </w:rPr>
      </w:pPr>
    </w:p>
    <w:p>
      <w:pPr>
        <w:ind w:left="660" w:hanging="328"/>
        <w:spacing w:after="0"/>
        <w:tabs>
          <w:tab w:leader="none" w:pos="6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ineffective execution of PGE’s risk management policies and procedures;</w:t>
      </w:r>
    </w:p>
    <w:p>
      <w:pPr>
        <w:spacing w:after="0" w:line="121"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declines in the fair value of securities held for the defined benefit pension plans and other benefit plans, which could result in increased funding requirements for such plans;</w:t>
      </w:r>
    </w:p>
    <w:p>
      <w:pPr>
        <w:spacing w:after="0" w:line="82" w:lineRule="exact"/>
        <w:rPr>
          <w:rFonts w:ascii="Arial" w:cs="Arial" w:eastAsia="Arial" w:hAnsi="Arial"/>
          <w:sz w:val="20"/>
          <w:szCs w:val="20"/>
          <w:color w:val="auto"/>
        </w:rPr>
      </w:pPr>
    </w:p>
    <w:p>
      <w:pPr>
        <w:ind w:left="660" w:right="80" w:hanging="328"/>
        <w:spacing w:after="0" w:line="250" w:lineRule="auto"/>
        <w:tabs>
          <w:tab w:leader="none" w:pos="6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cyber security attacks, data security breaches, or other malicious acts that may cause damage to the Company’s generation, transmission, and distribution facilities or information technology systems, or result in the release of confidential customer, employee, or Company information;</w:t>
      </w:r>
    </w:p>
    <w:p>
      <w:pPr>
        <w:spacing w:after="0" w:line="91" w:lineRule="exact"/>
        <w:rPr>
          <w:rFonts w:ascii="Arial" w:cs="Arial" w:eastAsia="Arial" w:hAnsi="Arial"/>
          <w:sz w:val="20"/>
          <w:szCs w:val="20"/>
          <w:color w:val="auto"/>
        </w:rPr>
      </w:pPr>
    </w:p>
    <w:p>
      <w:pPr>
        <w:ind w:left="660" w:hanging="328"/>
        <w:spacing w:after="0"/>
        <w:tabs>
          <w:tab w:leader="none" w:pos="6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employee workforce factors, including potential strikes, work stoppages, and transitions in senior management;</w:t>
      </w:r>
    </w:p>
    <w:p>
      <w:pPr>
        <w:spacing w:after="0" w:line="121" w:lineRule="exact"/>
        <w:rPr>
          <w:rFonts w:ascii="Arial" w:cs="Arial" w:eastAsia="Arial" w:hAnsi="Arial"/>
          <w:sz w:val="20"/>
          <w:szCs w:val="20"/>
          <w:color w:val="auto"/>
        </w:rPr>
      </w:pPr>
    </w:p>
    <w:p>
      <w:pPr>
        <w:ind w:left="660" w:hanging="328"/>
        <w:spacing w:after="0"/>
        <w:tabs>
          <w:tab w:leader="none" w:pos="6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new federal, state, and local laws that could have adverse effects on operating results;</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political and economic conditions;</w:t>
      </w:r>
    </w:p>
    <w:p>
      <w:pPr>
        <w:spacing w:after="0" w:line="134" w:lineRule="exact"/>
        <w:rPr>
          <w:rFonts w:ascii="Arial" w:cs="Arial" w:eastAsia="Arial" w:hAnsi="Arial"/>
          <w:sz w:val="20"/>
          <w:szCs w:val="20"/>
          <w:color w:val="auto"/>
        </w:rPr>
      </w:pPr>
    </w:p>
    <w:p>
      <w:pPr>
        <w:ind w:left="720" w:hanging="388"/>
        <w:spacing w:after="0"/>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natural disasters and other risks, such as earthquake, flood, drought, lightning, wind, and fire;</w:t>
      </w:r>
    </w:p>
    <w:p>
      <w:pPr>
        <w:spacing w:after="0" w:line="134" w:lineRule="exact"/>
        <w:rPr>
          <w:rFonts w:ascii="Arial" w:cs="Arial" w:eastAsia="Arial" w:hAnsi="Arial"/>
          <w:sz w:val="20"/>
          <w:szCs w:val="20"/>
          <w:color w:val="auto"/>
        </w:rPr>
      </w:pPr>
    </w:p>
    <w:p>
      <w:pPr>
        <w:ind w:left="660" w:hanging="328"/>
        <w:spacing w:after="0"/>
        <w:tabs>
          <w:tab w:leader="none" w:pos="6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changes in financial or regulatory accounting principles or policies imposed by governing bodies; and</w:t>
      </w:r>
    </w:p>
    <w:p>
      <w:pPr>
        <w:spacing w:after="0" w:line="121" w:lineRule="exact"/>
        <w:rPr>
          <w:rFonts w:ascii="Arial" w:cs="Arial" w:eastAsia="Arial" w:hAnsi="Arial"/>
          <w:sz w:val="20"/>
          <w:szCs w:val="20"/>
          <w:color w:val="auto"/>
        </w:rPr>
      </w:pPr>
    </w:p>
    <w:p>
      <w:pPr>
        <w:ind w:left="660" w:hanging="328"/>
        <w:spacing w:after="0"/>
        <w:tabs>
          <w:tab w:leader="none" w:pos="6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acts of war or terrorism.</w:t>
      </w:r>
    </w:p>
    <w:p>
      <w:pPr>
        <w:spacing w:after="0" w:line="216"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Any forward-looking statement speaks only as of the date on which such statement is made and, except as required by law, PGE undertakes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or assess the impact of</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244" w:right="299" w:bottom="1440" w:gutter="0" w:footer="0" w:header="0"/>
        </w:sectPr>
      </w:pPr>
    </w:p>
    <w:bookmarkStart w:id="38" w:name="page39"/>
    <w:bookmarkEnd w:id="38"/>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300"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any such factor on the business or the extent to which any factor, or combination of factors, may cause results to differ materially from those contained in any forward-looking statement.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35"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color w:val="auto"/>
        </w:rPr>
        <w:t>Management’s Discussion and Analysis of Financial Condition and Results of Operations (MD&amp;A) is intended to provide an understanding of the business environment, results of operations, and financial condition of PGE. This MD&amp;A should be read in conjunction with the Company’s condensed consolidated financial statements contained in this report, as well as the consolidated financial statements and disclosures in its Annual Report on Form 10-K for the year ended December 31, 2018, and other periodic and current reports filed with the SEC.</w:t>
      </w:r>
    </w:p>
    <w:p>
      <w:pPr>
        <w:spacing w:after="0" w:line="208" w:lineRule="exact"/>
        <w:rPr>
          <w:sz w:val="20"/>
          <w:szCs w:val="20"/>
          <w:color w:val="auto"/>
        </w:rPr>
      </w:pPr>
    </w:p>
    <w:p>
      <w:pPr>
        <w:jc w:val="both"/>
        <w:ind w:right="220"/>
        <w:spacing w:after="0" w:line="269" w:lineRule="auto"/>
        <w:rPr>
          <w:sz w:val="20"/>
          <w:szCs w:val="20"/>
          <w:color w:val="auto"/>
        </w:rPr>
      </w:pPr>
      <w:r>
        <w:rPr>
          <w:rFonts w:ascii="Arial" w:cs="Arial" w:eastAsia="Arial" w:hAnsi="Arial"/>
          <w:sz w:val="19"/>
          <w:szCs w:val="19"/>
          <w:color w:val="auto"/>
        </w:rPr>
        <w:t>PGE is a vertically-integrated electric utility engaged in the generation, transmission, distribution, and retail sale of electricity, as well as the wholesale purchase and sale of electricity and natural gas in order to meet the needs of its retail customers. The Company generates revenues and cash flows primarily from the sale and distribution of electricity to retail customers in its service territory.</w:t>
      </w:r>
    </w:p>
    <w:p>
      <w:pPr>
        <w:spacing w:after="0" w:line="184" w:lineRule="exact"/>
        <w:rPr>
          <w:sz w:val="20"/>
          <w:szCs w:val="20"/>
          <w:color w:val="auto"/>
        </w:rPr>
      </w:pPr>
    </w:p>
    <w:p>
      <w:pPr>
        <w:ind w:right="480"/>
        <w:spacing w:after="0" w:line="260" w:lineRule="auto"/>
        <w:rPr>
          <w:sz w:val="20"/>
          <w:szCs w:val="20"/>
          <w:color w:val="auto"/>
        </w:rPr>
      </w:pPr>
      <w:r>
        <w:rPr>
          <w:rFonts w:ascii="Arial" w:cs="Arial" w:eastAsia="Arial" w:hAnsi="Arial"/>
          <w:sz w:val="20"/>
          <w:szCs w:val="20"/>
          <w:color w:val="auto"/>
        </w:rPr>
        <w:t>PGE’s strategy is focused on four pillars: i) delivering exceptional customer service; ii) investing in a reliable and clean energy future; iii) building a smarter, more resilient grid; and iv) pursuing excellence in its work.</w:t>
      </w:r>
    </w:p>
    <w:p>
      <w:pPr>
        <w:spacing w:after="0" w:line="171" w:lineRule="exact"/>
        <w:rPr>
          <w:sz w:val="20"/>
          <w:szCs w:val="20"/>
          <w:color w:val="auto"/>
        </w:rPr>
      </w:pPr>
    </w:p>
    <w:p>
      <w:pPr>
        <w:jc w:val="both"/>
        <w:ind w:right="460"/>
        <w:spacing w:after="0" w:line="253" w:lineRule="auto"/>
        <w:rPr>
          <w:sz w:val="20"/>
          <w:szCs w:val="20"/>
          <w:color w:val="auto"/>
        </w:rPr>
      </w:pPr>
      <w:r>
        <w:rPr>
          <w:rFonts w:ascii="Arial" w:cs="Arial" w:eastAsia="Arial" w:hAnsi="Arial"/>
          <w:sz w:val="20"/>
          <w:szCs w:val="20"/>
          <w:b w:val="1"/>
          <w:bCs w:val="1"/>
          <w:color w:val="auto"/>
        </w:rPr>
        <w:t>Delivering Exceptional Customer Service</w:t>
      </w:r>
      <w:r>
        <w:rPr>
          <w:rFonts w:ascii="Arial" w:cs="Arial" w:eastAsia="Arial" w:hAnsi="Arial"/>
          <w:sz w:val="20"/>
          <w:szCs w:val="20"/>
          <w:color w:val="auto"/>
        </w:rPr>
        <w:t>—PGE’s focus on creating value for customers includes responding to customer expectations,</w:t>
      </w:r>
      <w:r>
        <w:rPr>
          <w:rFonts w:ascii="Arial" w:cs="Arial" w:eastAsia="Arial" w:hAnsi="Arial"/>
          <w:sz w:val="20"/>
          <w:szCs w:val="20"/>
          <w:b w:val="1"/>
          <w:bCs w:val="1"/>
          <w:color w:val="auto"/>
        </w:rPr>
        <w:t xml:space="preserve"> </w:t>
      </w:r>
      <w:r>
        <w:rPr>
          <w:rFonts w:ascii="Arial" w:cs="Arial" w:eastAsia="Arial" w:hAnsi="Arial"/>
          <w:sz w:val="20"/>
          <w:szCs w:val="20"/>
          <w:color w:val="auto"/>
        </w:rPr>
        <w:t>envisioning and advocating for a regulatory framework that serves customer’s needs, and ensuring the company contributes to building an equitable society.</w:t>
      </w:r>
    </w:p>
    <w:p>
      <w:pPr>
        <w:spacing w:after="0" w:line="184"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PGE’s customers continue to express a commitment to purchasing clean energy. Over 210,000 customers voluntarily participate in PGE’s Green Future Program, the largest renewable power program by participation in the nation. In 2017, Oregon’s most populous city, Portland, and most populous county, Multnomah, each passed resolutions to achieve 100 percent clean and renewable electricity by 2035 and 100 percent economy-wide clean and renewable energy by 2050. Other jurisdictions in PGE’s service area continue to consider similar goals.</w:t>
      </w:r>
    </w:p>
    <w:p>
      <w:pPr>
        <w:spacing w:after="0" w:line="162" w:lineRule="exact"/>
        <w:rPr>
          <w:sz w:val="20"/>
          <w:szCs w:val="20"/>
          <w:color w:val="auto"/>
        </w:rPr>
      </w:pPr>
    </w:p>
    <w:p>
      <w:pPr>
        <w:ind w:right="240"/>
        <w:spacing w:after="0" w:line="260" w:lineRule="auto"/>
        <w:rPr>
          <w:sz w:val="20"/>
          <w:szCs w:val="20"/>
          <w:color w:val="auto"/>
        </w:rPr>
      </w:pPr>
      <w:r>
        <w:rPr>
          <w:rFonts w:ascii="Arial" w:cs="Arial" w:eastAsia="Arial" w:hAnsi="Arial"/>
          <w:sz w:val="19"/>
          <w:szCs w:val="19"/>
          <w:color w:val="auto"/>
        </w:rPr>
        <w:t>As a result, the Company is in the process of implementing a new customer product option, the Green Tariff program, which allows for 100 megawatts (MW) of PGE-provided power purchase agreements for renewable resources and up to 200 MW of customer-provided renewable resources and will provide business customers access to bundled renewable energy from those resources. The Green Tariff program was approved by the OPUC in the first quarter 2019. Through this voluntary tariff, the Company seeks to align sustainability goals, cost and risk management, reliable integrated power, and a cleaner energy system.</w:t>
      </w:r>
    </w:p>
    <w:p>
      <w:pPr>
        <w:spacing w:after="0" w:line="181" w:lineRule="exact"/>
        <w:rPr>
          <w:sz w:val="20"/>
          <w:szCs w:val="20"/>
          <w:color w:val="auto"/>
        </w:rPr>
      </w:pPr>
    </w:p>
    <w:p>
      <w:pPr>
        <w:ind w:right="240"/>
        <w:spacing w:after="0" w:line="250" w:lineRule="auto"/>
        <w:rPr>
          <w:sz w:val="20"/>
          <w:szCs w:val="20"/>
          <w:color w:val="auto"/>
        </w:rPr>
      </w:pPr>
      <w:r>
        <w:rPr>
          <w:rFonts w:ascii="Arial" w:cs="Arial" w:eastAsia="Arial" w:hAnsi="Arial"/>
          <w:sz w:val="20"/>
          <w:szCs w:val="20"/>
          <w:color w:val="auto"/>
        </w:rPr>
        <w:t>PGE has structured the tariff so that Green Tariff subscribers continue to pay the existing cost of service tariff rate plus the rate under the renewable energy option tariff. This structure is intended to avoid stranded cost and cost shifting. Renewable power provided under the tariff will be procured through power purchase agreements.</w:t>
      </w:r>
    </w:p>
    <w:p>
      <w:pPr>
        <w:spacing w:after="0" w:line="200"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Recent legislative developments that have shaped the regulatory framework include Senate Bill 978 (SB 978), which was passed by the Oregon legislature in 2017. SB 978 directed the OPUC to investigate and provide a report to the Oregon legislature on how developing industry trends, technology, and policy drivers in the electricity sector might impact the existing regulatory system and incentives. The September 2018 report outlined the OPUC’s commitment to:</w:t>
      </w:r>
    </w:p>
    <w:p>
      <w:pPr>
        <w:spacing w:after="0" w:line="83" w:lineRule="exact"/>
        <w:rPr>
          <w:sz w:val="20"/>
          <w:szCs w:val="20"/>
          <w:color w:val="auto"/>
        </w:rPr>
      </w:pPr>
    </w:p>
    <w:p>
      <w:pPr>
        <w:ind w:left="420" w:right="460" w:hanging="331"/>
        <w:spacing w:after="0" w:line="260" w:lineRule="auto"/>
        <w:tabs>
          <w:tab w:leader="none" w:pos="4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explore performance-based ratemaking and other regulatory tools to align utility incentives with customer goals, industry trends, and statewide goals;</w:t>
      </w:r>
    </w:p>
    <w:p>
      <w:pPr>
        <w:spacing w:after="0" w:line="69" w:lineRule="exact"/>
        <w:rPr>
          <w:sz w:val="20"/>
          <w:szCs w:val="20"/>
          <w:color w:val="auto"/>
        </w:rPr>
      </w:pPr>
    </w:p>
    <w:p>
      <w:pPr>
        <w:ind w:left="420" w:hanging="331"/>
        <w:spacing w:after="0"/>
        <w:tabs>
          <w:tab w:leader="none" w:pos="4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cooperate with other states to support and explore development of an organized, regional market;</w:t>
      </w:r>
    </w:p>
    <w:p>
      <w:pPr>
        <w:spacing w:after="0" w:line="107" w:lineRule="exact"/>
        <w:rPr>
          <w:rFonts w:ascii="Arial" w:cs="Arial" w:eastAsia="Arial" w:hAnsi="Arial"/>
          <w:sz w:val="20"/>
          <w:szCs w:val="20"/>
          <w:color w:val="auto"/>
        </w:rPr>
      </w:pPr>
    </w:p>
    <w:p>
      <w:pPr>
        <w:ind w:left="420" w:hanging="331"/>
        <w:spacing w:after="0" w:line="260" w:lineRule="auto"/>
        <w:tabs>
          <w:tab w:leader="none" w:pos="4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develop a strategy for low income and environmental justice groups’ engagement and inclusion in OPUC processes that will carry forward beyond the SB 978 proceeding; and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2" w:right="259" w:bottom="1440" w:gutter="0" w:footer="0" w:header="0"/>
        </w:sectPr>
      </w:pPr>
    </w:p>
    <w:bookmarkStart w:id="39" w:name="page40"/>
    <w:bookmarkEnd w:id="39"/>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0" w:hanging="331"/>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improve the OPUC’s regulatory tools to value system costs and benefits, which enables customer choice and a strong utility system.</w:t>
      </w:r>
    </w:p>
    <w:p>
      <w:pPr>
        <w:spacing w:after="0" w:line="246" w:lineRule="exact"/>
        <w:rPr>
          <w:sz w:val="20"/>
          <w:szCs w:val="20"/>
          <w:color w:val="auto"/>
        </w:rPr>
      </w:pPr>
    </w:p>
    <w:p>
      <w:pPr>
        <w:ind w:right="380"/>
        <w:spacing w:after="0" w:line="248" w:lineRule="auto"/>
        <w:rPr>
          <w:sz w:val="20"/>
          <w:szCs w:val="20"/>
          <w:color w:val="auto"/>
        </w:rPr>
      </w:pPr>
      <w:r>
        <w:rPr>
          <w:rFonts w:ascii="Arial" w:cs="Arial" w:eastAsia="Arial" w:hAnsi="Arial"/>
          <w:sz w:val="20"/>
          <w:szCs w:val="20"/>
          <w:b w:val="1"/>
          <w:bCs w:val="1"/>
          <w:color w:val="auto"/>
        </w:rPr>
        <w:t>Investing in a Reliable and Clean Energy Future</w:t>
      </w:r>
      <w:r>
        <w:rPr>
          <w:rFonts w:ascii="Arial" w:cs="Arial" w:eastAsia="Arial" w:hAnsi="Arial"/>
          <w:sz w:val="20"/>
          <w:szCs w:val="20"/>
          <w:color w:val="auto"/>
        </w:rPr>
        <w:t>—PGE partners with our customers and local and state governments to advance a clean</w:t>
      </w:r>
      <w:r>
        <w:rPr>
          <w:rFonts w:ascii="Arial" w:cs="Arial" w:eastAsia="Arial" w:hAnsi="Arial"/>
          <w:sz w:val="20"/>
          <w:szCs w:val="20"/>
          <w:b w:val="1"/>
          <w:bCs w:val="1"/>
          <w:color w:val="auto"/>
        </w:rPr>
        <w:t xml:space="preserve"> </w:t>
      </w:r>
      <w:r>
        <w:rPr>
          <w:rFonts w:ascii="Arial" w:cs="Arial" w:eastAsia="Arial" w:hAnsi="Arial"/>
          <w:sz w:val="20"/>
          <w:szCs w:val="20"/>
          <w:color w:val="auto"/>
        </w:rPr>
        <w:t>energy future. In pursuit of this future, PGE continues to drive down emissions using a diverse portfolio of clean and renewable energy resources, and at the same time promoting economy-wide emission reductions through electrification and smart energy use to help the state meet its greenhouse gas reduction goals.</w:t>
      </w:r>
    </w:p>
    <w:p>
      <w:pPr>
        <w:spacing w:after="0" w:line="190"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PGE’s regulatory framework for implementing a clean energy future is informed and enabled by: i) carbon legislation, ii) the resource planning process and iii) the renewable cost recovery framework.</w:t>
      </w:r>
    </w:p>
    <w:p>
      <w:pPr>
        <w:spacing w:after="0" w:line="177"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i w:val="1"/>
          <w:iCs w:val="1"/>
          <w:color w:val="auto"/>
        </w:rPr>
        <w:t>Carbon Legislation</w:t>
      </w:r>
      <w:r>
        <w:rPr>
          <w:rFonts w:ascii="Arial" w:cs="Arial" w:eastAsia="Arial" w:hAnsi="Arial"/>
          <w:sz w:val="20"/>
          <w:szCs w:val="20"/>
          <w:color w:val="auto"/>
        </w:rPr>
        <w:t>—Oregon’s Clean Electricity and Coal Transition Plan (OCEP), enacted in 2016, set a benchmark for how much electricity</w:t>
      </w:r>
      <w:r>
        <w:rPr>
          <w:rFonts w:ascii="Arial" w:cs="Arial" w:eastAsia="Arial" w:hAnsi="Arial"/>
          <w:sz w:val="20"/>
          <w:szCs w:val="20"/>
          <w:i w:val="1"/>
          <w:iCs w:val="1"/>
          <w:color w:val="auto"/>
        </w:rPr>
        <w:t xml:space="preserve"> </w:t>
      </w:r>
      <w:r>
        <w:rPr>
          <w:rFonts w:ascii="Arial" w:cs="Arial" w:eastAsia="Arial" w:hAnsi="Arial"/>
          <w:sz w:val="20"/>
          <w:szCs w:val="20"/>
          <w:color w:val="auto"/>
        </w:rPr>
        <w:t>must come from renewable sources like wind and solar (50 percent by 2040) and requires the elimination of coal from Oregon utility customers’ energy supply no later than 2035.</w:t>
      </w:r>
    </w:p>
    <w:p>
      <w:pPr>
        <w:spacing w:after="0" w:line="186" w:lineRule="exact"/>
        <w:rPr>
          <w:sz w:val="20"/>
          <w:szCs w:val="20"/>
          <w:color w:val="auto"/>
        </w:rPr>
      </w:pPr>
    </w:p>
    <w:p>
      <w:pPr>
        <w:ind w:right="80"/>
        <w:spacing w:after="0" w:line="263" w:lineRule="auto"/>
        <w:rPr>
          <w:sz w:val="20"/>
          <w:szCs w:val="20"/>
          <w:color w:val="auto"/>
        </w:rPr>
      </w:pPr>
      <w:r>
        <w:rPr>
          <w:rFonts w:ascii="Arial" w:cs="Arial" w:eastAsia="Arial" w:hAnsi="Arial"/>
          <w:sz w:val="19"/>
          <w:szCs w:val="19"/>
          <w:color w:val="auto"/>
        </w:rPr>
        <w:t>In response to the OCEP the Company filed a tariff request in October 2016 to accelerate recovery of PGE’s investment in the Colstrip facility from 2042 to 2030. In late June 2019, the owners of Colstrip Units 1 and 2 announced that they would permanently close those two units at the end of the current year. Although PGE has no direct ownership interest in those two units, the Company does have a 20% ownership share in Colstrip Units 3 and 4, which share certain common facilities with Units 1 and 2.</w:t>
      </w:r>
    </w:p>
    <w:p>
      <w:pPr>
        <w:spacing w:after="0" w:line="177" w:lineRule="exact"/>
        <w:rPr>
          <w:sz w:val="20"/>
          <w:szCs w:val="20"/>
          <w:color w:val="auto"/>
        </w:rPr>
      </w:pPr>
    </w:p>
    <w:p>
      <w:pPr>
        <w:ind w:right="80"/>
        <w:spacing w:after="0" w:line="260" w:lineRule="auto"/>
        <w:rPr>
          <w:sz w:val="20"/>
          <w:szCs w:val="20"/>
          <w:color w:val="auto"/>
        </w:rPr>
      </w:pPr>
      <w:r>
        <w:rPr>
          <w:rFonts w:ascii="Arial" w:cs="Arial" w:eastAsia="Arial" w:hAnsi="Arial"/>
          <w:sz w:val="19"/>
          <w:szCs w:val="19"/>
          <w:color w:val="auto"/>
        </w:rPr>
        <w:t>Although PGE is currently scheduled to recover the costs of Colstrip by 2030, some co-owners of Units 3 and 4 have taken actions that will enable them to recover their costs by 2025 and 2027. The Company is currently in the process of evaluating its ongoing investment in Colstrip. Any reduction in generation from Colstrip has the potential to provide capacity on the Colstrip transmission line, which stretches from eastern Montana to near the western end of the state to serve markets in the Pacific Northwest and beyond. Renewable energy development in the state of Montana could benefit from any excess transmission capacity that may become available.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Company’s one other remaining coal-fired generating plant, Boardman, is scheduled to cease coal-fired operation at the end of 2020.</w:t>
      </w:r>
    </w:p>
    <w:p>
      <w:pPr>
        <w:spacing w:after="0" w:line="239" w:lineRule="exact"/>
        <w:rPr>
          <w:sz w:val="20"/>
          <w:szCs w:val="20"/>
          <w:color w:val="auto"/>
        </w:rPr>
      </w:pPr>
    </w:p>
    <w:p>
      <w:pPr>
        <w:ind w:right="300"/>
        <w:spacing w:after="0" w:line="246" w:lineRule="auto"/>
        <w:rPr>
          <w:sz w:val="20"/>
          <w:szCs w:val="20"/>
          <w:color w:val="auto"/>
        </w:rPr>
      </w:pPr>
      <w:r>
        <w:rPr>
          <w:rFonts w:ascii="Arial" w:cs="Arial" w:eastAsia="Arial" w:hAnsi="Arial"/>
          <w:sz w:val="20"/>
          <w:szCs w:val="20"/>
          <w:color w:val="auto"/>
        </w:rPr>
        <w:t>Recent legislative proposals included a comprehensive cap and trade package known as House Bill (HB) 2020 that would have granted the OPUC direct authority to address climate change. Although HB 2020 was not enacted by the state legislature, the OPUC, in response, stated that it would continue to collaborate with the legislature and stakeholders to make progress on climate change, noting that their authority is limited to that of an economic regulator.</w:t>
      </w:r>
    </w:p>
    <w:p>
      <w:pPr>
        <w:spacing w:after="0" w:line="205"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i w:val="1"/>
          <w:iCs w:val="1"/>
          <w:color w:val="auto"/>
        </w:rPr>
        <w:t>Resource Planning</w:t>
      </w:r>
      <w:r>
        <w:rPr>
          <w:rFonts w:ascii="Arial" w:cs="Arial" w:eastAsia="Arial" w:hAnsi="Arial"/>
          <w:sz w:val="20"/>
          <w:szCs w:val="20"/>
          <w:color w:val="auto"/>
        </w:rPr>
        <w:t>—PGE’s planning process includes working with customers, stakeholders, and regulators to chart the course toward a clean,</w:t>
      </w:r>
      <w:r>
        <w:rPr>
          <w:rFonts w:ascii="Arial" w:cs="Arial" w:eastAsia="Arial" w:hAnsi="Arial"/>
          <w:sz w:val="20"/>
          <w:szCs w:val="20"/>
          <w:i w:val="1"/>
          <w:iCs w:val="1"/>
          <w:color w:val="auto"/>
        </w:rPr>
        <w:t xml:space="preserve"> </w:t>
      </w:r>
      <w:r>
        <w:rPr>
          <w:rFonts w:ascii="Arial" w:cs="Arial" w:eastAsia="Arial" w:hAnsi="Arial"/>
          <w:sz w:val="20"/>
          <w:szCs w:val="20"/>
          <w:color w:val="auto"/>
        </w:rPr>
        <w:t>affordable, and reliable energy future. This process includes consideration of customer expectations and legislative mandates to move away from fossil fuel generation and toward renewable sources of energy.</w:t>
      </w:r>
    </w:p>
    <w:p>
      <w:pPr>
        <w:spacing w:after="0" w:line="281"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In May 2018 the Company issued a request for proposals seeking to procure approximately 100 average MW (MWa) of qualifying renewable resources. The prevailing bid, Wheatridge Renewable Energy Facility (Wheatridge), will be an energy facility in eastern Oregon combining 300 MW of wind generation, with 50 MW of solar generation and 30 MW of battery storage.</w:t>
      </w:r>
    </w:p>
    <w:p>
      <w:pPr>
        <w:spacing w:after="0" w:line="200"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PGE will own 100 MW of the wind resource with an investment of approximately $160 million. Subsidiaries of NextEra Energy Resources, LLC will own the balance of the 300 MW wind resource, along with the solar and battery components, and sell their portion of the output to PGE under 30-year power purchase agreements. PGE has the option to purchase the underlying assets of the power purchase agreement on the 12th anniversary of the commercial operation date of the wind facility.</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20"/>
        <w:spacing w:after="0" w:line="269" w:lineRule="auto"/>
        <w:rPr>
          <w:sz w:val="20"/>
          <w:szCs w:val="20"/>
          <w:color w:val="auto"/>
        </w:rPr>
      </w:pPr>
      <w:r>
        <w:rPr>
          <w:rFonts w:ascii="Arial" w:cs="Arial" w:eastAsia="Arial" w:hAnsi="Arial"/>
          <w:sz w:val="19"/>
          <w:szCs w:val="19"/>
          <w:color w:val="auto"/>
        </w:rPr>
        <w:t>The wind component of the facility is expected to be operational by December 2020 and qualify for federal production tax credits (PTCs) at the 100 percent level. Construction of the solar and battery components is planned for 2021 and is also expected to qualify for federal investment tax credits, which will help reduce the cost of the project and thus reduce costs to PGE’s customers.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 July 2019, PGE submitted its 2019 Integrated Resource Plan (2019 IRP) to the OPUC. The proposed plan sets forth the following actions the</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Company would undertake over the next four years to acquire the resources identified:</w:t>
      </w:r>
    </w:p>
    <w:p>
      <w:pPr>
        <w:spacing w:after="0" w:line="92" w:lineRule="exact"/>
        <w:rPr>
          <w:sz w:val="20"/>
          <w:szCs w:val="20"/>
          <w:color w:val="auto"/>
        </w:rPr>
      </w:pPr>
    </w:p>
    <w:p>
      <w:pPr>
        <w:ind w:left="660" w:right="480" w:hanging="328"/>
        <w:spacing w:after="0" w:line="260" w:lineRule="auto"/>
        <w:tabs>
          <w:tab w:leader="none" w:pos="6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Customer actions—cost-effective energy efficiency, reliance on demand response, and dispatchable customer storage and standby generation;</w:t>
      </w:r>
    </w:p>
    <w:p>
      <w:pPr>
        <w:spacing w:after="0" w:line="68" w:lineRule="exact"/>
        <w:rPr>
          <w:rFonts w:ascii="Arial" w:cs="Arial" w:eastAsia="Arial" w:hAnsi="Arial"/>
          <w:sz w:val="20"/>
          <w:szCs w:val="20"/>
          <w:color w:val="auto"/>
        </w:rPr>
      </w:pPr>
    </w:p>
    <w:p>
      <w:pPr>
        <w:ind w:left="660" w:hanging="328"/>
        <w:spacing w:after="0"/>
        <w:tabs>
          <w:tab w:leader="none" w:pos="6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Renewable actions—a Renewable RFP to be conducted in 2020, seeking 150 MWa to come online by 2023; and</w:t>
      </w:r>
    </w:p>
    <w:p>
      <w:pPr>
        <w:spacing w:after="0" w:line="107" w:lineRule="exact"/>
        <w:rPr>
          <w:rFonts w:ascii="Arial" w:cs="Arial" w:eastAsia="Arial" w:hAnsi="Arial"/>
          <w:sz w:val="20"/>
          <w:szCs w:val="20"/>
          <w:color w:val="auto"/>
        </w:rPr>
      </w:pPr>
    </w:p>
    <w:p>
      <w:pPr>
        <w:jc w:val="both"/>
        <w:ind w:left="660" w:right="120" w:hanging="328"/>
        <w:spacing w:after="0" w:line="269" w:lineRule="auto"/>
        <w:tabs>
          <w:tab w:leader="none" w:pos="660" w:val="left"/>
        </w:tabs>
        <w:numPr>
          <w:ilvl w:val="0"/>
          <w:numId w:val="15"/>
        </w:numPr>
        <w:rPr>
          <w:rFonts w:ascii="Arial" w:cs="Arial" w:eastAsia="Arial" w:hAnsi="Arial"/>
          <w:sz w:val="19"/>
          <w:szCs w:val="19"/>
          <w:color w:val="auto"/>
        </w:rPr>
      </w:pPr>
      <w:r>
        <w:rPr>
          <w:rFonts w:ascii="Arial" w:cs="Arial" w:eastAsia="Arial" w:hAnsi="Arial"/>
          <w:sz w:val="19"/>
          <w:szCs w:val="19"/>
          <w:color w:val="auto"/>
        </w:rPr>
        <w:t>Capacity actions—a multi-stage procurement process that will allow PGE to pursue cost-competitive agreements for existing capacity in the region and to conduct a non-emitting Capacity RFP in 2021 to fill any remaining capacity needs, which the Company estimates will reach 595 MW by 2025, after consideration of the Customer and Renewable actions outlined above.</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The regulatory schedule for the 2019 IRP would lead to an OPUC order in the first quarter of 2020.</w:t>
      </w:r>
    </w:p>
    <w:p>
      <w:pPr>
        <w:spacing w:after="0" w:line="229" w:lineRule="exact"/>
        <w:rPr>
          <w:sz w:val="20"/>
          <w:szCs w:val="20"/>
          <w:color w:val="auto"/>
        </w:rPr>
      </w:pPr>
    </w:p>
    <w:p>
      <w:pPr>
        <w:spacing w:after="0" w:line="244" w:lineRule="auto"/>
        <w:rPr>
          <w:sz w:val="20"/>
          <w:szCs w:val="20"/>
          <w:color w:val="auto"/>
        </w:rPr>
      </w:pPr>
      <w:r>
        <w:rPr>
          <w:rFonts w:ascii="Arial" w:cs="Arial" w:eastAsia="Arial" w:hAnsi="Arial"/>
          <w:sz w:val="20"/>
          <w:szCs w:val="20"/>
          <w:i w:val="1"/>
          <w:iCs w:val="1"/>
          <w:color w:val="auto"/>
        </w:rPr>
        <w:t>Renewable Recovery Framework</w:t>
      </w:r>
      <w:r>
        <w:rPr>
          <w:rFonts w:ascii="Arial" w:cs="Arial" w:eastAsia="Arial" w:hAnsi="Arial"/>
          <w:sz w:val="20"/>
          <w:szCs w:val="20"/>
          <w:color w:val="auto"/>
        </w:rPr>
        <w:t>—The Renewable Adjustment Clause (RAC) allows PGE to recover prudently incurred costs of renewable</w:t>
      </w:r>
      <w:r>
        <w:rPr>
          <w:rFonts w:ascii="Arial" w:cs="Arial" w:eastAsia="Arial" w:hAnsi="Arial"/>
          <w:sz w:val="20"/>
          <w:szCs w:val="20"/>
          <w:i w:val="1"/>
          <w:iCs w:val="1"/>
          <w:color w:val="auto"/>
        </w:rPr>
        <w:t xml:space="preserve"> </w:t>
      </w:r>
      <w:r>
        <w:rPr>
          <w:rFonts w:ascii="Arial" w:cs="Arial" w:eastAsia="Arial" w:hAnsi="Arial"/>
          <w:sz w:val="20"/>
          <w:szCs w:val="20"/>
          <w:color w:val="auto"/>
        </w:rPr>
        <w:t>resources. In the 2019 General Rate Case (GRC) Order, the OPUC authorized the inclusion of prudent costs of energy storage projects associated with renewables in future RAC filings to be made to the OPUC, under certain conditions, in addition to the annual filing by April 1st each year. Although no significant filings have been submitted under the RAC during 2019 or 2018, the Company expects to submit a RAC filing for Wheatridge before the end of 2019.</w:t>
      </w:r>
    </w:p>
    <w:p>
      <w:pPr>
        <w:spacing w:after="0" w:line="202" w:lineRule="exact"/>
        <w:rPr>
          <w:sz w:val="20"/>
          <w:szCs w:val="20"/>
          <w:color w:val="auto"/>
        </w:rPr>
      </w:pPr>
    </w:p>
    <w:p>
      <w:pPr>
        <w:ind w:right="120"/>
        <w:spacing w:after="0" w:line="262" w:lineRule="auto"/>
        <w:rPr>
          <w:sz w:val="20"/>
          <w:szCs w:val="20"/>
          <w:color w:val="auto"/>
        </w:rPr>
      </w:pPr>
      <w:r>
        <w:rPr>
          <w:rFonts w:ascii="Arial" w:cs="Arial" w:eastAsia="Arial" w:hAnsi="Arial"/>
          <w:sz w:val="19"/>
          <w:szCs w:val="19"/>
          <w:b w:val="1"/>
          <w:bCs w:val="1"/>
          <w:color w:val="auto"/>
        </w:rPr>
        <w:t>Building a Smarter, More Resilient Grid</w:t>
      </w:r>
      <w:r>
        <w:rPr>
          <w:rFonts w:ascii="Arial" w:cs="Arial" w:eastAsia="Arial" w:hAnsi="Arial"/>
          <w:sz w:val="19"/>
          <w:szCs w:val="19"/>
          <w:color w:val="auto"/>
        </w:rPr>
        <w:t>—A smart grid allows PGE to work in collaboration with customers to integrate renewable energy</w:t>
      </w:r>
      <w:r>
        <w:rPr>
          <w:rFonts w:ascii="Arial" w:cs="Arial" w:eastAsia="Arial" w:hAnsi="Arial"/>
          <w:sz w:val="19"/>
          <w:szCs w:val="19"/>
          <w:b w:val="1"/>
          <w:bCs w:val="1"/>
          <w:color w:val="auto"/>
        </w:rPr>
        <w:t xml:space="preserve"> </w:t>
      </w:r>
      <w:r>
        <w:rPr>
          <w:rFonts w:ascii="Arial" w:cs="Arial" w:eastAsia="Arial" w:hAnsi="Arial"/>
          <w:sz w:val="19"/>
          <w:szCs w:val="19"/>
          <w:color w:val="auto"/>
        </w:rPr>
        <w:t>and other technologies that improve efficiency and drive decarbonization. PGE is focused on the deployment of new technologies and the use of data analytics to better predict demand and support energy saving customer programs. The Company is currently engaged in energy storage initiatives, advanced communications networks, automation and control systems for flexible loads and distributed generation, and the development of connected neighborhood microgrids and smart communities.</w:t>
      </w:r>
    </w:p>
    <w:p>
      <w:pPr>
        <w:spacing w:after="0" w:line="177" w:lineRule="exact"/>
        <w:rPr>
          <w:sz w:val="20"/>
          <w:szCs w:val="20"/>
          <w:color w:val="auto"/>
        </w:rPr>
      </w:pPr>
    </w:p>
    <w:p>
      <w:pPr>
        <w:ind w:right="80"/>
        <w:spacing w:after="0" w:line="287" w:lineRule="auto"/>
        <w:rPr>
          <w:sz w:val="20"/>
          <w:szCs w:val="20"/>
          <w:color w:val="auto"/>
        </w:rPr>
      </w:pPr>
      <w:r>
        <w:rPr>
          <w:rFonts w:ascii="Arial" w:cs="Arial" w:eastAsia="Arial" w:hAnsi="Arial"/>
          <w:sz w:val="19"/>
          <w:szCs w:val="19"/>
          <w:color w:val="auto"/>
        </w:rPr>
        <w:t>PGE considers the impact of making investments in new, renewable resource generation and energy storage facilities, as well as improvements to its transmission, distribution, and information technology infrastructure when determining capital requirements,</w:t>
      </w:r>
    </w:p>
    <w:p>
      <w:pPr>
        <w:spacing w:after="0" w:line="166"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In 2018, PGE filed an energy storage proposal that called for 39 MW of storage to be developed over the next several years at various locations across the grid. In August 2018, the OPUC issued an order that outlined an agreed approach to the development of five energy storage projects by PGE with an expected capital cost of approximately $45 million. The Company is also working to advance transportation electrification, with projects to improve accessibility to electric vehicle charging stations and partnering with local mass transit agencies to transition to a greater use of electric vehicles.</w:t>
      </w:r>
    </w:p>
    <w:p>
      <w:pPr>
        <w:spacing w:after="0" w:line="195" w:lineRule="exact"/>
        <w:rPr>
          <w:sz w:val="20"/>
          <w:szCs w:val="20"/>
          <w:color w:val="auto"/>
        </w:rPr>
      </w:pPr>
    </w:p>
    <w:p>
      <w:pPr>
        <w:ind w:right="200"/>
        <w:spacing w:after="0" w:line="246" w:lineRule="auto"/>
        <w:rPr>
          <w:sz w:val="20"/>
          <w:szCs w:val="20"/>
          <w:color w:val="auto"/>
        </w:rPr>
      </w:pPr>
      <w:r>
        <w:rPr>
          <w:rFonts w:ascii="Arial" w:cs="Arial" w:eastAsia="Arial" w:hAnsi="Arial"/>
          <w:sz w:val="20"/>
          <w:szCs w:val="20"/>
          <w:color w:val="auto"/>
        </w:rPr>
        <w:t>In July 2019, PGE’s Board approved plans to construct an Integrated Operations Center (IOC) at an estimated total cost of $200 million, excluding the allowance for funds used during construction (AFDC). The IOC will centralize mission-critical operations, including those that are planned as part of the integrated grid strategy. This secure, resilient facility will include infrastructure to support and enhance grid operations and co-locate primary support functions.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2" w:right="259" w:bottom="1440" w:gutter="0" w:footer="0" w:header="0"/>
        </w:sectPr>
      </w:pPr>
    </w:p>
    <w:bookmarkStart w:id="41" w:name="page42"/>
    <w:bookmarkEnd w:id="41"/>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right="80"/>
        <w:spacing w:after="0" w:line="253" w:lineRule="auto"/>
        <w:rPr>
          <w:sz w:val="20"/>
          <w:szCs w:val="20"/>
          <w:color w:val="auto"/>
        </w:rPr>
      </w:pPr>
      <w:r>
        <w:rPr>
          <w:rFonts w:ascii="Arial" w:cs="Arial" w:eastAsia="Arial" w:hAnsi="Arial"/>
          <w:sz w:val="20"/>
          <w:szCs w:val="20"/>
          <w:b w:val="1"/>
          <w:bCs w:val="1"/>
          <w:color w:val="auto"/>
        </w:rPr>
        <w:t>Pursuing Excellence in PGE’s Work</w:t>
      </w:r>
      <w:r>
        <w:rPr>
          <w:rFonts w:ascii="Arial" w:cs="Arial" w:eastAsia="Arial" w:hAnsi="Arial"/>
          <w:sz w:val="20"/>
          <w:szCs w:val="20"/>
          <w:color w:val="auto"/>
        </w:rPr>
        <w:t>—PGE customer commitment requires a focus on providing clean power at low cost while providing a</w:t>
      </w:r>
      <w:r>
        <w:rPr>
          <w:rFonts w:ascii="Arial" w:cs="Arial" w:eastAsia="Arial" w:hAnsi="Arial"/>
          <w:sz w:val="20"/>
          <w:szCs w:val="20"/>
          <w:b w:val="1"/>
          <w:bCs w:val="1"/>
          <w:color w:val="auto"/>
        </w:rPr>
        <w:t xml:space="preserve"> </w:t>
      </w:r>
      <w:r>
        <w:rPr>
          <w:rFonts w:ascii="Arial" w:cs="Arial" w:eastAsia="Arial" w:hAnsi="Arial"/>
          <w:sz w:val="20"/>
          <w:szCs w:val="20"/>
          <w:color w:val="auto"/>
        </w:rPr>
        <w:t>fair return to investors, including prudent management of key legislative, regulatory and environmental matters that may affect customer prices and investor returns. A list of such material items includes:</w:t>
      </w:r>
    </w:p>
    <w:p>
      <w:pPr>
        <w:spacing w:after="0" w:line="184" w:lineRule="exact"/>
        <w:rPr>
          <w:sz w:val="20"/>
          <w:szCs w:val="20"/>
          <w:color w:val="auto"/>
        </w:rPr>
      </w:pPr>
    </w:p>
    <w:p>
      <w:pPr>
        <w:ind w:right="180"/>
        <w:spacing w:after="0" w:line="328" w:lineRule="auto"/>
        <w:rPr>
          <w:sz w:val="20"/>
          <w:szCs w:val="20"/>
          <w:color w:val="auto"/>
        </w:rPr>
      </w:pPr>
      <w:r>
        <w:rPr>
          <w:rFonts w:ascii="Arial" w:cs="Arial" w:eastAsia="Arial" w:hAnsi="Arial"/>
          <w:sz w:val="16"/>
          <w:szCs w:val="16"/>
          <w:i w:val="1"/>
          <w:iCs w:val="1"/>
          <w:color w:val="auto"/>
        </w:rPr>
        <w:t>Portland Harbor Environmental Remediation Account Mechanism</w:t>
      </w:r>
      <w:r>
        <w:rPr>
          <w:rFonts w:ascii="Arial" w:cs="Arial" w:eastAsia="Arial" w:hAnsi="Arial"/>
          <w:sz w:val="16"/>
          <w:szCs w:val="16"/>
          <w:color w:val="auto"/>
        </w:rPr>
        <w:t>—PGE’s environmental recovery mechanism allows the Company to defer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recover incurred environmental expenditures related to Portland Harbor through a combination of third-party proceeds, such as insurance recoveries, and if necessary, through customer prices. For further information regarding the PHERA mechanism, see </w:t>
      </w:r>
      <w:r>
        <w:rPr>
          <w:rFonts w:ascii="Arial" w:cs="Arial" w:eastAsia="Arial" w:hAnsi="Arial"/>
          <w:sz w:val="16"/>
          <w:szCs w:val="16"/>
          <w:i w:val="1"/>
          <w:iCs w:val="1"/>
          <w:color w:val="auto"/>
        </w:rPr>
        <w:t>“</w:t>
      </w:r>
      <w:r>
        <w:rPr>
          <w:rFonts w:ascii="Arial" w:cs="Arial" w:eastAsia="Arial" w:hAnsi="Arial"/>
          <w:sz w:val="16"/>
          <w:szCs w:val="16"/>
          <w:color w:val="auto"/>
        </w:rPr>
        <w:t>EPA Investigation of Portland Harbor</w:t>
      </w:r>
      <w:r>
        <w:rPr>
          <w:rFonts w:ascii="Arial" w:cs="Arial" w:eastAsia="Arial" w:hAnsi="Arial"/>
          <w:sz w:val="16"/>
          <w:szCs w:val="16"/>
          <w:i w:val="1"/>
          <w:iCs w:val="1"/>
          <w:color w:val="auto"/>
        </w:rPr>
        <w:t>”</w:t>
      </w:r>
      <w:r>
        <w:rPr>
          <w:rFonts w:ascii="Arial" w:cs="Arial" w:eastAsia="Arial" w:hAnsi="Arial"/>
          <w:sz w:val="16"/>
          <w:szCs w:val="16"/>
          <w:color w:val="auto"/>
        </w:rPr>
        <w:t xml:space="preserve"> in Note 8. Contingencies in the Notes to Condensed Consolidated Financial Statements in Item 1.—“Financial Statements.”</w:t>
      </w:r>
    </w:p>
    <w:p>
      <w:pPr>
        <w:spacing w:after="0" w:line="129"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i w:val="1"/>
          <w:iCs w:val="1"/>
          <w:color w:val="auto"/>
        </w:rPr>
        <w:t>Power Costs</w:t>
      </w:r>
      <w:r>
        <w:rPr>
          <w:rFonts w:ascii="Arial" w:cs="Arial" w:eastAsia="Arial" w:hAnsi="Arial"/>
          <w:sz w:val="20"/>
          <w:szCs w:val="20"/>
          <w:color w:val="auto"/>
        </w:rPr>
        <w:t>—Pursuant to the AUT process, PGE annually files an estimate of power costs for the following year. As approved by the OPUC</w:t>
      </w:r>
      <w:r>
        <w:rPr>
          <w:rFonts w:ascii="Arial" w:cs="Arial" w:eastAsia="Arial" w:hAnsi="Arial"/>
          <w:sz w:val="20"/>
          <w:szCs w:val="20"/>
          <w:i w:val="1"/>
          <w:iCs w:val="1"/>
          <w:color w:val="auto"/>
        </w:rPr>
        <w:t xml:space="preserve"> </w:t>
      </w:r>
      <w:r>
        <w:rPr>
          <w:rFonts w:ascii="Arial" w:cs="Arial" w:eastAsia="Arial" w:hAnsi="Arial"/>
          <w:sz w:val="20"/>
          <w:szCs w:val="20"/>
          <w:color w:val="auto"/>
        </w:rPr>
        <w:t>in December 2018, the GRC included a final projected increase in power costs for 2019, and a corresponding increase in annual revenue requirement, of $25 million from 2018 levels, which is reflected in customer prices effective January 1, 2019. The initial filing for the 2020 AUT indicates that power costs are expected to rise in 2020.</w:t>
      </w:r>
    </w:p>
    <w:p>
      <w:pPr>
        <w:spacing w:after="0" w:line="192" w:lineRule="exact"/>
        <w:rPr>
          <w:sz w:val="20"/>
          <w:szCs w:val="20"/>
          <w:color w:val="auto"/>
        </w:rPr>
      </w:pPr>
    </w:p>
    <w:p>
      <w:pPr>
        <w:jc w:val="both"/>
        <w:ind w:right="80"/>
        <w:spacing w:after="0" w:line="250" w:lineRule="auto"/>
        <w:rPr>
          <w:sz w:val="20"/>
          <w:szCs w:val="20"/>
          <w:color w:val="auto"/>
        </w:rPr>
      </w:pPr>
      <w:r>
        <w:rPr>
          <w:rFonts w:ascii="Arial" w:cs="Arial" w:eastAsia="Arial" w:hAnsi="Arial"/>
          <w:sz w:val="20"/>
          <w:szCs w:val="20"/>
          <w:color w:val="auto"/>
        </w:rPr>
        <w:t>Under the Power Cost Adjustment Mechanism (PCAM) for 2018, net variable power costs (NVPC) was within the limits of the deadband, thus no potential refund or collection was recorded. The OPUC will review the results of the PCAM for 2018 during the second half of 2019 with a decision expected in the fourth quarter 2019.</w:t>
      </w:r>
    </w:p>
    <w:p>
      <w:pPr>
        <w:spacing w:after="0" w:line="186"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i w:val="1"/>
          <w:iCs w:val="1"/>
          <w:color w:val="auto"/>
        </w:rPr>
        <w:t>Capital Project Deferral</w:t>
      </w:r>
      <w:r>
        <w:rPr>
          <w:rFonts w:ascii="Arial" w:cs="Arial" w:eastAsia="Arial" w:hAnsi="Arial"/>
          <w:sz w:val="20"/>
          <w:szCs w:val="20"/>
          <w:color w:val="auto"/>
        </w:rPr>
        <w:t>—In the second quarter of 2018, PGE placed into service a new customer information system at a total cost of $152</w:t>
      </w:r>
      <w:r>
        <w:rPr>
          <w:rFonts w:ascii="Arial" w:cs="Arial" w:eastAsia="Arial" w:hAnsi="Arial"/>
          <w:sz w:val="20"/>
          <w:szCs w:val="20"/>
          <w:i w:val="1"/>
          <w:iCs w:val="1"/>
          <w:color w:val="auto"/>
        </w:rPr>
        <w:t xml:space="preserve"> </w:t>
      </w:r>
      <w:r>
        <w:rPr>
          <w:rFonts w:ascii="Arial" w:cs="Arial" w:eastAsia="Arial" w:hAnsi="Arial"/>
          <w:sz w:val="20"/>
          <w:szCs w:val="20"/>
          <w:color w:val="auto"/>
        </w:rPr>
        <w:t>million. In accordance with agreements reached with stakeholders in the Company’s GRC, the Company’s capital cost of the asset is included in rate base and customer prices as of January 1, 2019.</w:t>
      </w:r>
    </w:p>
    <w:p>
      <w:pPr>
        <w:spacing w:after="0" w:line="186"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Consistent with past regulatory precedent, in May 2018, the Company submitted an application to the OPUC to defer the revenue requirement associated with this new customer information system from the time the system went into service through the end of 2018. As a result, PGE began deferring its incurred costs, primarily related to depreciation and amortization, of the new customer information system once it was placed in service.</w:t>
      </w:r>
    </w:p>
    <w:p>
      <w:pPr>
        <w:spacing w:after="0" w:line="192"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In 2017, the OPUC opened docket UM 1909 to conduct an investigation of the scope of its authority under Oregon law to allow the deferral of costs related to capital investments for later inclusion in customer prices. In October 2018, the OPUC issued Order 18-423 (Order) concluding that the OPUC lacks authority under Oregon law to allow deferrals of any costs related to capital investments. In the Order, the OPUC acknowledged that this decision is contrary to its past limited practice of allowing deferrals related to capital investments and will require adjustments to its regulatory practices. The OPUC directed its Staff to meet with the utilities and stakeholders to address the full implications of this decision, and to propose recommendations needed to implement this decision consistent with the OPUC’s legal authority and the public interest.</w:t>
      </w:r>
    </w:p>
    <w:p>
      <w:pPr>
        <w:spacing w:after="0" w:line="193"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In response to the Order, PGE and other utilities filed a motion for reconsideration and clarification, which was denied. On April 19, 2019, PGE and the other utilities filed a petition for judicial review of the OPUC Order with the Oregon Court of Appeals. PGE believes that the costs incurred to date associated with the customer information system were prudently incurred and has not withdrawn its deferral application to recover the revenue requirement of this capital project.</w:t>
      </w:r>
    </w:p>
    <w:p>
      <w:pPr>
        <w:spacing w:after="0" w:line="192"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During 2018, PGE deferred a total of $12 million related to the project. However, the Order has impacted the probability of recovery of the customer information system deferral and, as such, the Company has recorded a reserve for the full amount of the capital deferral. The reserve was recognized as a charge to the results of operations in 2018. Any amounts that may ultimately be approved by the OPUC in subsequent proceedings would be recognized in earnings in the period of such approval, however there is no assurance that such recovery would be granted by the OPUC.</w:t>
      </w:r>
    </w:p>
    <w:p>
      <w:pPr>
        <w:spacing w:after="0" w:line="195"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i w:val="1"/>
          <w:iCs w:val="1"/>
          <w:color w:val="auto"/>
        </w:rPr>
        <w:t>Corporate Activity Tax</w:t>
      </w:r>
      <w:r>
        <w:rPr>
          <w:rFonts w:ascii="Arial" w:cs="Arial" w:eastAsia="Arial" w:hAnsi="Arial"/>
          <w:sz w:val="20"/>
          <w:szCs w:val="20"/>
          <w:color w:val="auto"/>
        </w:rPr>
        <w:t>—In May 2019, the Oregon Legislature passed, and the governor signed, HB 3427, which imposes a new gross receipts</w:t>
      </w:r>
      <w:r>
        <w:rPr>
          <w:rFonts w:ascii="Arial" w:cs="Arial" w:eastAsia="Arial" w:hAnsi="Arial"/>
          <w:sz w:val="20"/>
          <w:szCs w:val="20"/>
          <w:i w:val="1"/>
          <w:iCs w:val="1"/>
          <w:color w:val="auto"/>
        </w:rPr>
        <w:t xml:space="preserve"> </w:t>
      </w:r>
      <w:r>
        <w:rPr>
          <w:rFonts w:ascii="Arial" w:cs="Arial" w:eastAsia="Arial" w:hAnsi="Arial"/>
          <w:sz w:val="20"/>
          <w:szCs w:val="20"/>
          <w:color w:val="auto"/>
        </w:rPr>
        <w:t>tax that will apply to tax years beginning on or after January 1, 2020, on companies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300" w:lineRule="exact"/>
        <w:rPr>
          <w:sz w:val="20"/>
          <w:szCs w:val="20"/>
          <w:color w:val="auto"/>
        </w:rPr>
      </w:pPr>
    </w:p>
    <w:p>
      <w:pPr>
        <w:ind w:right="60"/>
        <w:spacing w:after="0" w:line="269" w:lineRule="auto"/>
        <w:rPr>
          <w:sz w:val="20"/>
          <w:szCs w:val="20"/>
          <w:color w:val="auto"/>
        </w:rPr>
      </w:pPr>
      <w:r>
        <w:rPr>
          <w:rFonts w:ascii="Arial" w:cs="Arial" w:eastAsia="Arial" w:hAnsi="Arial"/>
          <w:sz w:val="19"/>
          <w:szCs w:val="19"/>
          <w:color w:val="auto"/>
        </w:rPr>
        <w:t>with annual revenues in excess of $1 million. The tax will be 0.57% of defined activities, subject to numerous exemptions, less 35% of the greater of “cost inputs” or “labor costs” apportioned to the State of Oregon. The Company is in the process of determining the expected impact of the new tax, if it is ultimately enacted, on its results of operations and mechanism for regulatory recovery.</w:t>
      </w:r>
    </w:p>
    <w:p>
      <w:pPr>
        <w:spacing w:after="0" w:line="170"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i w:val="1"/>
          <w:iCs w:val="1"/>
          <w:color w:val="auto"/>
        </w:rPr>
        <w:t>Decoupling</w:t>
      </w:r>
      <w:r>
        <w:rPr>
          <w:rFonts w:ascii="Arial" w:cs="Arial" w:eastAsia="Arial" w:hAnsi="Arial"/>
          <w:sz w:val="20"/>
          <w:szCs w:val="20"/>
          <w:color w:val="auto"/>
        </w:rPr>
        <w:t>—The decoupling mechanism, authorized by the OPUC through 2022, is intended to provide for recovery of margin lost as a result</w:t>
      </w:r>
      <w:r>
        <w:rPr>
          <w:rFonts w:ascii="Arial" w:cs="Arial" w:eastAsia="Arial" w:hAnsi="Arial"/>
          <w:sz w:val="20"/>
          <w:szCs w:val="20"/>
          <w:i w:val="1"/>
          <w:iCs w:val="1"/>
          <w:color w:val="auto"/>
        </w:rPr>
        <w:t xml:space="preserve"> </w:t>
      </w:r>
      <w:r>
        <w:rPr>
          <w:rFonts w:ascii="Arial" w:cs="Arial" w:eastAsia="Arial" w:hAnsi="Arial"/>
          <w:sz w:val="20"/>
          <w:szCs w:val="20"/>
          <w:color w:val="auto"/>
        </w:rPr>
        <w:t>of a reduction in electricity sales attributable to energy efficiency, customer-owned generation, and conservation efforts by residential and certain commercial customers. The mechanism provides for collection from (or refund to) customers if weather-adjusted use per customer is less (or more) than that projected in the Company’s most recent general rate case.</w:t>
      </w:r>
    </w:p>
    <w:p>
      <w:pPr>
        <w:spacing w:after="0" w:line="205"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Company deferred an estimated $8 million collection during the six months ended June 30, 2019, which resulted from projections established in the 2019 GRC. Any collection from (or refund to) customers for the 2019 year is expected to occur over a one-year period, which would begin January 1, 2021.</w:t>
      </w:r>
    </w:p>
    <w:p>
      <w:pPr>
        <w:spacing w:after="0" w:line="186" w:lineRule="exact"/>
        <w:rPr>
          <w:sz w:val="20"/>
          <w:szCs w:val="20"/>
          <w:color w:val="auto"/>
        </w:rPr>
      </w:pPr>
    </w:p>
    <w:p>
      <w:pPr>
        <w:ind w:right="20"/>
        <w:spacing w:after="0" w:line="258" w:lineRule="auto"/>
        <w:rPr>
          <w:sz w:val="20"/>
          <w:szCs w:val="20"/>
          <w:color w:val="auto"/>
        </w:rPr>
      </w:pPr>
      <w:r>
        <w:rPr>
          <w:rFonts w:ascii="Arial" w:cs="Arial" w:eastAsia="Arial" w:hAnsi="Arial"/>
          <w:sz w:val="19"/>
          <w:szCs w:val="19"/>
          <w:color w:val="auto"/>
        </w:rPr>
        <w:t>In 2018, PGE amortized the $3 million collection from customers that was recorded in 2016 that resulted from variances between actual weather-adjusted use per customer and that projected in the 2016 GRC. The Company recorded an estimated collection of $11 million during the year ended December 31, 2017, which resulted from variances between actual weather-adjusted use per customer and that projected in the 2016 GRC. Collection from customers for the 2017 year is expected to occur over a one-year period, which began January 1, 2019. The Company recorded an estimated collection of $2 million during the year ended December 31, 2018, which resulted from variances between actual weather-adjusted use per customer and that projected in the 2018 GRC. Any collection from customers, as approved, for the 2018 year is expected to occur over a one-year period, which would begin January 1, 2020.</w:t>
      </w:r>
    </w:p>
    <w:p>
      <w:pPr>
        <w:spacing w:after="0" w:line="179" w:lineRule="exact"/>
        <w:rPr>
          <w:sz w:val="20"/>
          <w:szCs w:val="20"/>
          <w:color w:val="auto"/>
        </w:rPr>
      </w:pPr>
    </w:p>
    <w:p>
      <w:pPr>
        <w:spacing w:after="0" w:line="250" w:lineRule="auto"/>
        <w:rPr>
          <w:sz w:val="20"/>
          <w:szCs w:val="20"/>
          <w:color w:val="auto"/>
        </w:rPr>
      </w:pPr>
      <w:r>
        <w:rPr>
          <w:rFonts w:ascii="Arial" w:cs="Arial" w:eastAsia="Arial" w:hAnsi="Arial"/>
          <w:sz w:val="20"/>
          <w:szCs w:val="20"/>
          <w:i w:val="1"/>
          <w:iCs w:val="1"/>
          <w:color w:val="auto"/>
        </w:rPr>
        <w:t>Storm Restoration Costs</w:t>
      </w:r>
      <w:r>
        <w:rPr>
          <w:rFonts w:ascii="Arial" w:cs="Arial" w:eastAsia="Arial" w:hAnsi="Arial"/>
          <w:sz w:val="20"/>
          <w:szCs w:val="20"/>
          <w:color w:val="auto"/>
        </w:rPr>
        <w:t>—Beginning in 2011, the OPUC authorized the Company to collect annually from retail customers to cover</w:t>
      </w:r>
      <w:r>
        <w:rPr>
          <w:rFonts w:ascii="Arial" w:cs="Arial" w:eastAsia="Arial" w:hAnsi="Arial"/>
          <w:sz w:val="20"/>
          <w:szCs w:val="20"/>
          <w:i w:val="1"/>
          <w:iCs w:val="1"/>
          <w:color w:val="auto"/>
        </w:rPr>
        <w:t xml:space="preserve"> </w:t>
      </w:r>
      <w:r>
        <w:rPr>
          <w:rFonts w:ascii="Arial" w:cs="Arial" w:eastAsia="Arial" w:hAnsi="Arial"/>
          <w:sz w:val="20"/>
          <w:szCs w:val="20"/>
          <w:color w:val="auto"/>
        </w:rPr>
        <w:t>incremental expenses related to major storm damages, and to defer any amount not utilized in the current year. Under the 2019 GRC, the annual collection amount increased to $4 million beginning in 2019.</w:t>
      </w:r>
    </w:p>
    <w:p>
      <w:pPr>
        <w:spacing w:after="0" w:line="186" w:lineRule="exact"/>
        <w:rPr>
          <w:sz w:val="20"/>
          <w:szCs w:val="20"/>
          <w:color w:val="auto"/>
        </w:rPr>
      </w:pPr>
    </w:p>
    <w:p>
      <w:pPr>
        <w:ind w:right="200"/>
        <w:spacing w:after="0" w:line="316" w:lineRule="auto"/>
        <w:rPr>
          <w:sz w:val="20"/>
          <w:szCs w:val="20"/>
          <w:color w:val="auto"/>
        </w:rPr>
      </w:pPr>
      <w:r>
        <w:rPr>
          <w:rFonts w:ascii="Arial" w:cs="Arial" w:eastAsia="Arial" w:hAnsi="Arial"/>
          <w:sz w:val="18"/>
          <w:szCs w:val="18"/>
          <w:color w:val="auto"/>
        </w:rPr>
        <w:t>Due to a series of storm events in the first half of 2017, the Company exhausted the storm collection authorized for 2017. Consequently, PGE was exposed to the incremental costs related to such major storm events, which totaled $9 million, net of the amount collected in 2017.</w:t>
      </w:r>
    </w:p>
    <w:p>
      <w:pPr>
        <w:spacing w:after="0" w:line="130" w:lineRule="exact"/>
        <w:rPr>
          <w:sz w:val="20"/>
          <w:szCs w:val="20"/>
          <w:color w:val="auto"/>
        </w:rPr>
      </w:pPr>
    </w:p>
    <w:p>
      <w:pPr>
        <w:ind w:right="220"/>
        <w:spacing w:after="0" w:line="272" w:lineRule="auto"/>
        <w:rPr>
          <w:sz w:val="20"/>
          <w:szCs w:val="20"/>
          <w:color w:val="auto"/>
        </w:rPr>
      </w:pPr>
      <w:r>
        <w:rPr>
          <w:rFonts w:ascii="Arial" w:cs="Arial" w:eastAsia="Arial" w:hAnsi="Arial"/>
          <w:sz w:val="18"/>
          <w:szCs w:val="18"/>
          <w:color w:val="auto"/>
        </w:rPr>
        <w:t>As a result of the additional costs incurred, PGE filed an application with the OPUC requesting authorization to defer incremental storm restoration costs from the date of the application, in the first quarter of 2017, through the end of 2017. An OPUC decision on the application remains pending. The OPUC, in its decision on the Company’s 2019 GRC, directed OPUC Staff to bring this matter before the OPUC within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90 days of the issuance of the decision on the 2019 GRC. The OPUC opened a docket in this matter and established a procedural schedule that concluded with closing briefs June 27, 2019. A decision is expected during the third quarter of 2019. The Company is unable to predict how the OPUC will ultimately rule on this application or state with any certainty whether these incremental costs are probable of recovery and, accordingly, no deferral has been recorded to-date. In the event it becomes probable that some or all of these costs are recoverable, the Company will record a deferral for such amounts at such time.</w:t>
      </w:r>
    </w:p>
    <w:p>
      <w:pPr>
        <w:spacing w:after="0" w:line="198"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The discussion that follows in this MD&amp;A provides additional information related to the Company’s operating activities, legal, regulatory, and environmental matters, results of operations, and liquidity and financing activities.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2" w:right="259" w:bottom="1440" w:gutter="0" w:footer="0" w:header="0"/>
        </w:sectPr>
      </w:pPr>
    </w:p>
    <w:bookmarkStart w:id="43" w:name="page44"/>
    <w:bookmarkEnd w:id="43"/>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Requirements and Financing</w:t>
      </w:r>
    </w:p>
    <w:p>
      <w:pPr>
        <w:spacing w:after="0" w:line="235"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Company expects 2019 capital expenditures to total $620 million, excluding AFDC. For additional information regarding estimated capital expenditures, see “</w:t>
      </w:r>
      <w:r>
        <w:rPr>
          <w:rFonts w:ascii="Arial" w:cs="Arial" w:eastAsia="Arial" w:hAnsi="Arial"/>
          <w:sz w:val="20"/>
          <w:szCs w:val="20"/>
          <w:i w:val="1"/>
          <w:iCs w:val="1"/>
          <w:color w:val="auto"/>
        </w:rPr>
        <w:t>Capital Requirements</w:t>
      </w:r>
      <w:r>
        <w:rPr>
          <w:rFonts w:ascii="Arial" w:cs="Arial" w:eastAsia="Arial" w:hAnsi="Arial"/>
          <w:sz w:val="20"/>
          <w:szCs w:val="20"/>
          <w:color w:val="auto"/>
        </w:rPr>
        <w:t>” in the Liquidity and Capital Resources section of this Item 2.</w:t>
      </w:r>
    </w:p>
    <w:p>
      <w:pPr>
        <w:spacing w:after="0" w:line="190" w:lineRule="exact"/>
        <w:rPr>
          <w:sz w:val="20"/>
          <w:szCs w:val="20"/>
          <w:color w:val="auto"/>
        </w:rPr>
      </w:pPr>
    </w:p>
    <w:p>
      <w:pPr>
        <w:jc w:val="both"/>
        <w:ind w:right="80"/>
        <w:spacing w:after="0" w:line="250" w:lineRule="auto"/>
        <w:rPr>
          <w:sz w:val="20"/>
          <w:szCs w:val="20"/>
          <w:color w:val="auto"/>
        </w:rPr>
      </w:pPr>
      <w:r>
        <w:rPr>
          <w:rFonts w:ascii="Arial" w:cs="Arial" w:eastAsia="Arial" w:hAnsi="Arial"/>
          <w:sz w:val="20"/>
          <w:szCs w:val="20"/>
          <w:color w:val="auto"/>
        </w:rPr>
        <w:t xml:space="preserve">PGE plans to fund capital requirements with cash from operations during 2019, which is expected to range from $550 million to $600 million, and the issuance of debt securities of up to $430 million. For additional information, see </w:t>
      </w:r>
      <w:r>
        <w:rPr>
          <w:rFonts w:ascii="Arial" w:cs="Arial" w:eastAsia="Arial" w:hAnsi="Arial"/>
          <w:sz w:val="20"/>
          <w:szCs w:val="20"/>
          <w:i w:val="1"/>
          <w:iCs w:val="1"/>
          <w:color w:val="auto"/>
        </w:rPr>
        <w:t>“Liquidity”</w:t>
      </w:r>
      <w:r>
        <w:rPr>
          <w:rFonts w:ascii="Arial" w:cs="Arial" w:eastAsia="Arial" w:hAnsi="Arial"/>
          <w:sz w:val="20"/>
          <w:szCs w:val="20"/>
          <w:color w:val="auto"/>
        </w:rPr>
        <w:t xml:space="preserve"> and </w:t>
      </w:r>
      <w:r>
        <w:rPr>
          <w:rFonts w:ascii="Arial" w:cs="Arial" w:eastAsia="Arial" w:hAnsi="Arial"/>
          <w:sz w:val="20"/>
          <w:szCs w:val="20"/>
          <w:i w:val="1"/>
          <w:iCs w:val="1"/>
          <w:color w:val="auto"/>
        </w:rPr>
        <w:t>“Debt and Equity Financings”</w:t>
      </w:r>
      <w:r>
        <w:rPr>
          <w:rFonts w:ascii="Arial" w:cs="Arial" w:eastAsia="Arial" w:hAnsi="Arial"/>
          <w:sz w:val="20"/>
          <w:szCs w:val="20"/>
          <w:color w:val="auto"/>
        </w:rPr>
        <w:t xml:space="preserve"> in the Liquidity and Capital Resources section of this Item 2.</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Activities</w:t>
      </w:r>
    </w:p>
    <w:p>
      <w:pPr>
        <w:spacing w:after="0" w:line="235"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In combination with electricity provided by its own generation portfolio, PGE purchases and sells electricity in the wholesale market to meet its retail load requirements and balance its energy supply with customer demand. PGE participates in the California Independent System Operator’s Energy Imbalance Market, which allows the Company to integrate more renewable energy into the grid by better matching the variable output of renewable resources. PGE also purchases natural gas in the United States and Canada to fuel its generation portfolio and sells excess gas back into the wholesale market.</w:t>
      </w:r>
    </w:p>
    <w:p>
      <w:pPr>
        <w:spacing w:after="0" w:line="208" w:lineRule="exact"/>
        <w:rPr>
          <w:sz w:val="20"/>
          <w:szCs w:val="20"/>
          <w:color w:val="auto"/>
        </w:rPr>
      </w:pPr>
    </w:p>
    <w:p>
      <w:pPr>
        <w:ind w:right="100"/>
        <w:spacing w:after="0" w:line="316" w:lineRule="auto"/>
        <w:rPr>
          <w:sz w:val="20"/>
          <w:szCs w:val="20"/>
          <w:color w:val="auto"/>
        </w:rPr>
      </w:pPr>
      <w:r>
        <w:rPr>
          <w:rFonts w:ascii="Arial" w:cs="Arial" w:eastAsia="Arial" w:hAnsi="Arial"/>
          <w:sz w:val="16"/>
          <w:szCs w:val="16"/>
          <w:color w:val="auto"/>
        </w:rPr>
        <w:t>The Company generates revenues and cash flows primarily from the sale and distribution of electricity to its retail customers. The impact of seasonal weather conditions on demand for electricity can cause the Company’s revenues, cash flows, and income from operations to fluctuate from period to period. Historically, PGE has experienced its highest average MW hours (MWh) deliveries and retail energy sales during the winter heating season, although peak deliveries have increased during the summer months, generally resulting from air conditioning demand. Retail customer price changes and customer usage patterns, which can be affected by the economy, also have an effect on revenues. Wholesale power availability and price, hydro and wind generation, and fuel costs for thermal and gas plants can also affect income from operations.</w:t>
      </w:r>
    </w:p>
    <w:p>
      <w:pPr>
        <w:spacing w:after="0" w:line="148" w:lineRule="exact"/>
        <w:rPr>
          <w:sz w:val="20"/>
          <w:szCs w:val="20"/>
          <w:color w:val="auto"/>
        </w:rPr>
      </w:pPr>
    </w:p>
    <w:p>
      <w:pPr>
        <w:ind w:right="360"/>
        <w:spacing w:after="0" w:line="248" w:lineRule="auto"/>
        <w:rPr>
          <w:sz w:val="20"/>
          <w:szCs w:val="20"/>
          <w:color w:val="auto"/>
        </w:rPr>
      </w:pPr>
      <w:r>
        <w:rPr>
          <w:rFonts w:ascii="Arial" w:cs="Arial" w:eastAsia="Arial" w:hAnsi="Arial"/>
          <w:sz w:val="20"/>
          <w:szCs w:val="20"/>
          <w:b w:val="1"/>
          <w:bCs w:val="1"/>
          <w:color w:val="auto"/>
        </w:rPr>
        <w:t>Customers and Demand—</w:t>
      </w:r>
      <w:r>
        <w:rPr>
          <w:rFonts w:ascii="Arial" w:cs="Arial" w:eastAsia="Arial" w:hAnsi="Arial"/>
          <w:sz w:val="20"/>
          <w:szCs w:val="20"/>
          <w:color w:val="auto"/>
        </w:rPr>
        <w:t>Retail energy deliveries for the six months ended June 30, 2019, increased 2.4% compared with the six months</w:t>
      </w:r>
      <w:r>
        <w:rPr>
          <w:rFonts w:ascii="Arial" w:cs="Arial" w:eastAsia="Arial" w:hAnsi="Arial"/>
          <w:sz w:val="20"/>
          <w:szCs w:val="20"/>
          <w:b w:val="1"/>
          <w:bCs w:val="1"/>
          <w:color w:val="auto"/>
        </w:rPr>
        <w:t xml:space="preserve"> </w:t>
      </w:r>
      <w:r>
        <w:rPr>
          <w:rFonts w:ascii="Arial" w:cs="Arial" w:eastAsia="Arial" w:hAnsi="Arial"/>
          <w:sz w:val="20"/>
          <w:szCs w:val="20"/>
          <w:color w:val="auto"/>
        </w:rPr>
        <w:t>ended June 30, 2018, as illustrated in the table below. This increase was primarily driven by cooler temperatures in the 2019 period, which influenced usage in the residential and commercial classes, and continued growth in demand for energy deliveries from the Company’s industrial customers.</w:t>
      </w:r>
    </w:p>
    <w:p>
      <w:pPr>
        <w:spacing w:after="0" w:line="203" w:lineRule="exact"/>
        <w:rPr>
          <w:sz w:val="20"/>
          <w:szCs w:val="20"/>
          <w:color w:val="auto"/>
        </w:rPr>
      </w:pPr>
    </w:p>
    <w:p>
      <w:pPr>
        <w:ind w:right="220"/>
        <w:spacing w:after="0" w:line="250" w:lineRule="auto"/>
        <w:rPr>
          <w:sz w:val="20"/>
          <w:szCs w:val="20"/>
          <w:color w:val="auto"/>
        </w:rPr>
      </w:pPr>
      <w:r>
        <w:rPr>
          <w:rFonts w:ascii="Arial" w:cs="Arial" w:eastAsia="Arial" w:hAnsi="Arial"/>
          <w:sz w:val="20"/>
          <w:szCs w:val="20"/>
          <w:color w:val="auto"/>
        </w:rPr>
        <w:t>Retail energy deliveries for the first quarter of 2019 increased 4.3% compared with the prior year as cooler temperatures during this heating season in 2019 influenced usage in the residential and commercial classes, while growth in demand continued from the Company’s industrial customers.</w:t>
      </w:r>
    </w:p>
    <w:p>
      <w:pPr>
        <w:spacing w:after="0" w:line="200" w:lineRule="exact"/>
        <w:rPr>
          <w:sz w:val="20"/>
          <w:szCs w:val="20"/>
          <w:color w:val="auto"/>
        </w:rPr>
      </w:pPr>
    </w:p>
    <w:p>
      <w:pPr>
        <w:ind w:right="240"/>
        <w:spacing w:after="0" w:line="246" w:lineRule="auto"/>
        <w:rPr>
          <w:sz w:val="20"/>
          <w:szCs w:val="20"/>
          <w:color w:val="auto"/>
        </w:rPr>
      </w:pPr>
      <w:r>
        <w:rPr>
          <w:rFonts w:ascii="Arial" w:cs="Arial" w:eastAsia="Arial" w:hAnsi="Arial"/>
          <w:sz w:val="20"/>
          <w:szCs w:val="20"/>
          <w:color w:val="auto"/>
        </w:rPr>
        <w:t>In the second quarter of 2019, retail energy deliveries increased 0.2%. Energy deliveries to industrial customers were up 9.7% for the quarter compared with the prior year. Residential energy deliveries decreased 5.3% and commercial deliveries were down 0.3% compared with the second quarter of 2018 with the decreases driven primarily by lower average usage per customer and customers’ response to milder temperatures.</w:t>
      </w:r>
    </w:p>
    <w:p>
      <w:pPr>
        <w:spacing w:after="0" w:line="205" w:lineRule="exact"/>
        <w:rPr>
          <w:sz w:val="20"/>
          <w:szCs w:val="20"/>
          <w:color w:val="auto"/>
        </w:rPr>
      </w:pPr>
    </w:p>
    <w:p>
      <w:pPr>
        <w:ind w:right="40"/>
        <w:spacing w:after="0" w:line="260" w:lineRule="auto"/>
        <w:rPr>
          <w:sz w:val="20"/>
          <w:szCs w:val="20"/>
          <w:color w:val="auto"/>
        </w:rPr>
      </w:pPr>
      <w:r>
        <w:rPr>
          <w:rFonts w:ascii="Arial" w:cs="Arial" w:eastAsia="Arial" w:hAnsi="Arial"/>
          <w:sz w:val="19"/>
          <w:szCs w:val="19"/>
          <w:color w:val="auto"/>
        </w:rPr>
        <w:t xml:space="preserve">In the second quarter of 2019, customer demand was influenced by milder temperatures as the summer cooling season began, with cooling degree-days, an indication of the extent to which customers may have used electricity for air conditioning, 12% below the second quarter of 2018, although still 16% above historical averages. Heating degree-days, an indication of the extent to which customers are likely to have used electricity for heating, were 1% below the second quarter of 2018, which was 28% below the historical average. See </w:t>
      </w:r>
      <w:r>
        <w:rPr>
          <w:rFonts w:ascii="Arial" w:cs="Arial" w:eastAsia="Arial" w:hAnsi="Arial"/>
          <w:sz w:val="19"/>
          <w:szCs w:val="19"/>
          <w:i w:val="1"/>
          <w:iCs w:val="1"/>
          <w:color w:val="auto"/>
        </w:rPr>
        <w:t>“Revenues”</w:t>
      </w:r>
      <w:r>
        <w:rPr>
          <w:rFonts w:ascii="Arial" w:cs="Arial" w:eastAsia="Arial" w:hAnsi="Arial"/>
          <w:sz w:val="19"/>
          <w:szCs w:val="19"/>
          <w:color w:val="auto"/>
        </w:rPr>
        <w:t xml:space="preserve"> in the Results of Operations section of this Item 2 for further information on heating degree-days.</w:t>
      </w:r>
    </w:p>
    <w:p>
      <w:pPr>
        <w:spacing w:after="0" w:line="194"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After adjusting for the effects of weather, retail energy deliveries for the six months ended June 30, 2019 increased by 0.3% from the same period of 2018. Increased deliveries to high tech manufacturing customers continue to be partially offset by energy efficiency and conservation efforts and decreased average usage per customer. The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2" w:right="259" w:bottom="1440" w:gutter="0" w:footer="0" w:header="0"/>
        </w:sectPr>
      </w:pPr>
    </w:p>
    <w:bookmarkStart w:id="44" w:name="page45"/>
    <w:bookmarkEnd w:id="44"/>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300" w:lineRule="exact"/>
        <w:rPr>
          <w:sz w:val="20"/>
          <w:szCs w:val="20"/>
          <w:color w:val="auto"/>
        </w:rPr>
      </w:pPr>
    </w:p>
    <w:p>
      <w:pPr>
        <w:ind w:right="640"/>
        <w:spacing w:after="0" w:line="316" w:lineRule="auto"/>
        <w:rPr>
          <w:sz w:val="20"/>
          <w:szCs w:val="20"/>
          <w:color w:val="auto"/>
        </w:rPr>
      </w:pPr>
      <w:r>
        <w:rPr>
          <w:rFonts w:ascii="Arial" w:cs="Arial" w:eastAsia="Arial" w:hAnsi="Arial"/>
          <w:sz w:val="18"/>
          <w:szCs w:val="18"/>
          <w:color w:val="auto"/>
        </w:rPr>
        <w:t xml:space="preserve">financial effects of such energy efficiency and conservation efforts by residential and certain commercial customers are mitigated by the decoupling mechanism. See </w:t>
      </w:r>
      <w:r>
        <w:rPr>
          <w:rFonts w:ascii="Arial" w:cs="Arial" w:eastAsia="Arial" w:hAnsi="Arial"/>
          <w:sz w:val="18"/>
          <w:szCs w:val="18"/>
          <w:i w:val="1"/>
          <w:iCs w:val="1"/>
          <w:color w:val="auto"/>
        </w:rPr>
        <w:t>“Decoupling”</w:t>
      </w:r>
      <w:r>
        <w:rPr>
          <w:rFonts w:ascii="Arial" w:cs="Arial" w:eastAsia="Arial" w:hAnsi="Arial"/>
          <w:sz w:val="18"/>
          <w:szCs w:val="18"/>
          <w:color w:val="auto"/>
        </w:rPr>
        <w:t xml:space="preserve"> in this Overview section of Item 2 for further information on the decoupling mechanism.</w:t>
      </w:r>
    </w:p>
    <w:p>
      <w:pPr>
        <w:spacing w:after="0" w:line="144" w:lineRule="exact"/>
        <w:rPr>
          <w:sz w:val="20"/>
          <w:szCs w:val="20"/>
          <w:color w:val="auto"/>
        </w:rPr>
      </w:pPr>
    </w:p>
    <w:p>
      <w:pPr>
        <w:ind w:right="20"/>
        <w:spacing w:after="0" w:line="386" w:lineRule="auto"/>
        <w:rPr>
          <w:sz w:val="20"/>
          <w:szCs w:val="20"/>
          <w:color w:val="auto"/>
        </w:rPr>
      </w:pPr>
      <w:r>
        <w:rPr>
          <w:rFonts w:ascii="Arial" w:cs="Arial" w:eastAsia="Arial" w:hAnsi="Arial"/>
          <w:sz w:val="16"/>
          <w:szCs w:val="16"/>
          <w:color w:val="auto"/>
        </w:rPr>
        <w:t>The following table, which includes deliveries to the Company’s Direct Access customers, who purchase their energy from Electricity Service Suppliers, presents the average number of retail customers by customer type, and the corresponding energy deliveries, for the periods indicated: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7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0" w:type="dxa"/>
            <w:vAlign w:val="bottom"/>
            <w:gridSpan w:val="4"/>
          </w:tcPr>
          <w:p>
            <w:pPr>
              <w:ind w:left="160"/>
              <w:spacing w:after="0"/>
              <w:rPr>
                <w:sz w:val="20"/>
                <w:szCs w:val="20"/>
                <w:color w:val="auto"/>
              </w:rPr>
            </w:pPr>
            <w:r>
              <w:rPr>
                <w:rFonts w:ascii="Arial" w:cs="Arial" w:eastAsia="Arial" w:hAnsi="Arial"/>
                <w:sz w:val="20"/>
                <w:szCs w:val="20"/>
                <w:b w:val="1"/>
                <w:bCs w:val="1"/>
                <w:color w:val="auto"/>
              </w:rPr>
              <w:t>Six Months Ended June 30,</w:t>
            </w:r>
          </w:p>
        </w:tc>
        <w:tc>
          <w:tcPr>
            <w:tcW w:w="13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3"/>
        </w:trPr>
        <w:tc>
          <w:tcPr>
            <w:tcW w:w="3780" w:type="dxa"/>
            <w:vAlign w:val="bottom"/>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c>
          <w:tcPr>
            <w:tcW w:w="1560" w:type="dxa"/>
            <w:vAlign w:val="bottom"/>
          </w:tcPr>
          <w:p>
            <w:pPr>
              <w:spacing w:after="0"/>
              <w:rPr>
                <w:sz w:val="2"/>
                <w:szCs w:val="2"/>
                <w:color w:val="auto"/>
              </w:rPr>
            </w:pPr>
          </w:p>
        </w:tc>
      </w:tr>
      <w:tr>
        <w:trPr>
          <w:trHeight w:val="277"/>
        </w:trPr>
        <w:tc>
          <w:tcPr>
            <w:tcW w:w="3780" w:type="dxa"/>
            <w:vAlign w:val="bottom"/>
          </w:tcPr>
          <w:p>
            <w:pPr>
              <w:spacing w:after="0"/>
              <w:rPr>
                <w:sz w:val="24"/>
                <w:szCs w:val="2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2019</w:t>
            </w:r>
          </w:p>
        </w:tc>
        <w:tc>
          <w:tcPr>
            <w:tcW w:w="13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tcBorders>
              <w:bottom w:val="single" w:sz="8" w:color="auto"/>
            </w:tcBorders>
            <w:gridSpan w:val="3"/>
          </w:tcPr>
          <w:p>
            <w:pPr>
              <w:jc w:val="right"/>
              <w:ind w:right="1081"/>
              <w:spacing w:after="0"/>
              <w:rPr>
                <w:sz w:val="20"/>
                <w:szCs w:val="20"/>
                <w:color w:val="auto"/>
              </w:rPr>
            </w:pPr>
            <w:r>
              <w:rPr>
                <w:rFonts w:ascii="Arial" w:cs="Arial" w:eastAsia="Arial" w:hAnsi="Arial"/>
                <w:sz w:val="20"/>
                <w:szCs w:val="20"/>
                <w:b w:val="1"/>
                <w:bCs w:val="1"/>
                <w:color w:val="auto"/>
              </w:rPr>
              <w:t>2018</w:t>
            </w:r>
          </w:p>
        </w:tc>
        <w:tc>
          <w:tcPr>
            <w:tcW w:w="1560" w:type="dxa"/>
            <w:vAlign w:val="bottom"/>
          </w:tcPr>
          <w:p>
            <w:pPr>
              <w:jc w:val="center"/>
              <w:ind w:left="21"/>
              <w:spacing w:after="0"/>
              <w:rPr>
                <w:sz w:val="20"/>
                <w:szCs w:val="20"/>
                <w:color w:val="auto"/>
              </w:rPr>
            </w:pPr>
            <w:r>
              <w:rPr>
                <w:rFonts w:ascii="Arial" w:cs="Arial" w:eastAsia="Arial" w:hAnsi="Arial"/>
                <w:sz w:val="20"/>
                <w:szCs w:val="20"/>
                <w:b w:val="1"/>
                <w:bCs w:val="1"/>
                <w:color w:val="auto"/>
                <w:w w:val="91"/>
              </w:rPr>
              <w:t>% Increase</w:t>
            </w:r>
          </w:p>
        </w:tc>
      </w:tr>
      <w:tr>
        <w:trPr>
          <w:trHeight w:val="227"/>
        </w:trPr>
        <w:tc>
          <w:tcPr>
            <w:tcW w:w="3780" w:type="dxa"/>
            <w:vAlign w:val="bottom"/>
          </w:tcPr>
          <w:p>
            <w:pPr>
              <w:spacing w:after="0"/>
              <w:rPr>
                <w:sz w:val="19"/>
                <w:szCs w:val="19"/>
                <w:color w:val="auto"/>
              </w:rPr>
            </w:pPr>
          </w:p>
        </w:tc>
        <w:tc>
          <w:tcPr>
            <w:tcW w:w="1740" w:type="dxa"/>
            <w:vAlign w:val="bottom"/>
            <w:gridSpan w:val="3"/>
          </w:tcPr>
          <w:p>
            <w:pPr>
              <w:jc w:val="center"/>
              <w:ind w:right="380"/>
              <w:spacing w:after="0" w:line="228" w:lineRule="exact"/>
              <w:rPr>
                <w:sz w:val="20"/>
                <w:szCs w:val="20"/>
                <w:color w:val="auto"/>
              </w:rPr>
            </w:pPr>
            <w:r>
              <w:rPr>
                <w:rFonts w:ascii="Arial" w:cs="Arial" w:eastAsia="Arial" w:hAnsi="Arial"/>
                <w:sz w:val="20"/>
                <w:szCs w:val="20"/>
                <w:b w:val="1"/>
                <w:bCs w:val="1"/>
                <w:color w:val="auto"/>
                <w:w w:val="86"/>
              </w:rPr>
              <w:t>Average</w:t>
            </w: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center"/>
              <w:ind w:right="120"/>
              <w:spacing w:after="0" w:line="228" w:lineRule="exact"/>
              <w:rPr>
                <w:sz w:val="20"/>
                <w:szCs w:val="20"/>
                <w:color w:val="auto"/>
              </w:rPr>
            </w:pPr>
            <w:r>
              <w:rPr>
                <w:rFonts w:ascii="Arial" w:cs="Arial" w:eastAsia="Arial" w:hAnsi="Arial"/>
                <w:sz w:val="20"/>
                <w:szCs w:val="20"/>
                <w:b w:val="1"/>
                <w:bCs w:val="1"/>
                <w:color w:val="auto"/>
                <w:w w:val="88"/>
              </w:rPr>
              <w:t>Average</w:t>
            </w:r>
          </w:p>
        </w:tc>
        <w:tc>
          <w:tcPr>
            <w:tcW w:w="1340" w:type="dxa"/>
            <w:vAlign w:val="bottom"/>
          </w:tcPr>
          <w:p>
            <w:pPr>
              <w:spacing w:after="0"/>
              <w:rPr>
                <w:sz w:val="19"/>
                <w:szCs w:val="19"/>
                <w:color w:val="auto"/>
              </w:rPr>
            </w:pPr>
          </w:p>
        </w:tc>
        <w:tc>
          <w:tcPr>
            <w:tcW w:w="1560" w:type="dxa"/>
            <w:vAlign w:val="bottom"/>
          </w:tcPr>
          <w:p>
            <w:pPr>
              <w:jc w:val="center"/>
              <w:ind w:left="1"/>
              <w:spacing w:after="0" w:line="228" w:lineRule="exact"/>
              <w:rPr>
                <w:sz w:val="20"/>
                <w:szCs w:val="20"/>
                <w:color w:val="auto"/>
              </w:rPr>
            </w:pPr>
            <w:r>
              <w:rPr>
                <w:rFonts w:ascii="Arial" w:cs="Arial" w:eastAsia="Arial" w:hAnsi="Arial"/>
                <w:sz w:val="20"/>
                <w:szCs w:val="20"/>
                <w:b w:val="1"/>
                <w:bCs w:val="1"/>
                <w:color w:val="auto"/>
                <w:w w:val="87"/>
              </w:rPr>
              <w:t>(Decrease) in</w:t>
            </w:r>
          </w:p>
        </w:tc>
      </w:tr>
      <w:tr>
        <w:trPr>
          <w:trHeight w:val="230"/>
        </w:trPr>
        <w:tc>
          <w:tcPr>
            <w:tcW w:w="3780" w:type="dxa"/>
            <w:vAlign w:val="bottom"/>
          </w:tcPr>
          <w:p>
            <w:pPr>
              <w:spacing w:after="0"/>
              <w:rPr>
                <w:sz w:val="19"/>
                <w:szCs w:val="19"/>
                <w:color w:val="auto"/>
              </w:rPr>
            </w:pPr>
          </w:p>
        </w:tc>
        <w:tc>
          <w:tcPr>
            <w:tcW w:w="1740" w:type="dxa"/>
            <w:vAlign w:val="bottom"/>
            <w:gridSpan w:val="3"/>
          </w:tcPr>
          <w:p>
            <w:pPr>
              <w:jc w:val="center"/>
              <w:ind w:right="380"/>
              <w:spacing w:after="0"/>
              <w:rPr>
                <w:sz w:val="20"/>
                <w:szCs w:val="20"/>
                <w:color w:val="auto"/>
              </w:rPr>
            </w:pPr>
            <w:r>
              <w:rPr>
                <w:rFonts w:ascii="Arial" w:cs="Arial" w:eastAsia="Arial" w:hAnsi="Arial"/>
                <w:sz w:val="20"/>
                <w:szCs w:val="20"/>
                <w:b w:val="1"/>
                <w:bCs w:val="1"/>
                <w:color w:val="auto"/>
                <w:w w:val="91"/>
              </w:rPr>
              <w:t>Number of</w:t>
            </w:r>
          </w:p>
        </w:tc>
        <w:tc>
          <w:tcPr>
            <w:tcW w:w="154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92"/>
              </w:rPr>
              <w:t>Retail Energy</w:t>
            </w:r>
          </w:p>
        </w:tc>
        <w:tc>
          <w:tcPr>
            <w:tcW w:w="146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91"/>
              </w:rPr>
              <w:t>Number of</w:t>
            </w:r>
          </w:p>
        </w:tc>
        <w:tc>
          <w:tcPr>
            <w:tcW w:w="1340" w:type="dxa"/>
            <w:vAlign w:val="bottom"/>
          </w:tcPr>
          <w:p>
            <w:pPr>
              <w:jc w:val="right"/>
              <w:spacing w:after="0"/>
              <w:rPr>
                <w:sz w:val="20"/>
                <w:szCs w:val="20"/>
                <w:color w:val="auto"/>
              </w:rPr>
            </w:pPr>
            <w:r>
              <w:rPr>
                <w:rFonts w:ascii="Arial" w:cs="Arial" w:eastAsia="Arial" w:hAnsi="Arial"/>
                <w:sz w:val="20"/>
                <w:szCs w:val="20"/>
                <w:b w:val="1"/>
                <w:bCs w:val="1"/>
                <w:color w:val="auto"/>
                <w:w w:val="96"/>
              </w:rPr>
              <w:t>Retail Energy</w:t>
            </w:r>
          </w:p>
        </w:tc>
        <w:tc>
          <w:tcPr>
            <w:tcW w:w="1560" w:type="dxa"/>
            <w:vAlign w:val="bottom"/>
          </w:tcPr>
          <w:p>
            <w:pPr>
              <w:jc w:val="center"/>
              <w:ind w:left="1"/>
              <w:spacing w:after="0"/>
              <w:rPr>
                <w:sz w:val="20"/>
                <w:szCs w:val="20"/>
                <w:color w:val="auto"/>
              </w:rPr>
            </w:pPr>
            <w:r>
              <w:rPr>
                <w:rFonts w:ascii="Arial" w:cs="Arial" w:eastAsia="Arial" w:hAnsi="Arial"/>
                <w:sz w:val="20"/>
                <w:szCs w:val="20"/>
                <w:b w:val="1"/>
                <w:bCs w:val="1"/>
                <w:color w:val="auto"/>
                <w:w w:val="91"/>
              </w:rPr>
              <w:t>Energy</w:t>
            </w:r>
          </w:p>
        </w:tc>
      </w:tr>
      <w:tr>
        <w:trPr>
          <w:trHeight w:val="256"/>
        </w:trPr>
        <w:tc>
          <w:tcPr>
            <w:tcW w:w="3780" w:type="dxa"/>
            <w:vAlign w:val="bottom"/>
          </w:tcPr>
          <w:p>
            <w:pPr>
              <w:spacing w:after="0"/>
              <w:rPr>
                <w:sz w:val="22"/>
                <w:szCs w:val="22"/>
                <w:color w:val="auto"/>
              </w:rPr>
            </w:pPr>
          </w:p>
        </w:tc>
        <w:tc>
          <w:tcPr>
            <w:tcW w:w="1740" w:type="dxa"/>
            <w:vAlign w:val="bottom"/>
            <w:gridSpan w:val="3"/>
          </w:tcPr>
          <w:p>
            <w:pPr>
              <w:jc w:val="center"/>
              <w:ind w:right="380"/>
              <w:spacing w:after="0"/>
              <w:rPr>
                <w:sz w:val="20"/>
                <w:szCs w:val="20"/>
                <w:color w:val="auto"/>
              </w:rPr>
            </w:pPr>
            <w:r>
              <w:rPr>
                <w:rFonts w:ascii="Arial" w:cs="Arial" w:eastAsia="Arial" w:hAnsi="Arial"/>
                <w:sz w:val="20"/>
                <w:szCs w:val="20"/>
                <w:b w:val="1"/>
                <w:bCs w:val="1"/>
                <w:color w:val="auto"/>
                <w:w w:val="88"/>
              </w:rPr>
              <w:t>Customers</w:t>
            </w:r>
          </w:p>
        </w:tc>
        <w:tc>
          <w:tcPr>
            <w:tcW w:w="154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91"/>
              </w:rPr>
              <w:t>Deliveries*</w:t>
            </w:r>
          </w:p>
        </w:tc>
        <w:tc>
          <w:tcPr>
            <w:tcW w:w="1460" w:type="dxa"/>
            <w:vAlign w:val="bottom"/>
            <w:gridSpan w:val="2"/>
          </w:tcPr>
          <w:p>
            <w:pPr>
              <w:jc w:val="center"/>
              <w:ind w:right="120"/>
              <w:spacing w:after="0"/>
              <w:rPr>
                <w:sz w:val="20"/>
                <w:szCs w:val="20"/>
                <w:color w:val="auto"/>
              </w:rPr>
            </w:pPr>
            <w:r>
              <w:rPr>
                <w:rFonts w:ascii="Arial" w:cs="Arial" w:eastAsia="Arial" w:hAnsi="Arial"/>
                <w:sz w:val="20"/>
                <w:szCs w:val="20"/>
                <w:b w:val="1"/>
                <w:bCs w:val="1"/>
                <w:color w:val="auto"/>
                <w:w w:val="86"/>
              </w:rPr>
              <w:t>Customers</w:t>
            </w:r>
          </w:p>
        </w:tc>
        <w:tc>
          <w:tcPr>
            <w:tcW w:w="1340" w:type="dxa"/>
            <w:vAlign w:val="bottom"/>
          </w:tcPr>
          <w:p>
            <w:pPr>
              <w:jc w:val="right"/>
              <w:ind w:right="101"/>
              <w:spacing w:after="0"/>
              <w:rPr>
                <w:sz w:val="20"/>
                <w:szCs w:val="20"/>
                <w:color w:val="auto"/>
              </w:rPr>
            </w:pPr>
            <w:r>
              <w:rPr>
                <w:rFonts w:ascii="Arial" w:cs="Arial" w:eastAsia="Arial" w:hAnsi="Arial"/>
                <w:sz w:val="20"/>
                <w:szCs w:val="20"/>
                <w:b w:val="1"/>
                <w:bCs w:val="1"/>
                <w:color w:val="auto"/>
              </w:rPr>
              <w:t>Deliveries*</w:t>
            </w:r>
          </w:p>
        </w:tc>
        <w:tc>
          <w:tcPr>
            <w:tcW w:w="1560" w:type="dxa"/>
            <w:vAlign w:val="bottom"/>
          </w:tcPr>
          <w:p>
            <w:pPr>
              <w:jc w:val="center"/>
              <w:ind w:left="21"/>
              <w:spacing w:after="0"/>
              <w:rPr>
                <w:sz w:val="20"/>
                <w:szCs w:val="20"/>
                <w:color w:val="auto"/>
              </w:rPr>
            </w:pPr>
            <w:r>
              <w:rPr>
                <w:rFonts w:ascii="Arial" w:cs="Arial" w:eastAsia="Arial" w:hAnsi="Arial"/>
                <w:sz w:val="20"/>
                <w:szCs w:val="20"/>
                <w:b w:val="1"/>
                <w:bCs w:val="1"/>
                <w:color w:val="auto"/>
                <w:w w:val="88"/>
              </w:rPr>
              <w:t>Deliveries</w:t>
            </w:r>
          </w:p>
        </w:tc>
      </w:tr>
      <w:tr>
        <w:trPr>
          <w:trHeight w:val="23"/>
        </w:trPr>
        <w:tc>
          <w:tcPr>
            <w:tcW w:w="37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7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Residential</w:t>
            </w: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776,816</w:t>
            </w:r>
          </w:p>
        </w:tc>
        <w:tc>
          <w:tcPr>
            <w:tcW w:w="2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3,782</w:t>
            </w:r>
          </w:p>
        </w:tc>
        <w:tc>
          <w:tcPr>
            <w:tcW w:w="2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770,247</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3,745</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w:t>
            </w:r>
          </w:p>
        </w:tc>
      </w:tr>
      <w:tr>
        <w:trPr>
          <w:trHeight w:val="223"/>
        </w:trPr>
        <w:tc>
          <w:tcPr>
            <w:tcW w:w="378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560" w:type="dxa"/>
            <w:vAlign w:val="bottom"/>
          </w:tcPr>
          <w:p>
            <w:pPr>
              <w:spacing w:after="0"/>
              <w:rPr>
                <w:sz w:val="19"/>
                <w:szCs w:val="19"/>
                <w:color w:val="auto"/>
              </w:rPr>
            </w:pPr>
          </w:p>
        </w:tc>
      </w:tr>
      <w:tr>
        <w:trPr>
          <w:trHeight w:val="26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Commercial (PGE sales only)</w:t>
            </w: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109,470</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3,261</w:t>
            </w: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107,834</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3,251</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0.3%</w:t>
            </w:r>
          </w:p>
        </w:tc>
      </w:tr>
      <w:tr>
        <w:trPr>
          <w:trHeight w:val="261"/>
        </w:trPr>
        <w:tc>
          <w:tcPr>
            <w:tcW w:w="3780" w:type="dxa"/>
            <w:vAlign w:val="bottom"/>
          </w:tcPr>
          <w:p>
            <w:pPr>
              <w:ind w:left="280"/>
              <w:spacing w:after="0"/>
              <w:rPr>
                <w:sz w:val="20"/>
                <w:szCs w:val="20"/>
                <w:color w:val="auto"/>
              </w:rPr>
            </w:pPr>
            <w:r>
              <w:rPr>
                <w:rFonts w:ascii="Arial" w:cs="Arial" w:eastAsia="Arial" w:hAnsi="Arial"/>
                <w:sz w:val="20"/>
                <w:szCs w:val="20"/>
                <w:color w:val="auto"/>
              </w:rPr>
              <w:t>Direct Access</w:t>
            </w:r>
          </w:p>
        </w:tc>
        <w:tc>
          <w:tcPr>
            <w:tcW w:w="1380" w:type="dxa"/>
            <w:vAlign w:val="bottom"/>
          </w:tcPr>
          <w:p>
            <w:pPr>
              <w:jc w:val="right"/>
              <w:ind w:right="21"/>
              <w:spacing w:after="0"/>
              <w:rPr>
                <w:sz w:val="20"/>
                <w:szCs w:val="20"/>
                <w:color w:val="auto"/>
              </w:rPr>
            </w:pPr>
            <w:r>
              <w:rPr>
                <w:rFonts w:ascii="Arial" w:cs="Arial" w:eastAsia="Arial" w:hAnsi="Arial"/>
                <w:sz w:val="20"/>
                <w:szCs w:val="20"/>
                <w:color w:val="auto"/>
              </w:rPr>
              <w:t>565</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
              <w:spacing w:after="0"/>
              <w:rPr>
                <w:sz w:val="20"/>
                <w:szCs w:val="20"/>
                <w:color w:val="auto"/>
              </w:rPr>
            </w:pPr>
            <w:r>
              <w:rPr>
                <w:rFonts w:ascii="Arial" w:cs="Arial" w:eastAsia="Arial" w:hAnsi="Arial"/>
                <w:sz w:val="20"/>
                <w:szCs w:val="20"/>
                <w:color w:val="auto"/>
              </w:rPr>
              <w:t>341</w:t>
            </w:r>
          </w:p>
        </w:tc>
        <w:tc>
          <w:tcPr>
            <w:tcW w:w="220" w:type="dxa"/>
            <w:vAlign w:val="bottom"/>
          </w:tcPr>
          <w:p>
            <w:pPr>
              <w:spacing w:after="0"/>
              <w:rPr>
                <w:sz w:val="22"/>
                <w:szCs w:val="22"/>
                <w:color w:val="auto"/>
              </w:rPr>
            </w:pPr>
          </w:p>
        </w:tc>
        <w:tc>
          <w:tcPr>
            <w:tcW w:w="1340" w:type="dxa"/>
            <w:vAlign w:val="bottom"/>
          </w:tcPr>
          <w:p>
            <w:pPr>
              <w:jc w:val="right"/>
              <w:ind w:right="1"/>
              <w:spacing w:after="0"/>
              <w:rPr>
                <w:sz w:val="20"/>
                <w:szCs w:val="20"/>
                <w:color w:val="auto"/>
              </w:rPr>
            </w:pPr>
            <w:r>
              <w:rPr>
                <w:rFonts w:ascii="Arial" w:cs="Arial" w:eastAsia="Arial" w:hAnsi="Arial"/>
                <w:sz w:val="20"/>
                <w:szCs w:val="20"/>
                <w:color w:val="auto"/>
              </w:rPr>
              <w:t>531</w:t>
            </w:r>
          </w:p>
        </w:tc>
        <w:tc>
          <w:tcPr>
            <w:tcW w:w="120" w:type="dxa"/>
            <w:vAlign w:val="bottom"/>
          </w:tcPr>
          <w:p>
            <w:pPr>
              <w:spacing w:after="0"/>
              <w:rPr>
                <w:sz w:val="22"/>
                <w:szCs w:val="22"/>
                <w:color w:val="auto"/>
              </w:rPr>
            </w:pPr>
          </w:p>
        </w:tc>
        <w:tc>
          <w:tcPr>
            <w:tcW w:w="1340" w:type="dxa"/>
            <w:vAlign w:val="bottom"/>
          </w:tcPr>
          <w:p>
            <w:pPr>
              <w:jc w:val="right"/>
              <w:ind w:right="1"/>
              <w:spacing w:after="0"/>
              <w:rPr>
                <w:sz w:val="20"/>
                <w:szCs w:val="20"/>
                <w:color w:val="auto"/>
              </w:rPr>
            </w:pPr>
            <w:r>
              <w:rPr>
                <w:rFonts w:ascii="Arial" w:cs="Arial" w:eastAsia="Arial" w:hAnsi="Arial"/>
                <w:sz w:val="20"/>
                <w:szCs w:val="20"/>
                <w:color w:val="auto"/>
              </w:rPr>
              <w:t>311</w:t>
            </w:r>
          </w:p>
        </w:tc>
        <w:tc>
          <w:tcPr>
            <w:tcW w:w="1560" w:type="dxa"/>
            <w:vAlign w:val="bottom"/>
          </w:tcPr>
          <w:p>
            <w:pPr>
              <w:jc w:val="right"/>
              <w:spacing w:after="0"/>
              <w:rPr>
                <w:sz w:val="20"/>
                <w:szCs w:val="20"/>
                <w:color w:val="auto"/>
              </w:rPr>
            </w:pPr>
            <w:r>
              <w:rPr>
                <w:rFonts w:ascii="Arial" w:cs="Arial" w:eastAsia="Arial" w:hAnsi="Arial"/>
                <w:sz w:val="20"/>
                <w:szCs w:val="20"/>
                <w:color w:val="auto"/>
              </w:rPr>
              <w:t>9.6%</w:t>
            </w:r>
          </w:p>
        </w:tc>
      </w:tr>
      <w:tr>
        <w:trPr>
          <w:trHeight w:val="23"/>
        </w:trPr>
        <w:tc>
          <w:tcPr>
            <w:tcW w:w="37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7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Total Commercial</w:t>
            </w: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110,035</w:t>
            </w:r>
          </w:p>
        </w:tc>
        <w:tc>
          <w:tcPr>
            <w:tcW w:w="2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3,602</w:t>
            </w:r>
          </w:p>
        </w:tc>
        <w:tc>
          <w:tcPr>
            <w:tcW w:w="2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108,365</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3,562</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1.1%</w:t>
            </w:r>
          </w:p>
        </w:tc>
      </w:tr>
      <w:tr>
        <w:trPr>
          <w:trHeight w:val="223"/>
        </w:trPr>
        <w:tc>
          <w:tcPr>
            <w:tcW w:w="378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560" w:type="dxa"/>
            <w:vAlign w:val="bottom"/>
          </w:tcPr>
          <w:p>
            <w:pPr>
              <w:spacing w:after="0"/>
              <w:rPr>
                <w:sz w:val="19"/>
                <w:szCs w:val="19"/>
                <w:color w:val="auto"/>
              </w:rPr>
            </w:pPr>
          </w:p>
        </w:tc>
      </w:tr>
      <w:tr>
        <w:trPr>
          <w:trHeight w:val="26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Industrial (PGE sales only)</w:t>
            </w: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195</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1,510</w:t>
            </w: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206</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1,397</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8.1%</w:t>
            </w:r>
          </w:p>
        </w:tc>
      </w:tr>
      <w:tr>
        <w:trPr>
          <w:trHeight w:val="261"/>
        </w:trPr>
        <w:tc>
          <w:tcPr>
            <w:tcW w:w="3780" w:type="dxa"/>
            <w:vAlign w:val="bottom"/>
          </w:tcPr>
          <w:p>
            <w:pPr>
              <w:ind w:left="280"/>
              <w:spacing w:after="0"/>
              <w:rPr>
                <w:sz w:val="20"/>
                <w:szCs w:val="20"/>
                <w:color w:val="auto"/>
              </w:rPr>
            </w:pPr>
            <w:r>
              <w:rPr>
                <w:rFonts w:ascii="Arial" w:cs="Arial" w:eastAsia="Arial" w:hAnsi="Arial"/>
                <w:sz w:val="20"/>
                <w:szCs w:val="20"/>
                <w:color w:val="auto"/>
              </w:rPr>
              <w:t>Direct Access</w:t>
            </w:r>
          </w:p>
        </w:tc>
        <w:tc>
          <w:tcPr>
            <w:tcW w:w="1380" w:type="dxa"/>
            <w:vAlign w:val="bottom"/>
          </w:tcPr>
          <w:p>
            <w:pPr>
              <w:jc w:val="right"/>
              <w:ind w:right="21"/>
              <w:spacing w:after="0"/>
              <w:rPr>
                <w:sz w:val="20"/>
                <w:szCs w:val="20"/>
                <w:color w:val="auto"/>
              </w:rPr>
            </w:pPr>
            <w:r>
              <w:rPr>
                <w:rFonts w:ascii="Arial" w:cs="Arial" w:eastAsia="Arial" w:hAnsi="Arial"/>
                <w:sz w:val="20"/>
                <w:szCs w:val="20"/>
                <w:color w:val="auto"/>
              </w:rPr>
              <w:t>68</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
              <w:spacing w:after="0"/>
              <w:rPr>
                <w:sz w:val="20"/>
                <w:szCs w:val="20"/>
                <w:color w:val="auto"/>
              </w:rPr>
            </w:pPr>
            <w:r>
              <w:rPr>
                <w:rFonts w:ascii="Arial" w:cs="Arial" w:eastAsia="Arial" w:hAnsi="Arial"/>
                <w:sz w:val="20"/>
                <w:szCs w:val="20"/>
                <w:color w:val="auto"/>
              </w:rPr>
              <w:t>720</w:t>
            </w:r>
          </w:p>
        </w:tc>
        <w:tc>
          <w:tcPr>
            <w:tcW w:w="220" w:type="dxa"/>
            <w:vAlign w:val="bottom"/>
          </w:tcPr>
          <w:p>
            <w:pPr>
              <w:spacing w:after="0"/>
              <w:rPr>
                <w:sz w:val="22"/>
                <w:szCs w:val="22"/>
                <w:color w:val="auto"/>
              </w:rPr>
            </w:pPr>
          </w:p>
        </w:tc>
        <w:tc>
          <w:tcPr>
            <w:tcW w:w="1340" w:type="dxa"/>
            <w:vAlign w:val="bottom"/>
          </w:tcPr>
          <w:p>
            <w:pPr>
              <w:jc w:val="right"/>
              <w:ind w:right="1"/>
              <w:spacing w:after="0"/>
              <w:rPr>
                <w:sz w:val="20"/>
                <w:szCs w:val="20"/>
                <w:color w:val="auto"/>
              </w:rPr>
            </w:pPr>
            <w:r>
              <w:rPr>
                <w:rFonts w:ascii="Arial" w:cs="Arial" w:eastAsia="Arial" w:hAnsi="Arial"/>
                <w:sz w:val="20"/>
                <w:szCs w:val="20"/>
                <w:color w:val="auto"/>
              </w:rPr>
              <w:t>66</w:t>
            </w:r>
          </w:p>
        </w:tc>
        <w:tc>
          <w:tcPr>
            <w:tcW w:w="120" w:type="dxa"/>
            <w:vAlign w:val="bottom"/>
          </w:tcPr>
          <w:p>
            <w:pPr>
              <w:spacing w:after="0"/>
              <w:rPr>
                <w:sz w:val="22"/>
                <w:szCs w:val="22"/>
                <w:color w:val="auto"/>
              </w:rPr>
            </w:pPr>
          </w:p>
        </w:tc>
        <w:tc>
          <w:tcPr>
            <w:tcW w:w="1340" w:type="dxa"/>
            <w:vAlign w:val="bottom"/>
          </w:tcPr>
          <w:p>
            <w:pPr>
              <w:jc w:val="right"/>
              <w:ind w:right="1"/>
              <w:spacing w:after="0"/>
              <w:rPr>
                <w:sz w:val="20"/>
                <w:szCs w:val="20"/>
                <w:color w:val="auto"/>
              </w:rPr>
            </w:pPr>
            <w:r>
              <w:rPr>
                <w:rFonts w:ascii="Arial" w:cs="Arial" w:eastAsia="Arial" w:hAnsi="Arial"/>
                <w:sz w:val="20"/>
                <w:szCs w:val="20"/>
                <w:color w:val="auto"/>
              </w:rPr>
              <w:t>687</w:t>
            </w:r>
          </w:p>
        </w:tc>
        <w:tc>
          <w:tcPr>
            <w:tcW w:w="156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3"/>
        </w:trPr>
        <w:tc>
          <w:tcPr>
            <w:tcW w:w="37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7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Total Industrial</w:t>
            </w: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263</w:t>
            </w:r>
          </w:p>
        </w:tc>
        <w:tc>
          <w:tcPr>
            <w:tcW w:w="2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2,230</w:t>
            </w:r>
          </w:p>
        </w:tc>
        <w:tc>
          <w:tcPr>
            <w:tcW w:w="2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272</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2,084</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7.0%</w:t>
            </w:r>
          </w:p>
        </w:tc>
      </w:tr>
      <w:tr>
        <w:trPr>
          <w:trHeight w:val="223"/>
        </w:trPr>
        <w:tc>
          <w:tcPr>
            <w:tcW w:w="378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560" w:type="dxa"/>
            <w:vAlign w:val="bottom"/>
          </w:tcPr>
          <w:p>
            <w:pPr>
              <w:spacing w:after="0"/>
              <w:rPr>
                <w:sz w:val="19"/>
                <w:szCs w:val="19"/>
                <w:color w:val="auto"/>
              </w:rPr>
            </w:pPr>
          </w:p>
        </w:tc>
      </w:tr>
      <w:tr>
        <w:trPr>
          <w:trHeight w:val="26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Total (PGE sales only)</w:t>
            </w: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886,481</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8,553</w:t>
            </w: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878,287</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8,393</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1.9%</w:t>
            </w:r>
          </w:p>
        </w:tc>
      </w:tr>
      <w:tr>
        <w:trPr>
          <w:trHeight w:val="261"/>
        </w:trPr>
        <w:tc>
          <w:tcPr>
            <w:tcW w:w="3780" w:type="dxa"/>
            <w:vAlign w:val="bottom"/>
          </w:tcPr>
          <w:p>
            <w:pPr>
              <w:ind w:left="280"/>
              <w:spacing w:after="0"/>
              <w:rPr>
                <w:sz w:val="20"/>
                <w:szCs w:val="20"/>
                <w:color w:val="auto"/>
              </w:rPr>
            </w:pPr>
            <w:r>
              <w:rPr>
                <w:rFonts w:ascii="Arial" w:cs="Arial" w:eastAsia="Arial" w:hAnsi="Arial"/>
                <w:sz w:val="20"/>
                <w:szCs w:val="20"/>
                <w:color w:val="auto"/>
              </w:rPr>
              <w:t>Total Direct Access</w:t>
            </w:r>
          </w:p>
        </w:tc>
        <w:tc>
          <w:tcPr>
            <w:tcW w:w="1380" w:type="dxa"/>
            <w:vAlign w:val="bottom"/>
          </w:tcPr>
          <w:p>
            <w:pPr>
              <w:jc w:val="right"/>
              <w:ind w:right="21"/>
              <w:spacing w:after="0"/>
              <w:rPr>
                <w:sz w:val="20"/>
                <w:szCs w:val="20"/>
                <w:color w:val="auto"/>
              </w:rPr>
            </w:pPr>
            <w:r>
              <w:rPr>
                <w:rFonts w:ascii="Arial" w:cs="Arial" w:eastAsia="Arial" w:hAnsi="Arial"/>
                <w:sz w:val="20"/>
                <w:szCs w:val="20"/>
                <w:color w:val="auto"/>
              </w:rPr>
              <w:t>633</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
              <w:spacing w:after="0"/>
              <w:rPr>
                <w:sz w:val="20"/>
                <w:szCs w:val="20"/>
                <w:color w:val="auto"/>
              </w:rPr>
            </w:pPr>
            <w:r>
              <w:rPr>
                <w:rFonts w:ascii="Arial" w:cs="Arial" w:eastAsia="Arial" w:hAnsi="Arial"/>
                <w:sz w:val="20"/>
                <w:szCs w:val="20"/>
                <w:color w:val="auto"/>
              </w:rPr>
              <w:t>1,061</w:t>
            </w:r>
          </w:p>
        </w:tc>
        <w:tc>
          <w:tcPr>
            <w:tcW w:w="220" w:type="dxa"/>
            <w:vAlign w:val="bottom"/>
          </w:tcPr>
          <w:p>
            <w:pPr>
              <w:spacing w:after="0"/>
              <w:rPr>
                <w:sz w:val="22"/>
                <w:szCs w:val="22"/>
                <w:color w:val="auto"/>
              </w:rPr>
            </w:pPr>
          </w:p>
        </w:tc>
        <w:tc>
          <w:tcPr>
            <w:tcW w:w="1340" w:type="dxa"/>
            <w:vAlign w:val="bottom"/>
          </w:tcPr>
          <w:p>
            <w:pPr>
              <w:jc w:val="right"/>
              <w:ind w:right="1"/>
              <w:spacing w:after="0"/>
              <w:rPr>
                <w:sz w:val="20"/>
                <w:szCs w:val="20"/>
                <w:color w:val="auto"/>
              </w:rPr>
            </w:pPr>
            <w:r>
              <w:rPr>
                <w:rFonts w:ascii="Arial" w:cs="Arial" w:eastAsia="Arial" w:hAnsi="Arial"/>
                <w:sz w:val="20"/>
                <w:szCs w:val="20"/>
                <w:color w:val="auto"/>
              </w:rPr>
              <w:t>597</w:t>
            </w:r>
          </w:p>
        </w:tc>
        <w:tc>
          <w:tcPr>
            <w:tcW w:w="120" w:type="dxa"/>
            <w:vAlign w:val="bottom"/>
          </w:tcPr>
          <w:p>
            <w:pPr>
              <w:spacing w:after="0"/>
              <w:rPr>
                <w:sz w:val="22"/>
                <w:szCs w:val="22"/>
                <w:color w:val="auto"/>
              </w:rPr>
            </w:pPr>
          </w:p>
        </w:tc>
        <w:tc>
          <w:tcPr>
            <w:tcW w:w="1340" w:type="dxa"/>
            <w:vAlign w:val="bottom"/>
          </w:tcPr>
          <w:p>
            <w:pPr>
              <w:jc w:val="right"/>
              <w:ind w:right="1"/>
              <w:spacing w:after="0"/>
              <w:rPr>
                <w:sz w:val="20"/>
                <w:szCs w:val="20"/>
                <w:color w:val="auto"/>
              </w:rPr>
            </w:pPr>
            <w:r>
              <w:rPr>
                <w:rFonts w:ascii="Arial" w:cs="Arial" w:eastAsia="Arial" w:hAnsi="Arial"/>
                <w:sz w:val="20"/>
                <w:szCs w:val="20"/>
                <w:color w:val="auto"/>
              </w:rPr>
              <w:t>998</w:t>
            </w:r>
          </w:p>
        </w:tc>
        <w:tc>
          <w:tcPr>
            <w:tcW w:w="156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3"/>
        </w:trPr>
        <w:tc>
          <w:tcPr>
            <w:tcW w:w="37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72"/>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Total</w:t>
            </w:r>
          </w:p>
        </w:tc>
        <w:tc>
          <w:tcPr>
            <w:tcW w:w="13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887,114</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9,614</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878,884</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9,391</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2.4%</w:t>
            </w:r>
          </w:p>
        </w:tc>
      </w:tr>
      <w:tr>
        <w:trPr>
          <w:trHeight w:val="20"/>
        </w:trPr>
        <w:tc>
          <w:tcPr>
            <w:tcW w:w="37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 In thousands of MWh.</w:t>
      </w:r>
    </w:p>
    <w:p>
      <w:pPr>
        <w:spacing w:after="0" w:line="223"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The Company’s Retail Customer Choice Program caps participation by Direct Access customers in the fixed three-year and minimum five-year opt-out programs, which account for the majority of energy supplied to Direct Access customers. This cap would have limited energy deliveries to these customers to an amount equal to approximately 14% of PGE’s total retail energy deliveries for the first six months of 2019. Actual energy deliveries to Direct Access customers represented 11% of the Company’s total retail energy deliveries for the first six months of 2019 and 11% for the full year 2018.</w:t>
      </w:r>
    </w:p>
    <w:p>
      <w:pPr>
        <w:spacing w:after="0" w:line="208"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During 2018, the OPUC created a New Large Load Direct Access program, capped at approximately 120 MWa, for unplanned, large, new loads and large load growth at existing sites. The Company continues to work through the regulatory process to implement the new program.</w:t>
      </w:r>
    </w:p>
    <w:p>
      <w:pPr>
        <w:spacing w:after="0" w:line="138" w:lineRule="exact"/>
        <w:rPr>
          <w:sz w:val="20"/>
          <w:szCs w:val="20"/>
          <w:color w:val="auto"/>
        </w:rPr>
      </w:pPr>
    </w:p>
    <w:p>
      <w:pPr>
        <w:ind w:right="200"/>
        <w:spacing w:after="0" w:line="246" w:lineRule="auto"/>
        <w:rPr>
          <w:sz w:val="20"/>
          <w:szCs w:val="20"/>
          <w:color w:val="auto"/>
        </w:rPr>
      </w:pPr>
      <w:r>
        <w:rPr>
          <w:rFonts w:ascii="Arial" w:cs="Arial" w:eastAsia="Arial" w:hAnsi="Arial"/>
          <w:sz w:val="20"/>
          <w:szCs w:val="20"/>
          <w:b w:val="1"/>
          <w:bCs w:val="1"/>
          <w:color w:val="auto"/>
        </w:rPr>
        <w:t>Power Operations—</w:t>
      </w:r>
      <w:r>
        <w:rPr>
          <w:rFonts w:ascii="Arial" w:cs="Arial" w:eastAsia="Arial" w:hAnsi="Arial"/>
          <w:sz w:val="20"/>
          <w:szCs w:val="20"/>
          <w:color w:val="auto"/>
        </w:rPr>
        <w:t>PGE utilizes a combination of its own generating resources and wholesale market transactions to meet the energy needs</w:t>
      </w:r>
      <w:r>
        <w:rPr>
          <w:rFonts w:ascii="Arial" w:cs="Arial" w:eastAsia="Arial" w:hAnsi="Arial"/>
          <w:sz w:val="20"/>
          <w:szCs w:val="20"/>
          <w:b w:val="1"/>
          <w:bCs w:val="1"/>
          <w:color w:val="auto"/>
        </w:rPr>
        <w:t xml:space="preserve"> </w:t>
      </w:r>
      <w:r>
        <w:rPr>
          <w:rFonts w:ascii="Arial" w:cs="Arial" w:eastAsia="Arial" w:hAnsi="Arial"/>
          <w:sz w:val="20"/>
          <w:szCs w:val="20"/>
          <w:color w:val="auto"/>
        </w:rPr>
        <w:t>of its retail customers. Based on numerous factors, including plant availability, customer demand, river flows, wind conditions, and current wholesale prices, the Company continuously makes economic dispatch decisions in an effort to obtain reasonably-priced power for its retail customers. As a result, the amount of power generated and purchased in the wholesale market to meet the Company’s retail load requirement can vary from period to period.</w:t>
      </w:r>
    </w:p>
    <w:p>
      <w:pPr>
        <w:spacing w:after="0" w:line="205" w:lineRule="exact"/>
        <w:rPr>
          <w:sz w:val="20"/>
          <w:szCs w:val="20"/>
          <w:color w:val="auto"/>
        </w:rPr>
      </w:pPr>
    </w:p>
    <w:p>
      <w:pPr>
        <w:ind w:right="320"/>
        <w:spacing w:after="0" w:line="246" w:lineRule="auto"/>
        <w:rPr>
          <w:sz w:val="20"/>
          <w:szCs w:val="20"/>
          <w:color w:val="auto"/>
        </w:rPr>
      </w:pPr>
      <w:r>
        <w:rPr>
          <w:rFonts w:ascii="Arial" w:cs="Arial" w:eastAsia="Arial" w:hAnsi="Arial"/>
          <w:sz w:val="20"/>
          <w:szCs w:val="20"/>
          <w:color w:val="auto"/>
        </w:rPr>
        <w:t>Plant availability is impacted by planned maintenance and forced, or unplanned, outages, during which the respective plant is unavailable to provide power. Availability of all the plants PGE operates was 92% and 84% during the six months ended June 30, 2019 and 2018, respectively. Plant availability of Colstrip, which PGE does not operate, was 88% and 94% during the six months ended June 30, 2019 and 2018, respectively.</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300"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During the six months ended June 30, 2019, the Company’s generating plants provided 74% of its retail load requirement compared with 62% in the six months ended June 30, 2018. The increase in the proportion of power generated to meet the Company’s retail load requirement was largely due to PGE effectively dispatching its lowest-cost resources in a challenged market, resulting in a 19% increase in the power generated by the Company’s resources during the six months ended June 30, 2019 compared to the six months ended June 30, 2018.</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Energy expected to be received from PGE-owned hydroelectric plants and under contracts from mid-Columbia hydroelectric projects is projected annually in the Annual Power Cost Update Tariff (AUT). Any excess in such hydro generation from that projected in the AUT normally displaces power from higher cost sources, while any shortfall is normally replaced with power from higher cost sources. For the six months ended June 30, 2019, energy received from these hydro resources decreased by 25% compared to the six months ended June 30, 2018. Energy received from these hydro resources fell short of the projected levels included in PGE’s AUT by 16% for the six months ended June 30, 2019 and exceeded by 5% for the six months ended June 30, 2018, and provided 15% of the Company’s retail load requirement for the six months ended June 30, 2019 and 21% for the six months ended June 30, 2018. Energy received from hydro resources is expected to fall short of levels projected in the AUT for 2019 by up to 10%.</w:t>
      </w:r>
    </w:p>
    <w:p>
      <w:pPr>
        <w:spacing w:after="0" w:line="195" w:lineRule="exact"/>
        <w:rPr>
          <w:sz w:val="20"/>
          <w:szCs w:val="20"/>
          <w:color w:val="auto"/>
        </w:rPr>
      </w:pPr>
    </w:p>
    <w:p>
      <w:pPr>
        <w:ind w:right="60"/>
        <w:spacing w:after="0" w:line="273" w:lineRule="auto"/>
        <w:rPr>
          <w:sz w:val="20"/>
          <w:szCs w:val="20"/>
          <w:color w:val="auto"/>
        </w:rPr>
      </w:pPr>
      <w:r>
        <w:rPr>
          <w:rFonts w:ascii="Arial" w:cs="Arial" w:eastAsia="Arial" w:hAnsi="Arial"/>
          <w:sz w:val="18"/>
          <w:szCs w:val="18"/>
          <w:color w:val="auto"/>
        </w:rPr>
        <w:t>Energy expected to be received from PGE-owned wind generating resources (Biglow Canyon and Tucannon River) is projected annually in the AUT. Any excess in wind generation from that projected in the AUT normally displaces power from higher cost sources, while any shortfall is normally replaced with power from higher cost sources. For the six months ended June 30, 2019, energy received from these wind generating resources decreased 25% compared to the six months ended June 30, 2018, resulting in the Company incurring additional replacement costs, as well as generating less PTCs than what was estimated in customer prices. Energy received from these wind generating resources fell short of projections in PGE’s AUT by 15% for the six months ended June 30, 2019 and exceeded projections in the AUT by 6% for the six months ended June 30, 2018, and provided 9% and 12% of the Company’s retail load requirement during the six months ended June 30, 2019 and 2018, respectively. Energy received from wind resources is expected to fall short of levels projected in the AUT for 2019 by up to 10%.</w:t>
      </w:r>
    </w:p>
    <w:p>
      <w:pPr>
        <w:spacing w:after="0" w:line="183"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color w:val="auto"/>
        </w:rPr>
        <w:t>Pursuant to the Company’s PCAM, customer prices can be adjusted to reflect a portion of the difference between each year’s forecasted NVPC included in customer prices (baseline NVPC) and actual NVPC for the year. NVPC consists of the cost of power purchased and fuel used to generate electricity to meet PGE’s retail load requirements, as well as the cost of settled electric and natural gas financial contracts (all classified as Purchased power and fuel expense in the Company’s condensed consolidated statements of income and comprehensive income) and is net of wholesale revenues, which are classified as Revenues, net in the condensed consolidated statements of income and comprehensive income. PGE’s AUT filings include projected PTCs for the respective calendar year with actual variances subject to the PCAM. To the extent actual annual NVPC, subject to certain adjustments, is above or below the deadband, which is a defined range from $30 million above to $15 million below baseline NVPC, the PCAM provides for 90% of the variance beyond the deadband to be collected from, or refunded to, customers, respectively, subject to a regulated earnings test.</w:t>
      </w:r>
    </w:p>
    <w:p>
      <w:pPr>
        <w:spacing w:after="0" w:line="185" w:lineRule="exact"/>
        <w:rPr>
          <w:sz w:val="20"/>
          <w:szCs w:val="20"/>
          <w:color w:val="auto"/>
        </w:rPr>
      </w:pPr>
    </w:p>
    <w:p>
      <w:pPr>
        <w:ind w:right="400"/>
        <w:spacing w:after="0" w:line="250" w:lineRule="auto"/>
        <w:rPr>
          <w:sz w:val="20"/>
          <w:szCs w:val="20"/>
          <w:color w:val="auto"/>
        </w:rPr>
      </w:pPr>
      <w:r>
        <w:rPr>
          <w:rFonts w:ascii="Arial" w:cs="Arial" w:eastAsia="Arial" w:hAnsi="Arial"/>
          <w:sz w:val="20"/>
          <w:szCs w:val="20"/>
          <w:color w:val="auto"/>
        </w:rPr>
        <w:t>Any estimated refund to customers pursuant to the PCAM is recorded as a reduction in Revenues, net in the Company’s condensed consolidated statements of income and comprehensive income, while any estimated collection from customers is recorded as a reduction in Purchased power and fuel expense.</w:t>
      </w:r>
    </w:p>
    <w:p>
      <w:pPr>
        <w:spacing w:after="0" w:line="200"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For the six months ended June 30, 2019, actual NVPC was $6 million above baseline NVPC. Based on forecast data, NVPC for the year ending December 31, 2019 is currently estimated to be below the baseline, but within the established deadband range. Accordingly, no estimated refund to customers is expected under the PCAM for 2019.</w:t>
      </w:r>
    </w:p>
    <w:p>
      <w:pPr>
        <w:spacing w:after="0" w:line="200"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For the six months ended June 30, 2018, actual NVPC was $27 million below baseline NVPC. For the year ended December 31, 2018, actual NVPC was $3 million below baseline NVPC, which was within the established deadband range. Accordingly, no estimated refund to customers was recorded pursuant to the PCAM for 2018.</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right="40"/>
        <w:spacing w:after="0" w:line="315" w:lineRule="auto"/>
        <w:rPr>
          <w:sz w:val="20"/>
          <w:szCs w:val="20"/>
          <w:color w:val="auto"/>
        </w:rPr>
      </w:pPr>
      <w:r>
        <w:rPr>
          <w:rFonts w:ascii="Arial" w:cs="Arial" w:eastAsia="Arial" w:hAnsi="Arial"/>
          <w:sz w:val="16"/>
          <w:szCs w:val="16"/>
          <w:b w:val="1"/>
          <w:bCs w:val="1"/>
          <w:color w:val="auto"/>
        </w:rPr>
        <w:t>Fuel Supply —</w:t>
      </w:r>
      <w:r>
        <w:rPr>
          <w:rFonts w:ascii="Arial" w:cs="Arial" w:eastAsia="Arial" w:hAnsi="Arial"/>
          <w:sz w:val="16"/>
          <w:szCs w:val="16"/>
          <w:color w:val="auto"/>
        </w:rPr>
        <w:t>PGE has contractual access to natural gas storage in Mist, Oregon from which it can draw in the event that natural gas supplies</w:t>
      </w:r>
      <w:r>
        <w:rPr>
          <w:rFonts w:ascii="Arial" w:cs="Arial" w:eastAsia="Arial" w:hAnsi="Arial"/>
          <w:sz w:val="16"/>
          <w:szCs w:val="16"/>
          <w:b w:val="1"/>
          <w:bCs w:val="1"/>
          <w:color w:val="auto"/>
        </w:rPr>
        <w:t xml:space="preserve"> </w:t>
      </w:r>
      <w:r>
        <w:rPr>
          <w:rFonts w:ascii="Arial" w:cs="Arial" w:eastAsia="Arial" w:hAnsi="Arial"/>
          <w:sz w:val="16"/>
          <w:szCs w:val="16"/>
          <w:color w:val="auto"/>
        </w:rPr>
        <w:t>are interrupted or if economic factors require its use. The storage facility is owned and operated by a local natural gas distribution company, NW Natural, and may be utilized to provide fuel to PGE’s Port Westward Unit 1 and Beaver natural gas-fired generating plants and the Port Westward Unit 2 natural gas-fired flexible capacity generating plant. PGE entered into a long-term agreement with this gas company to expand the current storage facilities, including the construction of a new reservoir, compressor station, and 13 miles of pipeline, which are collectively designed to provide no-notice storage services to these PGE generating plants. The construction of the facility was completed in May 2019 and placed into service. PGE has recorded a finance lease right-of-use (ROU) asset and lease liability on its condensed consolidated balance sheets.</w:t>
      </w:r>
    </w:p>
    <w:p>
      <w:pPr>
        <w:spacing w:after="0" w:line="152"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On July 1, 2019, the supplier of coal for Boardman filed for Chapter 11 bankruptcy protection. Past history suggests that it is unlikely that the coal supply agreement will be rejected in the bankruptcy proceedings. If it appears that the supplier is unable to meet coal supply requirements, PGE will make alternate arrangements for coal supply.</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Company’s critical accounting policies are outlined in Item 7 of the Company’s Annual Report on Form 10-K for the year ended December 31, 2018, filed with the SEC on February 15, 2019.</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35"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The following tables provide financial and operational information to be considered in conjunction with management’s discussion and analysis of results of operations.</w:t>
      </w:r>
    </w:p>
    <w:p>
      <w:pPr>
        <w:spacing w:after="0" w:line="190" w:lineRule="exact"/>
        <w:rPr>
          <w:sz w:val="20"/>
          <w:szCs w:val="20"/>
          <w:color w:val="auto"/>
        </w:rPr>
      </w:pPr>
    </w:p>
    <w:p>
      <w:pPr>
        <w:ind w:right="120"/>
        <w:spacing w:after="0" w:line="260" w:lineRule="auto"/>
        <w:rPr>
          <w:sz w:val="20"/>
          <w:szCs w:val="20"/>
          <w:color w:val="auto"/>
        </w:rPr>
      </w:pPr>
      <w:r>
        <w:rPr>
          <w:rFonts w:ascii="Arial" w:cs="Arial" w:eastAsia="Arial" w:hAnsi="Arial"/>
          <w:sz w:val="19"/>
          <w:szCs w:val="19"/>
          <w:color w:val="auto"/>
        </w:rPr>
        <w:t>PGE defines Gross margin as Total revenues less Purchased power and fuel. Gross margin is considered a non-GAAP measure as it excludes depreciation, amortization, and other operation and maintenance expenses. The presentation of Gross margin is intended to supplement an understanding of PGE’s operating performance in relation to changes in customer prices, fuel costs, impacts of weather, customer counts and usage patterns, and impact from regulatory mechanisms such as decoupling. The Company’s definition of Gross margin may be different from similar terms used by other companies and may not be comparable to their measures.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2" w:right="259" w:bottom="1440" w:gutter="0" w:footer="0" w:header="0"/>
        </w:sectPr>
      </w:pPr>
    </w:p>
    <w:bookmarkStart w:id="47" w:name="page48"/>
    <w:bookmarkEnd w:id="47"/>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color w:val="auto"/>
        </w:rPr>
        <w:t>The results of operations are as follows for the periods presented (dollars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60" w:type="dxa"/>
            <w:vAlign w:val="bottom"/>
            <w:gridSpan w:val="9"/>
          </w:tcPr>
          <w:p>
            <w:pPr>
              <w:jc w:val="right"/>
              <w:ind w:right="20"/>
              <w:spacing w:after="0"/>
              <w:rPr>
                <w:sz w:val="20"/>
                <w:szCs w:val="20"/>
                <w:color w:val="auto"/>
              </w:rPr>
            </w:pPr>
            <w:r>
              <w:rPr>
                <w:rFonts w:ascii="Arial" w:cs="Arial" w:eastAsia="Arial" w:hAnsi="Arial"/>
                <w:sz w:val="20"/>
                <w:szCs w:val="20"/>
                <w:b w:val="1"/>
                <w:bCs w:val="1"/>
                <w:color w:val="auto"/>
                <w:w w:val="99"/>
              </w:rPr>
              <w:t>Three Months Ended June 30,</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80" w:type="dxa"/>
            <w:vAlign w:val="bottom"/>
            <w:gridSpan w:val="9"/>
          </w:tcPr>
          <w:p>
            <w:pPr>
              <w:jc w:val="right"/>
              <w:ind w:right="781"/>
              <w:spacing w:after="0"/>
              <w:rPr>
                <w:sz w:val="20"/>
                <w:szCs w:val="20"/>
                <w:color w:val="auto"/>
              </w:rPr>
            </w:pPr>
            <w:r>
              <w:rPr>
                <w:rFonts w:ascii="Arial" w:cs="Arial" w:eastAsia="Arial" w:hAnsi="Arial"/>
                <w:sz w:val="20"/>
                <w:szCs w:val="20"/>
                <w:b w:val="1"/>
                <w:bCs w:val="1"/>
                <w:color w:val="auto"/>
                <w:w w:val="91"/>
              </w:rPr>
              <w:t>Six Months Ended June 30,</w:t>
            </w:r>
          </w:p>
        </w:tc>
      </w:tr>
      <w:tr>
        <w:trPr>
          <w:trHeight w:val="23"/>
        </w:trPr>
        <w:tc>
          <w:tcPr>
            <w:tcW w:w="3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r>
      <w:tr>
        <w:trPr>
          <w:trHeight w:val="254"/>
        </w:trPr>
        <w:tc>
          <w:tcPr>
            <w:tcW w:w="3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gridSpan w:val="3"/>
          </w:tcPr>
          <w:p>
            <w:pPr>
              <w:jc w:val="right"/>
              <w:ind w:right="581"/>
              <w:spacing w:after="0"/>
              <w:rPr>
                <w:sz w:val="20"/>
                <w:szCs w:val="20"/>
                <w:color w:val="auto"/>
              </w:rPr>
            </w:pPr>
            <w:r>
              <w:rPr>
                <w:rFonts w:ascii="Arial" w:cs="Arial" w:eastAsia="Arial" w:hAnsi="Arial"/>
                <w:sz w:val="20"/>
                <w:szCs w:val="20"/>
                <w:b w:val="1"/>
                <w:bCs w:val="1"/>
                <w:color w:val="auto"/>
                <w:w w:val="85"/>
              </w:rPr>
              <w:t>2019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20"/>
                <w:szCs w:val="20"/>
                <w:b w:val="1"/>
                <w:bCs w:val="1"/>
                <w:color w:val="auto"/>
              </w:rPr>
              <w:t>2018</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80" w:type="dxa"/>
            <w:vAlign w:val="bottom"/>
            <w:gridSpan w:val="3"/>
          </w:tcPr>
          <w:p>
            <w:pPr>
              <w:jc w:val="right"/>
              <w:ind w:right="681"/>
              <w:spacing w:after="0"/>
              <w:rPr>
                <w:sz w:val="20"/>
                <w:szCs w:val="20"/>
                <w:color w:val="auto"/>
              </w:rPr>
            </w:pPr>
            <w:r>
              <w:rPr>
                <w:rFonts w:ascii="Arial" w:cs="Arial" w:eastAsia="Arial" w:hAnsi="Arial"/>
                <w:sz w:val="20"/>
                <w:szCs w:val="20"/>
                <w:b w:val="1"/>
                <w:bCs w:val="1"/>
                <w:color w:val="auto"/>
                <w:w w:val="85"/>
              </w:rPr>
              <w:t>2019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gridSpan w:val="3"/>
          </w:tcPr>
          <w:p>
            <w:pPr>
              <w:jc w:val="right"/>
              <w:ind w:right="681"/>
              <w:spacing w:after="0"/>
              <w:rPr>
                <w:sz w:val="20"/>
                <w:szCs w:val="20"/>
                <w:color w:val="auto"/>
              </w:rPr>
            </w:pPr>
            <w:r>
              <w:rPr>
                <w:rFonts w:ascii="Arial" w:cs="Arial" w:eastAsia="Arial" w:hAnsi="Arial"/>
                <w:sz w:val="20"/>
                <w:szCs w:val="20"/>
                <w:b w:val="1"/>
                <w:bCs w:val="1"/>
                <w:color w:val="auto"/>
                <w:w w:val="89"/>
              </w:rPr>
              <w:t>2018</w:t>
            </w:r>
          </w:p>
        </w:tc>
      </w:tr>
      <w:tr>
        <w:trPr>
          <w:trHeight w:val="23"/>
        </w:trPr>
        <w:tc>
          <w:tcPr>
            <w:tcW w:w="3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b w:val="1"/>
                <w:bCs w:val="1"/>
                <w:color w:val="auto"/>
              </w:rPr>
              <w:t>Total revenues</w:t>
            </w: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460</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449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1,033</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942</w:t>
            </w: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20"/>
                <w:szCs w:val="20"/>
                <w:color w:val="auto"/>
              </w:rPr>
              <w:t>100%</w:t>
            </w:r>
          </w:p>
        </w:tc>
      </w:tr>
      <w:tr>
        <w:trPr>
          <w:trHeight w:val="261"/>
        </w:trPr>
        <w:tc>
          <w:tcPr>
            <w:tcW w:w="3580" w:type="dxa"/>
            <w:vAlign w:val="bottom"/>
          </w:tcPr>
          <w:p>
            <w:pPr>
              <w:ind w:left="40"/>
              <w:spacing w:after="0"/>
              <w:rPr>
                <w:sz w:val="20"/>
                <w:szCs w:val="20"/>
                <w:color w:val="auto"/>
              </w:rPr>
            </w:pPr>
            <w:r>
              <w:rPr>
                <w:rFonts w:ascii="Arial" w:cs="Arial" w:eastAsia="Arial" w:hAnsi="Arial"/>
                <w:sz w:val="20"/>
                <w:szCs w:val="20"/>
                <w:color w:val="auto"/>
              </w:rPr>
              <w:t>Purchased power and fuel</w:t>
            </w:r>
          </w:p>
        </w:tc>
        <w:tc>
          <w:tcPr>
            <w:tcW w:w="26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105</w:t>
            </w:r>
          </w:p>
        </w:tc>
        <w:tc>
          <w:tcPr>
            <w:tcW w:w="1080" w:type="dxa"/>
            <w:vAlign w:val="bottom"/>
            <w:gridSpan w:val="3"/>
          </w:tcPr>
          <w:p>
            <w:pPr>
              <w:jc w:val="right"/>
              <w:ind w:right="101"/>
              <w:spacing w:after="0"/>
              <w:rPr>
                <w:sz w:val="20"/>
                <w:szCs w:val="20"/>
                <w:color w:val="auto"/>
              </w:rPr>
            </w:pPr>
            <w:r>
              <w:rPr>
                <w:rFonts w:ascii="Arial" w:cs="Arial" w:eastAsia="Arial" w:hAnsi="Arial"/>
                <w:sz w:val="20"/>
                <w:szCs w:val="20"/>
                <w:color w:val="auto"/>
              </w:rPr>
              <w:t>23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jc w:val="right"/>
              <w:ind w:right="1"/>
              <w:spacing w:after="0"/>
              <w:rPr>
                <w:sz w:val="20"/>
                <w:szCs w:val="20"/>
                <w:color w:val="auto"/>
              </w:rPr>
            </w:pPr>
            <w:r>
              <w:rPr>
                <w:rFonts w:ascii="Arial" w:cs="Arial" w:eastAsia="Arial" w:hAnsi="Arial"/>
                <w:sz w:val="20"/>
                <w:szCs w:val="20"/>
                <w:color w:val="auto"/>
              </w:rPr>
              <w:t>104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jc w:val="right"/>
              <w:ind w:right="101"/>
              <w:spacing w:after="0"/>
              <w:rPr>
                <w:sz w:val="20"/>
                <w:szCs w:val="20"/>
                <w:color w:val="auto"/>
              </w:rPr>
            </w:pPr>
            <w:r>
              <w:rPr>
                <w:rFonts w:ascii="Arial" w:cs="Arial" w:eastAsia="Arial" w:hAnsi="Arial"/>
                <w:sz w:val="20"/>
                <w:szCs w:val="20"/>
                <w:color w:val="auto"/>
              </w:rPr>
              <w:t>23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284</w:t>
            </w:r>
          </w:p>
        </w:tc>
        <w:tc>
          <w:tcPr>
            <w:tcW w:w="1180" w:type="dxa"/>
            <w:vAlign w:val="bottom"/>
            <w:gridSpan w:val="3"/>
          </w:tcPr>
          <w:p>
            <w:pPr>
              <w:jc w:val="right"/>
              <w:ind w:right="101"/>
              <w:spacing w:after="0"/>
              <w:rPr>
                <w:sz w:val="20"/>
                <w:szCs w:val="20"/>
                <w:color w:val="auto"/>
              </w:rPr>
            </w:pPr>
            <w:r>
              <w:rPr>
                <w:rFonts w:ascii="Arial" w:cs="Arial" w:eastAsia="Arial" w:hAnsi="Arial"/>
                <w:sz w:val="20"/>
                <w:szCs w:val="20"/>
                <w:color w:val="auto"/>
              </w:rPr>
              <w:t>27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rPr>
              <w:t>234</w:t>
            </w:r>
          </w:p>
        </w:tc>
        <w:tc>
          <w:tcPr>
            <w:tcW w:w="1200" w:type="dxa"/>
            <w:vAlign w:val="bottom"/>
            <w:gridSpan w:val="3"/>
          </w:tcPr>
          <w:p>
            <w:pPr>
              <w:jc w:val="right"/>
              <w:ind w:right="101"/>
              <w:spacing w:after="0"/>
              <w:rPr>
                <w:sz w:val="20"/>
                <w:szCs w:val="20"/>
                <w:color w:val="auto"/>
              </w:rPr>
            </w:pPr>
            <w:r>
              <w:rPr>
                <w:rFonts w:ascii="Arial" w:cs="Arial" w:eastAsia="Arial" w:hAnsi="Arial"/>
                <w:sz w:val="20"/>
                <w:szCs w:val="20"/>
                <w:color w:val="auto"/>
              </w:rPr>
              <w:t>25</w:t>
            </w:r>
          </w:p>
        </w:tc>
      </w:tr>
      <w:tr>
        <w:trPr>
          <w:trHeight w:val="23"/>
        </w:trPr>
        <w:tc>
          <w:tcPr>
            <w:tcW w:w="3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7"/>
        </w:trPr>
        <w:tc>
          <w:tcPr>
            <w:tcW w:w="3580" w:type="dxa"/>
            <w:vAlign w:val="bottom"/>
            <w:shd w:val="clear" w:color="auto" w:fill="CCEEFF"/>
          </w:tcPr>
          <w:p>
            <w:pPr>
              <w:ind w:left="500"/>
              <w:spacing w:after="0" w:line="277" w:lineRule="exact"/>
              <w:rPr>
                <w:sz w:val="20"/>
                <w:szCs w:val="20"/>
                <w:color w:val="auto"/>
              </w:rPr>
            </w:pPr>
            <w:r>
              <w:rPr>
                <w:rFonts w:ascii="Arial" w:cs="Arial" w:eastAsia="Arial" w:hAnsi="Arial"/>
                <w:sz w:val="20"/>
                <w:szCs w:val="20"/>
                <w:b w:val="1"/>
                <w:bCs w:val="1"/>
                <w:color w:val="auto"/>
              </w:rPr>
              <w:t>Gross margin</w:t>
            </w:r>
            <w:r>
              <w:rPr>
                <w:rFonts w:ascii="Arial" w:cs="Arial" w:eastAsia="Arial" w:hAnsi="Arial"/>
                <w:sz w:val="25"/>
                <w:szCs w:val="25"/>
                <w:b w:val="1"/>
                <w:bCs w:val="1"/>
                <w:color w:val="auto"/>
                <w:vertAlign w:val="superscript"/>
              </w:rPr>
              <w:t>(1)</w:t>
            </w:r>
          </w:p>
        </w:tc>
        <w:tc>
          <w:tcPr>
            <w:tcW w:w="26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355</w:t>
            </w:r>
          </w:p>
        </w:tc>
        <w:tc>
          <w:tcPr>
            <w:tcW w:w="1080" w:type="dxa"/>
            <w:vAlign w:val="bottom"/>
            <w:gridSpan w:val="3"/>
            <w:shd w:val="clear" w:color="auto" w:fill="CCEEFF"/>
          </w:tcPr>
          <w:p>
            <w:pPr>
              <w:jc w:val="right"/>
              <w:ind w:right="101"/>
              <w:spacing w:after="0"/>
              <w:rPr>
                <w:sz w:val="20"/>
                <w:szCs w:val="20"/>
                <w:color w:val="auto"/>
              </w:rPr>
            </w:pPr>
            <w:r>
              <w:rPr>
                <w:rFonts w:ascii="Arial" w:cs="Arial" w:eastAsia="Arial" w:hAnsi="Arial"/>
                <w:sz w:val="20"/>
                <w:szCs w:val="20"/>
                <w:color w:val="auto"/>
              </w:rPr>
              <w:t>77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345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rPr>
              <w:t>77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749</w:t>
            </w:r>
          </w:p>
        </w:tc>
        <w:tc>
          <w:tcPr>
            <w:tcW w:w="1180" w:type="dxa"/>
            <w:vAlign w:val="bottom"/>
            <w:gridSpan w:val="3"/>
            <w:shd w:val="clear" w:color="auto" w:fill="CCEEFF"/>
          </w:tcPr>
          <w:p>
            <w:pPr>
              <w:jc w:val="right"/>
              <w:ind w:right="101"/>
              <w:spacing w:after="0"/>
              <w:rPr>
                <w:sz w:val="20"/>
                <w:szCs w:val="20"/>
                <w:color w:val="auto"/>
              </w:rPr>
            </w:pPr>
            <w:r>
              <w:rPr>
                <w:rFonts w:ascii="Arial" w:cs="Arial" w:eastAsia="Arial" w:hAnsi="Arial"/>
                <w:sz w:val="20"/>
                <w:szCs w:val="20"/>
                <w:color w:val="auto"/>
              </w:rPr>
              <w:t>73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708</w:t>
            </w:r>
          </w:p>
        </w:tc>
        <w:tc>
          <w:tcPr>
            <w:tcW w:w="1200" w:type="dxa"/>
            <w:vAlign w:val="bottom"/>
            <w:gridSpan w:val="3"/>
            <w:shd w:val="clear" w:color="auto" w:fill="CCEEFF"/>
          </w:tcPr>
          <w:p>
            <w:pPr>
              <w:jc w:val="right"/>
              <w:ind w:right="101"/>
              <w:spacing w:after="0"/>
              <w:rPr>
                <w:sz w:val="20"/>
                <w:szCs w:val="20"/>
                <w:color w:val="auto"/>
              </w:rPr>
            </w:pPr>
            <w:r>
              <w:rPr>
                <w:rFonts w:ascii="Arial" w:cs="Arial" w:eastAsia="Arial" w:hAnsi="Arial"/>
                <w:sz w:val="20"/>
                <w:szCs w:val="20"/>
                <w:color w:val="auto"/>
              </w:rPr>
              <w:t>75</w:t>
            </w:r>
          </w:p>
        </w:tc>
      </w:tr>
      <w:tr>
        <w:trPr>
          <w:trHeight w:val="261"/>
        </w:trPr>
        <w:tc>
          <w:tcPr>
            <w:tcW w:w="3580" w:type="dxa"/>
            <w:vAlign w:val="bottom"/>
          </w:tcPr>
          <w:p>
            <w:pPr>
              <w:ind w:left="40"/>
              <w:spacing w:after="0"/>
              <w:rPr>
                <w:sz w:val="20"/>
                <w:szCs w:val="20"/>
                <w:color w:val="auto"/>
              </w:rPr>
            </w:pPr>
            <w:r>
              <w:rPr>
                <w:rFonts w:ascii="Arial" w:cs="Arial" w:eastAsia="Arial" w:hAnsi="Arial"/>
                <w:sz w:val="20"/>
                <w:szCs w:val="20"/>
                <w:b w:val="1"/>
                <w:bCs w:val="1"/>
                <w:color w:val="auto"/>
              </w:rPr>
              <w:t>Other operating expenses:</w:t>
            </w: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
        </w:trPr>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0"/>
        </w:trPr>
        <w:tc>
          <w:tcPr>
            <w:tcW w:w="3580" w:type="dxa"/>
            <w:vAlign w:val="bottom"/>
            <w:shd w:val="clear" w:color="auto" w:fill="CCEEFF"/>
          </w:tcPr>
          <w:p>
            <w:pPr>
              <w:ind w:left="280"/>
              <w:spacing w:after="0"/>
              <w:rPr>
                <w:sz w:val="20"/>
                <w:szCs w:val="20"/>
                <w:color w:val="auto"/>
              </w:rPr>
            </w:pPr>
            <w:r>
              <w:rPr>
                <w:rFonts w:ascii="Arial" w:cs="Arial" w:eastAsia="Arial" w:hAnsi="Arial"/>
                <w:sz w:val="20"/>
                <w:szCs w:val="20"/>
                <w:color w:val="auto"/>
              </w:rPr>
              <w:t>Generation, transmission and</w:t>
            </w:r>
          </w:p>
        </w:tc>
        <w:tc>
          <w:tcPr>
            <w:tcW w:w="2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53"/>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distribution</w:t>
            </w:r>
          </w:p>
        </w:tc>
        <w:tc>
          <w:tcPr>
            <w:tcW w:w="2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86</w:t>
            </w:r>
          </w:p>
        </w:tc>
        <w:tc>
          <w:tcPr>
            <w:tcW w:w="1080" w:type="dxa"/>
            <w:vAlign w:val="bottom"/>
            <w:tcBorders>
              <w:bottom w:val="single" w:sz="8" w:color="CCEEFF"/>
            </w:tcBorders>
            <w:gridSpan w:val="3"/>
            <w:shd w:val="clear" w:color="auto" w:fill="CCEEFF"/>
          </w:tcPr>
          <w:p>
            <w:pPr>
              <w:jc w:val="right"/>
              <w:ind w:right="101"/>
              <w:spacing w:after="0"/>
              <w:rPr>
                <w:sz w:val="20"/>
                <w:szCs w:val="20"/>
                <w:color w:val="auto"/>
              </w:rPr>
            </w:pPr>
            <w:r>
              <w:rPr>
                <w:rFonts w:ascii="Arial" w:cs="Arial" w:eastAsia="Arial" w:hAnsi="Arial"/>
                <w:sz w:val="20"/>
                <w:szCs w:val="20"/>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71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163</w:t>
            </w:r>
          </w:p>
        </w:tc>
        <w:tc>
          <w:tcPr>
            <w:tcW w:w="1180" w:type="dxa"/>
            <w:vAlign w:val="bottom"/>
            <w:tcBorders>
              <w:bottom w:val="single" w:sz="8" w:color="CCEEFF"/>
            </w:tcBorders>
            <w:gridSpan w:val="3"/>
            <w:shd w:val="clear" w:color="auto" w:fill="CCEEFF"/>
          </w:tcPr>
          <w:p>
            <w:pPr>
              <w:jc w:val="right"/>
              <w:ind w:right="101"/>
              <w:spacing w:after="0"/>
              <w:rPr>
                <w:sz w:val="20"/>
                <w:szCs w:val="20"/>
                <w:color w:val="auto"/>
              </w:rPr>
            </w:pPr>
            <w:r>
              <w:rPr>
                <w:rFonts w:ascii="Arial" w:cs="Arial" w:eastAsia="Arial" w:hAnsi="Arial"/>
                <w:sz w:val="20"/>
                <w:szCs w:val="20"/>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140</w:t>
            </w:r>
          </w:p>
        </w:tc>
        <w:tc>
          <w:tcPr>
            <w:tcW w:w="1200" w:type="dxa"/>
            <w:vAlign w:val="bottom"/>
            <w:tcBorders>
              <w:bottom w:val="single" w:sz="8" w:color="CCEEFF"/>
            </w:tcBorders>
            <w:gridSpan w:val="3"/>
            <w:shd w:val="clear" w:color="auto" w:fill="CCEEFF"/>
          </w:tcPr>
          <w:p>
            <w:pPr>
              <w:jc w:val="right"/>
              <w:ind w:right="101"/>
              <w:spacing w:after="0"/>
              <w:rPr>
                <w:sz w:val="20"/>
                <w:szCs w:val="20"/>
                <w:color w:val="auto"/>
              </w:rPr>
            </w:pPr>
            <w:r>
              <w:rPr>
                <w:rFonts w:ascii="Arial" w:cs="Arial" w:eastAsia="Arial" w:hAnsi="Arial"/>
                <w:sz w:val="20"/>
                <w:szCs w:val="20"/>
                <w:color w:val="auto"/>
              </w:rPr>
              <w:t>15</w:t>
            </w:r>
          </w:p>
        </w:tc>
      </w:tr>
      <w:tr>
        <w:trPr>
          <w:trHeight w:val="261"/>
        </w:trPr>
        <w:tc>
          <w:tcPr>
            <w:tcW w:w="3580" w:type="dxa"/>
            <w:vAlign w:val="bottom"/>
          </w:tcPr>
          <w:p>
            <w:pPr>
              <w:ind w:left="280"/>
              <w:spacing w:after="0"/>
              <w:rPr>
                <w:sz w:val="20"/>
                <w:szCs w:val="20"/>
                <w:color w:val="auto"/>
              </w:rPr>
            </w:pPr>
            <w:r>
              <w:rPr>
                <w:rFonts w:ascii="Arial" w:cs="Arial" w:eastAsia="Arial" w:hAnsi="Arial"/>
                <w:sz w:val="20"/>
                <w:szCs w:val="20"/>
                <w:color w:val="auto"/>
              </w:rPr>
              <w:t>Administrative and other</w:t>
            </w:r>
          </w:p>
        </w:tc>
        <w:tc>
          <w:tcPr>
            <w:tcW w:w="26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78</w:t>
            </w:r>
          </w:p>
        </w:tc>
        <w:tc>
          <w:tcPr>
            <w:tcW w:w="1080" w:type="dxa"/>
            <w:vAlign w:val="bottom"/>
            <w:gridSpan w:val="3"/>
          </w:tcPr>
          <w:p>
            <w:pPr>
              <w:jc w:val="right"/>
              <w:ind w:right="101"/>
              <w:spacing w:after="0"/>
              <w:rPr>
                <w:sz w:val="20"/>
                <w:szCs w:val="20"/>
                <w:color w:val="auto"/>
              </w:rPr>
            </w:pPr>
            <w:r>
              <w:rPr>
                <w:rFonts w:ascii="Arial" w:cs="Arial" w:eastAsia="Arial" w:hAnsi="Arial"/>
                <w:sz w:val="20"/>
                <w:szCs w:val="20"/>
                <w:color w:val="auto"/>
              </w:rPr>
              <w:t>17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jc w:val="right"/>
              <w:ind w:right="1"/>
              <w:spacing w:after="0"/>
              <w:rPr>
                <w:sz w:val="20"/>
                <w:szCs w:val="20"/>
                <w:color w:val="auto"/>
              </w:rPr>
            </w:pPr>
            <w:r>
              <w:rPr>
                <w:rFonts w:ascii="Arial" w:cs="Arial" w:eastAsia="Arial" w:hAnsi="Arial"/>
                <w:sz w:val="20"/>
                <w:szCs w:val="20"/>
                <w:color w:val="auto"/>
              </w:rPr>
              <w:t>70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jc w:val="right"/>
              <w:ind w:right="101"/>
              <w:spacing w:after="0"/>
              <w:rPr>
                <w:sz w:val="20"/>
                <w:szCs w:val="20"/>
                <w:color w:val="auto"/>
              </w:rPr>
            </w:pPr>
            <w:r>
              <w:rPr>
                <w:rFonts w:ascii="Arial" w:cs="Arial" w:eastAsia="Arial" w:hAnsi="Arial"/>
                <w:sz w:val="20"/>
                <w:szCs w:val="20"/>
                <w:color w:val="auto"/>
              </w:rPr>
              <w:t>15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149</w:t>
            </w:r>
          </w:p>
        </w:tc>
        <w:tc>
          <w:tcPr>
            <w:tcW w:w="1180" w:type="dxa"/>
            <w:vAlign w:val="bottom"/>
            <w:gridSpan w:val="3"/>
          </w:tcPr>
          <w:p>
            <w:pPr>
              <w:jc w:val="right"/>
              <w:ind w:right="101"/>
              <w:spacing w:after="0"/>
              <w:rPr>
                <w:sz w:val="20"/>
                <w:szCs w:val="20"/>
                <w:color w:val="auto"/>
              </w:rPr>
            </w:pPr>
            <w:r>
              <w:rPr>
                <w:rFonts w:ascii="Arial" w:cs="Arial" w:eastAsia="Arial" w:hAnsi="Arial"/>
                <w:sz w:val="20"/>
                <w:szCs w:val="20"/>
                <w:color w:val="auto"/>
              </w:rPr>
              <w:t>14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rPr>
              <w:t>139</w:t>
            </w:r>
          </w:p>
        </w:tc>
        <w:tc>
          <w:tcPr>
            <w:tcW w:w="1200" w:type="dxa"/>
            <w:vAlign w:val="bottom"/>
            <w:gridSpan w:val="3"/>
          </w:tcPr>
          <w:p>
            <w:pPr>
              <w:jc w:val="right"/>
              <w:ind w:right="101"/>
              <w:spacing w:after="0"/>
              <w:rPr>
                <w:sz w:val="20"/>
                <w:szCs w:val="20"/>
                <w:color w:val="auto"/>
              </w:rPr>
            </w:pPr>
            <w:r>
              <w:rPr>
                <w:rFonts w:ascii="Arial" w:cs="Arial" w:eastAsia="Arial" w:hAnsi="Arial"/>
                <w:sz w:val="20"/>
                <w:szCs w:val="20"/>
                <w:color w:val="auto"/>
              </w:rPr>
              <w:t>14</w:t>
            </w:r>
          </w:p>
        </w:tc>
      </w:tr>
      <w:tr>
        <w:trPr>
          <w:trHeight w:val="23"/>
        </w:trPr>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4"/>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Depreciation and amortization</w:t>
            </w:r>
          </w:p>
        </w:tc>
        <w:tc>
          <w:tcPr>
            <w:tcW w:w="2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101</w:t>
            </w:r>
          </w:p>
        </w:tc>
        <w:tc>
          <w:tcPr>
            <w:tcW w:w="1080" w:type="dxa"/>
            <w:vAlign w:val="bottom"/>
            <w:tcBorders>
              <w:bottom w:val="single" w:sz="8" w:color="CCEEFF"/>
            </w:tcBorders>
            <w:gridSpan w:val="3"/>
            <w:shd w:val="clear" w:color="auto" w:fill="CCEEFF"/>
          </w:tcPr>
          <w:p>
            <w:pPr>
              <w:jc w:val="right"/>
              <w:ind w:right="101"/>
              <w:spacing w:after="0"/>
              <w:rPr>
                <w:sz w:val="20"/>
                <w:szCs w:val="20"/>
                <w:color w:val="auto"/>
              </w:rPr>
            </w:pPr>
            <w:r>
              <w:rPr>
                <w:rFonts w:ascii="Arial" w:cs="Arial" w:eastAsia="Arial" w:hAnsi="Arial"/>
                <w:sz w:val="20"/>
                <w:szCs w:val="20"/>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93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202</w:t>
            </w:r>
          </w:p>
        </w:tc>
        <w:tc>
          <w:tcPr>
            <w:tcW w:w="1180" w:type="dxa"/>
            <w:vAlign w:val="bottom"/>
            <w:tcBorders>
              <w:bottom w:val="single" w:sz="8" w:color="CCEEFF"/>
            </w:tcBorders>
            <w:gridSpan w:val="3"/>
            <w:shd w:val="clear" w:color="auto" w:fill="CCEEFF"/>
          </w:tcPr>
          <w:p>
            <w:pPr>
              <w:jc w:val="right"/>
              <w:ind w:right="101"/>
              <w:spacing w:after="0"/>
              <w:rPr>
                <w:sz w:val="20"/>
                <w:szCs w:val="20"/>
                <w:color w:val="auto"/>
              </w:rPr>
            </w:pPr>
            <w:r>
              <w:rPr>
                <w:rFonts w:ascii="Arial" w:cs="Arial" w:eastAsia="Arial" w:hAnsi="Arial"/>
                <w:sz w:val="20"/>
                <w:szCs w:val="20"/>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185</w:t>
            </w:r>
          </w:p>
        </w:tc>
        <w:tc>
          <w:tcPr>
            <w:tcW w:w="1200" w:type="dxa"/>
            <w:vAlign w:val="bottom"/>
            <w:tcBorders>
              <w:bottom w:val="single" w:sz="8" w:color="CCEEFF"/>
            </w:tcBorders>
            <w:gridSpan w:val="3"/>
            <w:shd w:val="clear" w:color="auto" w:fill="CCEEFF"/>
          </w:tcPr>
          <w:p>
            <w:pPr>
              <w:jc w:val="right"/>
              <w:ind w:right="101"/>
              <w:spacing w:after="0"/>
              <w:rPr>
                <w:sz w:val="20"/>
                <w:szCs w:val="20"/>
                <w:color w:val="auto"/>
              </w:rPr>
            </w:pPr>
            <w:r>
              <w:rPr>
                <w:rFonts w:ascii="Arial" w:cs="Arial" w:eastAsia="Arial" w:hAnsi="Arial"/>
                <w:sz w:val="20"/>
                <w:szCs w:val="20"/>
                <w:color w:val="auto"/>
              </w:rPr>
              <w:t>20</w:t>
            </w:r>
          </w:p>
        </w:tc>
      </w:tr>
      <w:tr>
        <w:trPr>
          <w:trHeight w:val="261"/>
        </w:trPr>
        <w:tc>
          <w:tcPr>
            <w:tcW w:w="3580" w:type="dxa"/>
            <w:vAlign w:val="bottom"/>
          </w:tcPr>
          <w:p>
            <w:pPr>
              <w:ind w:left="280"/>
              <w:spacing w:after="0"/>
              <w:rPr>
                <w:sz w:val="20"/>
                <w:szCs w:val="20"/>
                <w:color w:val="auto"/>
              </w:rPr>
            </w:pPr>
            <w:r>
              <w:rPr>
                <w:rFonts w:ascii="Arial" w:cs="Arial" w:eastAsia="Arial" w:hAnsi="Arial"/>
                <w:sz w:val="20"/>
                <w:szCs w:val="20"/>
                <w:color w:val="auto"/>
              </w:rPr>
              <w:t>Taxes other than income taxes</w:t>
            </w:r>
          </w:p>
        </w:tc>
        <w:tc>
          <w:tcPr>
            <w:tcW w:w="26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33</w:t>
            </w:r>
          </w:p>
        </w:tc>
        <w:tc>
          <w:tcPr>
            <w:tcW w:w="1080" w:type="dxa"/>
            <w:vAlign w:val="bottom"/>
            <w:gridSpan w:val="3"/>
          </w:tcPr>
          <w:p>
            <w:pPr>
              <w:jc w:val="right"/>
              <w:ind w:right="101"/>
              <w:spacing w:after="0"/>
              <w:rPr>
                <w:sz w:val="20"/>
                <w:szCs w:val="20"/>
                <w:color w:val="auto"/>
              </w:rPr>
            </w:pPr>
            <w:r>
              <w:rPr>
                <w:rFonts w:ascii="Arial" w:cs="Arial" w:eastAsia="Arial" w:hAnsi="Arial"/>
                <w:sz w:val="20"/>
                <w:szCs w:val="20"/>
                <w:color w:val="auto"/>
              </w:rPr>
              <w:t>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jc w:val="right"/>
              <w:ind w:right="1"/>
              <w:spacing w:after="0"/>
              <w:rPr>
                <w:sz w:val="20"/>
                <w:szCs w:val="20"/>
                <w:color w:val="auto"/>
              </w:rPr>
            </w:pPr>
            <w:r>
              <w:rPr>
                <w:rFonts w:ascii="Arial" w:cs="Arial" w:eastAsia="Arial" w:hAnsi="Arial"/>
                <w:sz w:val="20"/>
                <w:szCs w:val="20"/>
                <w:color w:val="auto"/>
              </w:rPr>
              <w:t>31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jc w:val="right"/>
              <w:ind w:right="101"/>
              <w:spacing w:after="0"/>
              <w:rPr>
                <w:sz w:val="20"/>
                <w:szCs w:val="20"/>
                <w:color w:val="auto"/>
              </w:rPr>
            </w:pPr>
            <w:r>
              <w:rPr>
                <w:rFonts w:ascii="Arial" w:cs="Arial" w:eastAsia="Arial" w:hAnsi="Arial"/>
                <w:sz w:val="20"/>
                <w:szCs w:val="20"/>
                <w:color w:val="auto"/>
              </w:rPr>
              <w:t>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67</w:t>
            </w:r>
          </w:p>
        </w:tc>
        <w:tc>
          <w:tcPr>
            <w:tcW w:w="1180" w:type="dxa"/>
            <w:vAlign w:val="bottom"/>
            <w:gridSpan w:val="3"/>
          </w:tcPr>
          <w:p>
            <w:pPr>
              <w:jc w:val="right"/>
              <w:ind w:right="101"/>
              <w:spacing w:after="0"/>
              <w:rPr>
                <w:sz w:val="20"/>
                <w:szCs w:val="20"/>
                <w:color w:val="auto"/>
              </w:rPr>
            </w:pPr>
            <w:r>
              <w:rPr>
                <w:rFonts w:ascii="Arial" w:cs="Arial" w:eastAsia="Arial" w:hAnsi="Arial"/>
                <w:sz w:val="20"/>
                <w:szCs w:val="20"/>
                <w:color w:val="auto"/>
              </w:rPr>
              <w:t>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rPr>
              <w:t>64</w:t>
            </w:r>
          </w:p>
        </w:tc>
        <w:tc>
          <w:tcPr>
            <w:tcW w:w="1200" w:type="dxa"/>
            <w:vAlign w:val="bottom"/>
            <w:gridSpan w:val="3"/>
          </w:tcPr>
          <w:p>
            <w:pPr>
              <w:jc w:val="right"/>
              <w:ind w:right="101"/>
              <w:spacing w:after="0"/>
              <w:rPr>
                <w:sz w:val="20"/>
                <w:szCs w:val="20"/>
                <w:color w:val="auto"/>
              </w:rPr>
            </w:pPr>
            <w:r>
              <w:rPr>
                <w:rFonts w:ascii="Arial" w:cs="Arial" w:eastAsia="Arial" w:hAnsi="Arial"/>
                <w:sz w:val="20"/>
                <w:szCs w:val="20"/>
                <w:color w:val="auto"/>
              </w:rPr>
              <w:t>7</w:t>
            </w:r>
          </w:p>
        </w:tc>
      </w:tr>
      <w:tr>
        <w:trPr>
          <w:trHeight w:val="23"/>
        </w:trPr>
        <w:tc>
          <w:tcPr>
            <w:tcW w:w="3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7"/>
        </w:trPr>
        <w:tc>
          <w:tcPr>
            <w:tcW w:w="3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20"/>
                <w:szCs w:val="20"/>
                <w:color w:val="auto"/>
              </w:rPr>
              <w:t>Total other operating expenses</w:t>
            </w:r>
          </w:p>
        </w:tc>
        <w:tc>
          <w:tcPr>
            <w:tcW w:w="26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298</w:t>
            </w:r>
          </w:p>
        </w:tc>
        <w:tc>
          <w:tcPr>
            <w:tcW w:w="1080" w:type="dxa"/>
            <w:vAlign w:val="bottom"/>
            <w:tcBorders>
              <w:bottom w:val="single" w:sz="8" w:color="CCEEFF"/>
            </w:tcBorders>
            <w:gridSpan w:val="3"/>
            <w:shd w:val="clear" w:color="auto" w:fill="CCEEFF"/>
          </w:tcPr>
          <w:p>
            <w:pPr>
              <w:jc w:val="right"/>
              <w:ind w:right="101"/>
              <w:spacing w:after="0"/>
              <w:rPr>
                <w:sz w:val="20"/>
                <w:szCs w:val="20"/>
                <w:color w:val="auto"/>
              </w:rPr>
            </w:pPr>
            <w:r>
              <w:rPr>
                <w:rFonts w:ascii="Arial" w:cs="Arial" w:eastAsia="Arial" w:hAnsi="Arial"/>
                <w:sz w:val="20"/>
                <w:szCs w:val="20"/>
                <w:color w:val="auto"/>
              </w:rPr>
              <w:t>64</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265</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rPr>
              <w:t>59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581</w:t>
            </w:r>
          </w:p>
        </w:tc>
        <w:tc>
          <w:tcPr>
            <w:tcW w:w="1180" w:type="dxa"/>
            <w:vAlign w:val="bottom"/>
            <w:tcBorders>
              <w:bottom w:val="single" w:sz="8" w:color="CCEEFF"/>
            </w:tcBorders>
            <w:gridSpan w:val="3"/>
            <w:shd w:val="clear" w:color="auto" w:fill="CCEEFF"/>
          </w:tcPr>
          <w:p>
            <w:pPr>
              <w:jc w:val="right"/>
              <w:ind w:right="101"/>
              <w:spacing w:after="0"/>
              <w:rPr>
                <w:sz w:val="20"/>
                <w:szCs w:val="20"/>
                <w:color w:val="auto"/>
              </w:rPr>
            </w:pPr>
            <w:r>
              <w:rPr>
                <w:rFonts w:ascii="Arial" w:cs="Arial" w:eastAsia="Arial" w:hAnsi="Arial"/>
                <w:sz w:val="20"/>
                <w:szCs w:val="20"/>
                <w:color w:val="auto"/>
              </w:rPr>
              <w:t>57</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528</w:t>
            </w:r>
          </w:p>
        </w:tc>
        <w:tc>
          <w:tcPr>
            <w:tcW w:w="1200" w:type="dxa"/>
            <w:vAlign w:val="bottom"/>
            <w:tcBorders>
              <w:bottom w:val="single" w:sz="8" w:color="CCEEFF"/>
            </w:tcBorders>
            <w:gridSpan w:val="3"/>
            <w:shd w:val="clear" w:color="auto" w:fill="CCEEFF"/>
          </w:tcPr>
          <w:p>
            <w:pPr>
              <w:jc w:val="right"/>
              <w:ind w:right="101"/>
              <w:spacing w:after="0"/>
              <w:rPr>
                <w:sz w:val="20"/>
                <w:szCs w:val="20"/>
                <w:color w:val="auto"/>
              </w:rPr>
            </w:pPr>
            <w:r>
              <w:rPr>
                <w:rFonts w:ascii="Arial" w:cs="Arial" w:eastAsia="Arial" w:hAnsi="Arial"/>
                <w:sz w:val="20"/>
                <w:szCs w:val="20"/>
                <w:color w:val="auto"/>
              </w:rPr>
              <w:t>56</w:t>
            </w:r>
          </w:p>
        </w:tc>
      </w:tr>
      <w:tr>
        <w:trPr>
          <w:trHeight w:val="254"/>
        </w:trPr>
        <w:tc>
          <w:tcPr>
            <w:tcW w:w="3580" w:type="dxa"/>
            <w:vAlign w:val="bottom"/>
          </w:tcPr>
          <w:p>
            <w:pPr>
              <w:ind w:left="500"/>
              <w:spacing w:after="0"/>
              <w:rPr>
                <w:sz w:val="20"/>
                <w:szCs w:val="20"/>
                <w:color w:val="auto"/>
              </w:rPr>
            </w:pPr>
            <w:r>
              <w:rPr>
                <w:rFonts w:ascii="Arial" w:cs="Arial" w:eastAsia="Arial" w:hAnsi="Arial"/>
                <w:sz w:val="20"/>
                <w:szCs w:val="20"/>
                <w:color w:val="auto"/>
              </w:rPr>
              <w:t>Income from operations</w:t>
            </w:r>
          </w:p>
        </w:tc>
        <w:tc>
          <w:tcPr>
            <w:tcW w:w="26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57</w:t>
            </w:r>
          </w:p>
        </w:tc>
        <w:tc>
          <w:tcPr>
            <w:tcW w:w="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Borders>
              <w:top w:val="single" w:sz="8" w:color="auto"/>
            </w:tcBorders>
          </w:tcPr>
          <w:p>
            <w:pPr>
              <w:jc w:val="right"/>
              <w:ind w:right="101"/>
              <w:spacing w:after="0"/>
              <w:rPr>
                <w:sz w:val="20"/>
                <w:szCs w:val="20"/>
                <w:color w:val="auto"/>
              </w:rPr>
            </w:pPr>
            <w:r>
              <w:rPr>
                <w:rFonts w:ascii="Arial" w:cs="Arial" w:eastAsia="Arial" w:hAnsi="Arial"/>
                <w:sz w:val="20"/>
                <w:szCs w:val="20"/>
                <w:color w:val="auto"/>
              </w:rPr>
              <w:t>13</w:t>
            </w: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80</w:t>
            </w: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jc w:val="right"/>
              <w:ind w:right="101"/>
              <w:spacing w:after="0"/>
              <w:rPr>
                <w:sz w:val="20"/>
                <w:szCs w:val="20"/>
                <w:color w:val="auto"/>
              </w:rPr>
            </w:pPr>
            <w:r>
              <w:rPr>
                <w:rFonts w:ascii="Arial" w:cs="Arial" w:eastAsia="Arial" w:hAnsi="Arial"/>
                <w:sz w:val="20"/>
                <w:szCs w:val="20"/>
                <w:color w:val="auto"/>
              </w:rPr>
              <w:t>18</w:t>
            </w: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168</w:t>
            </w:r>
          </w:p>
        </w:tc>
        <w:tc>
          <w:tcPr>
            <w:tcW w:w="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Borders>
              <w:top w:val="single" w:sz="8" w:color="auto"/>
            </w:tcBorders>
          </w:tcPr>
          <w:p>
            <w:pPr>
              <w:jc w:val="right"/>
              <w:ind w:right="101"/>
              <w:spacing w:after="0"/>
              <w:rPr>
                <w:sz w:val="20"/>
                <w:szCs w:val="20"/>
                <w:color w:val="auto"/>
              </w:rPr>
            </w:pPr>
            <w:r>
              <w:rPr>
                <w:rFonts w:ascii="Arial" w:cs="Arial" w:eastAsia="Arial" w:hAnsi="Arial"/>
                <w:sz w:val="20"/>
                <w:szCs w:val="20"/>
                <w:color w:val="auto"/>
              </w:rPr>
              <w:t>16</w:t>
            </w: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180</w:t>
            </w:r>
          </w:p>
        </w:tc>
        <w:tc>
          <w:tcPr>
            <w:tcW w:w="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top w:val="single" w:sz="8" w:color="auto"/>
            </w:tcBorders>
          </w:tcPr>
          <w:p>
            <w:pPr>
              <w:jc w:val="right"/>
              <w:ind w:right="101"/>
              <w:spacing w:after="0"/>
              <w:rPr>
                <w:sz w:val="20"/>
                <w:szCs w:val="20"/>
                <w:color w:val="auto"/>
              </w:rPr>
            </w:pPr>
            <w:r>
              <w:rPr>
                <w:rFonts w:ascii="Arial" w:cs="Arial" w:eastAsia="Arial" w:hAnsi="Arial"/>
                <w:sz w:val="20"/>
                <w:szCs w:val="20"/>
                <w:color w:val="auto"/>
              </w:rPr>
              <w:t>19</w:t>
            </w:r>
          </w:p>
        </w:tc>
      </w:tr>
      <w:tr>
        <w:trPr>
          <w:trHeight w:val="23"/>
        </w:trPr>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84"/>
        </w:trPr>
        <w:tc>
          <w:tcPr>
            <w:tcW w:w="3580" w:type="dxa"/>
            <w:vAlign w:val="bottom"/>
            <w:shd w:val="clear" w:color="auto" w:fill="CCEEFF"/>
          </w:tcPr>
          <w:p>
            <w:pPr>
              <w:ind w:left="40"/>
              <w:spacing w:after="0" w:line="283" w:lineRule="exact"/>
              <w:rPr>
                <w:sz w:val="20"/>
                <w:szCs w:val="20"/>
                <w:color w:val="auto"/>
              </w:rPr>
            </w:pPr>
            <w:r>
              <w:rPr>
                <w:rFonts w:ascii="Arial" w:cs="Arial" w:eastAsia="Arial" w:hAnsi="Arial"/>
                <w:sz w:val="20"/>
                <w:szCs w:val="20"/>
                <w:b w:val="1"/>
                <w:bCs w:val="1"/>
                <w:color w:val="auto"/>
              </w:rPr>
              <w:t>Interest expense</w:t>
            </w:r>
            <w:r>
              <w:rPr>
                <w:rFonts w:ascii="Arial" w:cs="Arial" w:eastAsia="Arial" w:hAnsi="Arial"/>
                <w:sz w:val="25"/>
                <w:szCs w:val="25"/>
                <w:b w:val="1"/>
                <w:bCs w:val="1"/>
                <w:color w:val="auto"/>
                <w:vertAlign w:val="superscript"/>
              </w:rPr>
              <w:t>(2)</w:t>
            </w:r>
          </w:p>
        </w:tc>
        <w:tc>
          <w:tcPr>
            <w:tcW w:w="26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w:t>
            </w:r>
          </w:p>
        </w:tc>
        <w:tc>
          <w:tcPr>
            <w:tcW w:w="1080" w:type="dxa"/>
            <w:vAlign w:val="bottom"/>
            <w:gridSpan w:val="3"/>
            <w:shd w:val="clear" w:color="auto" w:fill="CCEEFF"/>
          </w:tcPr>
          <w:p>
            <w:pPr>
              <w:jc w:val="right"/>
              <w:ind w:right="101"/>
              <w:spacing w:after="0"/>
              <w:rPr>
                <w:sz w:val="20"/>
                <w:szCs w:val="20"/>
                <w:color w:val="auto"/>
              </w:rPr>
            </w:pPr>
            <w:r>
              <w:rPr>
                <w:rFonts w:ascii="Arial" w:cs="Arial" w:eastAsia="Arial" w:hAnsi="Arial"/>
                <w:sz w:val="20"/>
                <w:szCs w:val="20"/>
                <w:color w:val="auto"/>
              </w:rPr>
              <w:t>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rPr>
              <w:t>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63</w:t>
            </w:r>
          </w:p>
        </w:tc>
        <w:tc>
          <w:tcPr>
            <w:tcW w:w="1180" w:type="dxa"/>
            <w:vAlign w:val="bottom"/>
            <w:gridSpan w:val="3"/>
            <w:shd w:val="clear" w:color="auto" w:fill="CCEEFF"/>
          </w:tcPr>
          <w:p>
            <w:pPr>
              <w:jc w:val="right"/>
              <w:ind w:right="101"/>
              <w:spacing w:after="0"/>
              <w:rPr>
                <w:sz w:val="20"/>
                <w:szCs w:val="20"/>
                <w:color w:val="auto"/>
              </w:rPr>
            </w:pPr>
            <w:r>
              <w:rPr>
                <w:rFonts w:ascii="Arial" w:cs="Arial" w:eastAsia="Arial" w:hAnsi="Arial"/>
                <w:sz w:val="20"/>
                <w:szCs w:val="20"/>
                <w:color w:val="auto"/>
              </w:rPr>
              <w:t>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62</w:t>
            </w:r>
          </w:p>
        </w:tc>
        <w:tc>
          <w:tcPr>
            <w:tcW w:w="1200" w:type="dxa"/>
            <w:vAlign w:val="bottom"/>
            <w:gridSpan w:val="3"/>
            <w:shd w:val="clear" w:color="auto" w:fill="CCEEFF"/>
          </w:tcPr>
          <w:p>
            <w:pPr>
              <w:jc w:val="right"/>
              <w:ind w:right="101"/>
              <w:spacing w:after="0"/>
              <w:rPr>
                <w:sz w:val="20"/>
                <w:szCs w:val="20"/>
                <w:color w:val="auto"/>
              </w:rPr>
            </w:pPr>
            <w:r>
              <w:rPr>
                <w:rFonts w:ascii="Arial" w:cs="Arial" w:eastAsia="Arial" w:hAnsi="Arial"/>
                <w:sz w:val="20"/>
                <w:szCs w:val="20"/>
                <w:color w:val="auto"/>
              </w:rPr>
              <w:t>7</w:t>
            </w:r>
          </w:p>
        </w:tc>
      </w:tr>
      <w:tr>
        <w:trPr>
          <w:trHeight w:val="261"/>
        </w:trPr>
        <w:tc>
          <w:tcPr>
            <w:tcW w:w="3580" w:type="dxa"/>
            <w:vAlign w:val="bottom"/>
          </w:tcPr>
          <w:p>
            <w:pPr>
              <w:ind w:left="40"/>
              <w:spacing w:after="0"/>
              <w:rPr>
                <w:sz w:val="20"/>
                <w:szCs w:val="20"/>
                <w:color w:val="auto"/>
              </w:rPr>
            </w:pPr>
            <w:r>
              <w:rPr>
                <w:rFonts w:ascii="Arial" w:cs="Arial" w:eastAsia="Arial" w:hAnsi="Arial"/>
                <w:sz w:val="20"/>
                <w:szCs w:val="20"/>
                <w:b w:val="1"/>
                <w:bCs w:val="1"/>
                <w:color w:val="auto"/>
              </w:rPr>
              <w:t>Other income:</w:t>
            </w: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
        </w:trPr>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0"/>
        </w:trPr>
        <w:tc>
          <w:tcPr>
            <w:tcW w:w="3580" w:type="dxa"/>
            <w:vAlign w:val="bottom"/>
            <w:shd w:val="clear" w:color="auto" w:fill="CCEEFF"/>
          </w:tcPr>
          <w:p>
            <w:pPr>
              <w:ind w:left="280"/>
              <w:spacing w:after="0"/>
              <w:rPr>
                <w:sz w:val="20"/>
                <w:szCs w:val="20"/>
                <w:color w:val="auto"/>
              </w:rPr>
            </w:pPr>
            <w:r>
              <w:rPr>
                <w:rFonts w:ascii="Arial" w:cs="Arial" w:eastAsia="Arial" w:hAnsi="Arial"/>
                <w:sz w:val="20"/>
                <w:szCs w:val="20"/>
                <w:color w:val="auto"/>
                <w:w w:val="95"/>
              </w:rPr>
              <w:t>Allowance for equity funds used during</w:t>
            </w:r>
          </w:p>
        </w:tc>
        <w:tc>
          <w:tcPr>
            <w:tcW w:w="2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53"/>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construction</w:t>
            </w:r>
          </w:p>
        </w:tc>
        <w:tc>
          <w:tcPr>
            <w:tcW w:w="2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20"/>
                <w:szCs w:val="20"/>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w:t>
            </w:r>
          </w:p>
        </w:tc>
        <w:tc>
          <w:tcPr>
            <w:tcW w:w="1200" w:type="dxa"/>
            <w:vAlign w:val="bottom"/>
            <w:tcBorders>
              <w:bottom w:val="single" w:sz="8" w:color="CCEEFF"/>
            </w:tcBorders>
            <w:gridSpan w:val="3"/>
            <w:shd w:val="clear" w:color="auto" w:fill="CCEEFF"/>
          </w:tcPr>
          <w:p>
            <w:pPr>
              <w:jc w:val="right"/>
              <w:ind w:right="101"/>
              <w:spacing w:after="0"/>
              <w:rPr>
                <w:sz w:val="20"/>
                <w:szCs w:val="20"/>
                <w:color w:val="auto"/>
              </w:rPr>
            </w:pPr>
            <w:r>
              <w:rPr>
                <w:rFonts w:ascii="Arial" w:cs="Arial" w:eastAsia="Arial" w:hAnsi="Arial"/>
                <w:sz w:val="20"/>
                <w:szCs w:val="20"/>
                <w:color w:val="auto"/>
              </w:rPr>
              <w:t>1</w:t>
            </w:r>
          </w:p>
        </w:tc>
      </w:tr>
      <w:tr>
        <w:trPr>
          <w:trHeight w:val="261"/>
        </w:trPr>
        <w:tc>
          <w:tcPr>
            <w:tcW w:w="3580" w:type="dxa"/>
            <w:vAlign w:val="bottom"/>
          </w:tcPr>
          <w:p>
            <w:pPr>
              <w:ind w:left="280"/>
              <w:spacing w:after="0"/>
              <w:rPr>
                <w:sz w:val="20"/>
                <w:szCs w:val="20"/>
                <w:color w:val="auto"/>
              </w:rPr>
            </w:pPr>
            <w:r>
              <w:rPr>
                <w:rFonts w:ascii="Arial" w:cs="Arial" w:eastAsia="Arial" w:hAnsi="Arial"/>
                <w:sz w:val="20"/>
                <w:szCs w:val="20"/>
                <w:color w:val="auto"/>
              </w:rPr>
              <w:t>Miscellaneous income, net</w:t>
            </w:r>
          </w:p>
        </w:tc>
        <w:tc>
          <w:tcPr>
            <w:tcW w:w="26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2"/>
                <w:szCs w:val="22"/>
                <w:color w:val="auto"/>
              </w:rPr>
            </w:pPr>
          </w:p>
        </w:tc>
        <w:tc>
          <w:tcPr>
            <w:tcW w:w="540" w:type="dxa"/>
            <w:vAlign w:val="bottom"/>
          </w:tcPr>
          <w:p>
            <w:pPr>
              <w:jc w:val="right"/>
              <w:ind w:right="1"/>
              <w:spacing w:after="0"/>
              <w:rPr>
                <w:sz w:val="20"/>
                <w:szCs w:val="20"/>
                <w:color w:val="auto"/>
              </w:rPr>
            </w:pPr>
            <w:r>
              <w:rPr>
                <w:rFonts w:ascii="Arial" w:cs="Arial" w:eastAsia="Arial" w:hAnsi="Arial"/>
                <w:sz w:val="20"/>
                <w:szCs w:val="20"/>
                <w:color w:val="auto"/>
              </w:rPr>
              <w:t>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101"/>
              <w:spacing w:after="0"/>
              <w:rPr>
                <w:sz w:val="20"/>
                <w:szCs w:val="20"/>
                <w:color w:val="auto"/>
              </w:rPr>
            </w:pPr>
            <w:r>
              <w:rPr>
                <w:rFonts w:ascii="Arial" w:cs="Arial" w:eastAsia="Arial" w:hAnsi="Arial"/>
                <w:sz w:val="20"/>
                <w:szCs w:val="20"/>
                <w:color w:val="auto"/>
              </w:rPr>
              <w:t>—</w:t>
            </w:r>
          </w:p>
        </w:tc>
      </w:tr>
      <w:tr>
        <w:trPr>
          <w:trHeight w:val="23"/>
        </w:trPr>
        <w:tc>
          <w:tcPr>
            <w:tcW w:w="3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7"/>
        </w:trPr>
        <w:tc>
          <w:tcPr>
            <w:tcW w:w="3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20"/>
                <w:szCs w:val="20"/>
                <w:color w:val="auto"/>
              </w:rPr>
              <w:t>Other income, net</w:t>
            </w:r>
          </w:p>
        </w:tc>
        <w:tc>
          <w:tcPr>
            <w:tcW w:w="26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7</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20"/>
                <w:szCs w:val="20"/>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w:t>
            </w:r>
          </w:p>
        </w:tc>
        <w:tc>
          <w:tcPr>
            <w:tcW w:w="1200" w:type="dxa"/>
            <w:vAlign w:val="bottom"/>
            <w:tcBorders>
              <w:bottom w:val="single" w:sz="8" w:color="CCEEFF"/>
            </w:tcBorders>
            <w:gridSpan w:val="3"/>
            <w:shd w:val="clear" w:color="auto" w:fill="CCEEFF"/>
          </w:tcPr>
          <w:p>
            <w:pPr>
              <w:jc w:val="right"/>
              <w:ind w:right="101"/>
              <w:spacing w:after="0"/>
              <w:rPr>
                <w:sz w:val="20"/>
                <w:szCs w:val="20"/>
                <w:color w:val="auto"/>
              </w:rPr>
            </w:pPr>
            <w:r>
              <w:rPr>
                <w:rFonts w:ascii="Arial" w:cs="Arial" w:eastAsia="Arial" w:hAnsi="Arial"/>
                <w:sz w:val="20"/>
                <w:szCs w:val="20"/>
                <w:color w:val="auto"/>
              </w:rPr>
              <w:t>1</w:t>
            </w:r>
          </w:p>
        </w:tc>
      </w:tr>
      <w:tr>
        <w:trPr>
          <w:trHeight w:val="254"/>
        </w:trPr>
        <w:tc>
          <w:tcPr>
            <w:tcW w:w="3580" w:type="dxa"/>
            <w:vAlign w:val="bottom"/>
          </w:tcPr>
          <w:p>
            <w:pPr>
              <w:ind w:left="500"/>
              <w:spacing w:after="0"/>
              <w:rPr>
                <w:sz w:val="20"/>
                <w:szCs w:val="20"/>
                <w:color w:val="auto"/>
              </w:rPr>
            </w:pPr>
            <w:r>
              <w:rPr>
                <w:rFonts w:ascii="Arial" w:cs="Arial" w:eastAsia="Arial" w:hAnsi="Arial"/>
                <w:sz w:val="20"/>
                <w:szCs w:val="20"/>
                <w:color w:val="auto"/>
                <w:w w:val="98"/>
              </w:rPr>
              <w:t>Income before income tax expense</w:t>
            </w:r>
          </w:p>
        </w:tc>
        <w:tc>
          <w:tcPr>
            <w:tcW w:w="26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28</w:t>
            </w:r>
          </w:p>
        </w:tc>
        <w:tc>
          <w:tcPr>
            <w:tcW w:w="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Borders>
              <w:top w:val="single" w:sz="8" w:color="auto"/>
            </w:tcBorders>
          </w:tcPr>
          <w:p>
            <w:pPr>
              <w:jc w:val="right"/>
              <w:ind w:right="101"/>
              <w:spacing w:after="0"/>
              <w:rPr>
                <w:sz w:val="20"/>
                <w:szCs w:val="20"/>
                <w:color w:val="auto"/>
              </w:rPr>
            </w:pPr>
            <w:r>
              <w:rPr>
                <w:rFonts w:ascii="Arial" w:cs="Arial" w:eastAsia="Arial" w:hAnsi="Arial"/>
                <w:sz w:val="20"/>
                <w:szCs w:val="20"/>
                <w:color w:val="auto"/>
              </w:rPr>
              <w:t>6</w:t>
            </w: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52</w:t>
            </w: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jc w:val="right"/>
              <w:ind w:right="101"/>
              <w:spacing w:after="0"/>
              <w:rPr>
                <w:sz w:val="20"/>
                <w:szCs w:val="20"/>
                <w:color w:val="auto"/>
              </w:rPr>
            </w:pPr>
            <w:r>
              <w:rPr>
                <w:rFonts w:ascii="Arial" w:cs="Arial" w:eastAsia="Arial" w:hAnsi="Arial"/>
                <w:sz w:val="20"/>
                <w:szCs w:val="20"/>
                <w:color w:val="auto"/>
              </w:rPr>
              <w:t>12</w:t>
            </w: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112</w:t>
            </w:r>
          </w:p>
        </w:tc>
        <w:tc>
          <w:tcPr>
            <w:tcW w:w="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Borders>
              <w:top w:val="single" w:sz="8" w:color="auto"/>
            </w:tcBorders>
          </w:tcPr>
          <w:p>
            <w:pPr>
              <w:jc w:val="right"/>
              <w:ind w:right="101"/>
              <w:spacing w:after="0"/>
              <w:rPr>
                <w:sz w:val="20"/>
                <w:szCs w:val="20"/>
                <w:color w:val="auto"/>
              </w:rPr>
            </w:pPr>
            <w:r>
              <w:rPr>
                <w:rFonts w:ascii="Arial" w:cs="Arial" w:eastAsia="Arial" w:hAnsi="Arial"/>
                <w:sz w:val="20"/>
                <w:szCs w:val="20"/>
                <w:color w:val="auto"/>
              </w:rPr>
              <w:t>10</w:t>
            </w: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124</w:t>
            </w:r>
          </w:p>
        </w:tc>
        <w:tc>
          <w:tcPr>
            <w:tcW w:w="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top w:val="single" w:sz="8" w:color="auto"/>
            </w:tcBorders>
          </w:tcPr>
          <w:p>
            <w:pPr>
              <w:jc w:val="right"/>
              <w:ind w:right="101"/>
              <w:spacing w:after="0"/>
              <w:rPr>
                <w:sz w:val="20"/>
                <w:szCs w:val="20"/>
                <w:color w:val="auto"/>
              </w:rPr>
            </w:pPr>
            <w:r>
              <w:rPr>
                <w:rFonts w:ascii="Arial" w:cs="Arial" w:eastAsia="Arial" w:hAnsi="Arial"/>
                <w:sz w:val="20"/>
                <w:szCs w:val="20"/>
                <w:color w:val="auto"/>
              </w:rPr>
              <w:t>13</w:t>
            </w:r>
          </w:p>
        </w:tc>
      </w:tr>
      <w:tr>
        <w:trPr>
          <w:trHeight w:val="23"/>
        </w:trPr>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8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b w:val="1"/>
                <w:bCs w:val="1"/>
                <w:color w:val="auto"/>
              </w:rPr>
              <w:t>Income tax expense</w:t>
            </w:r>
          </w:p>
        </w:tc>
        <w:tc>
          <w:tcPr>
            <w:tcW w:w="26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w:t>
            </w:r>
          </w:p>
        </w:tc>
        <w:tc>
          <w:tcPr>
            <w:tcW w:w="1080" w:type="dxa"/>
            <w:vAlign w:val="bottom"/>
            <w:tcBorders>
              <w:bottom w:val="single" w:sz="8" w:color="CCEEFF"/>
            </w:tcBorders>
            <w:gridSpan w:val="3"/>
            <w:shd w:val="clear" w:color="auto" w:fill="CCEEFF"/>
          </w:tcPr>
          <w:p>
            <w:pPr>
              <w:jc w:val="right"/>
              <w:ind w:right="101"/>
              <w:spacing w:after="0"/>
              <w:rPr>
                <w:sz w:val="20"/>
                <w:szCs w:val="20"/>
                <w:color w:val="auto"/>
              </w:rPr>
            </w:pPr>
            <w:r>
              <w:rPr>
                <w:rFonts w:ascii="Arial" w:cs="Arial" w:eastAsia="Arial" w:hAnsi="Arial"/>
                <w:sz w:val="20"/>
                <w:szCs w:val="20"/>
                <w:color w:val="auto"/>
              </w:rPr>
              <w:t>1</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6</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14</w:t>
            </w:r>
          </w:p>
        </w:tc>
        <w:tc>
          <w:tcPr>
            <w:tcW w:w="1180" w:type="dxa"/>
            <w:vAlign w:val="bottom"/>
            <w:tcBorders>
              <w:bottom w:val="single" w:sz="8" w:color="CCEEFF"/>
            </w:tcBorders>
            <w:gridSpan w:val="3"/>
            <w:shd w:val="clear" w:color="auto" w:fill="CCEEFF"/>
          </w:tcPr>
          <w:p>
            <w:pPr>
              <w:jc w:val="right"/>
              <w:ind w:right="101"/>
              <w:spacing w:after="0"/>
              <w:rPr>
                <w:sz w:val="20"/>
                <w:szCs w:val="20"/>
                <w:color w:val="auto"/>
              </w:rPr>
            </w:pPr>
            <w:r>
              <w:rPr>
                <w:rFonts w:ascii="Arial" w:cs="Arial" w:eastAsia="Arial" w:hAnsi="Arial"/>
                <w:sz w:val="20"/>
                <w:szCs w:val="20"/>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14</w:t>
            </w:r>
          </w:p>
        </w:tc>
        <w:tc>
          <w:tcPr>
            <w:tcW w:w="1200" w:type="dxa"/>
            <w:vAlign w:val="bottom"/>
            <w:tcBorders>
              <w:bottom w:val="single" w:sz="8" w:color="CCEEFF"/>
            </w:tcBorders>
            <w:gridSpan w:val="3"/>
            <w:shd w:val="clear" w:color="auto" w:fill="CCEEFF"/>
          </w:tcPr>
          <w:p>
            <w:pPr>
              <w:jc w:val="right"/>
              <w:ind w:right="101"/>
              <w:spacing w:after="0"/>
              <w:rPr>
                <w:sz w:val="20"/>
                <w:szCs w:val="20"/>
                <w:color w:val="auto"/>
              </w:rPr>
            </w:pPr>
            <w:r>
              <w:rPr>
                <w:rFonts w:ascii="Arial" w:cs="Arial" w:eastAsia="Arial" w:hAnsi="Arial"/>
                <w:sz w:val="20"/>
                <w:szCs w:val="20"/>
                <w:color w:val="auto"/>
              </w:rPr>
              <w:t>1</w:t>
            </w:r>
          </w:p>
        </w:tc>
      </w:tr>
      <w:tr>
        <w:trPr>
          <w:trHeight w:val="272"/>
        </w:trPr>
        <w:tc>
          <w:tcPr>
            <w:tcW w:w="3580" w:type="dxa"/>
            <w:vAlign w:val="bottom"/>
          </w:tcPr>
          <w:p>
            <w:pPr>
              <w:ind w:left="500"/>
              <w:spacing w:after="0"/>
              <w:rPr>
                <w:sz w:val="20"/>
                <w:szCs w:val="20"/>
                <w:color w:val="auto"/>
              </w:rPr>
            </w:pPr>
            <w:r>
              <w:rPr>
                <w:rFonts w:ascii="Arial" w:cs="Arial" w:eastAsia="Arial" w:hAnsi="Arial"/>
                <w:sz w:val="20"/>
                <w:szCs w:val="20"/>
                <w:b w:val="1"/>
                <w:bCs w:val="1"/>
                <w:color w:val="auto"/>
              </w:rPr>
              <w:t>Net income</w:t>
            </w:r>
          </w:p>
        </w:tc>
        <w:tc>
          <w:tcPr>
            <w:tcW w:w="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20"/>
                <w:szCs w:val="20"/>
                <w:color w:val="auto"/>
                <w:w w:val="8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25</w:t>
            </w:r>
          </w:p>
        </w:tc>
        <w:tc>
          <w:tcPr>
            <w:tcW w:w="120" w:type="dxa"/>
            <w:vAlign w:val="bottom"/>
            <w:tcBorders>
              <w:top w:val="single" w:sz="8" w:color="auto"/>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w:t>
            </w:r>
          </w:p>
        </w:tc>
        <w:tc>
          <w:tcPr>
            <w:tcW w:w="120" w:type="dxa"/>
            <w:vAlign w:val="bottom"/>
          </w:tcPr>
          <w:p>
            <w:pPr>
              <w:spacing w:after="0"/>
              <w:rPr>
                <w:sz w:val="23"/>
                <w:szCs w:val="23"/>
                <w:color w:val="auto"/>
              </w:rPr>
            </w:pPr>
          </w:p>
        </w:tc>
        <w:tc>
          <w:tcPr>
            <w:tcW w:w="2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w w:val="89"/>
              </w:rPr>
              <w:t>$</w:t>
            </w:r>
          </w:p>
        </w:tc>
        <w:tc>
          <w:tcPr>
            <w:tcW w:w="5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46</w:t>
            </w:r>
          </w:p>
        </w:tc>
        <w:tc>
          <w:tcPr>
            <w:tcW w:w="120" w:type="dxa"/>
            <w:vAlign w:val="bottom"/>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w:t>
            </w:r>
          </w:p>
        </w:tc>
        <w:tc>
          <w:tcPr>
            <w:tcW w:w="100" w:type="dxa"/>
            <w:vAlign w:val="bottom"/>
          </w:tcPr>
          <w:p>
            <w:pPr>
              <w:spacing w:after="0"/>
              <w:rPr>
                <w:sz w:val="23"/>
                <w:szCs w:val="23"/>
                <w:color w:val="auto"/>
              </w:rPr>
            </w:pPr>
          </w:p>
        </w:tc>
        <w:tc>
          <w:tcPr>
            <w:tcW w:w="2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98</w:t>
            </w:r>
          </w:p>
        </w:tc>
        <w:tc>
          <w:tcPr>
            <w:tcW w:w="100" w:type="dxa"/>
            <w:vAlign w:val="bottom"/>
            <w:tcBorders>
              <w:top w:val="single" w:sz="8" w:color="auto"/>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w:t>
            </w:r>
          </w:p>
        </w:tc>
        <w:tc>
          <w:tcPr>
            <w:tcW w:w="100" w:type="dxa"/>
            <w:vAlign w:val="bottom"/>
          </w:tcPr>
          <w:p>
            <w:pPr>
              <w:spacing w:after="0"/>
              <w:rPr>
                <w:sz w:val="23"/>
                <w:szCs w:val="23"/>
                <w:color w:val="auto"/>
              </w:rPr>
            </w:pPr>
          </w:p>
        </w:tc>
        <w:tc>
          <w:tcPr>
            <w:tcW w:w="32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20"/>
                <w:szCs w:val="20"/>
                <w:color w:val="auto"/>
                <w:w w:val="8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110</w:t>
            </w:r>
          </w:p>
        </w:tc>
        <w:tc>
          <w:tcPr>
            <w:tcW w:w="100" w:type="dxa"/>
            <w:vAlign w:val="bottom"/>
            <w:tcBorders>
              <w:top w:val="single" w:sz="8" w:color="auto"/>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12%</w:t>
            </w:r>
          </w:p>
        </w:tc>
      </w:tr>
      <w:tr>
        <w:trPr>
          <w:trHeight w:val="20"/>
        </w:trPr>
        <w:tc>
          <w:tcPr>
            <w:tcW w:w="3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840" w:firstLine="8"/>
        <w:spacing w:after="0" w:line="258"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Gross margin agrees to Total revenues less Purchased power and fuel as reported on PGE’s Condensed Consolidated Statements of Income and Comprehensive Income.</w:t>
      </w:r>
    </w:p>
    <w:p>
      <w:pPr>
        <w:spacing w:after="0" w:line="1" w:lineRule="exact"/>
        <w:rPr>
          <w:rFonts w:ascii="Arial" w:cs="Arial" w:eastAsia="Arial" w:hAnsi="Arial"/>
          <w:sz w:val="18"/>
          <w:szCs w:val="18"/>
          <w:color w:val="auto"/>
        </w:rPr>
      </w:pPr>
    </w:p>
    <w:p>
      <w:pPr>
        <w:ind w:right="380" w:firstLine="8"/>
        <w:spacing w:after="0" w:line="261"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of an allowance for borrowed funds used during construction of $1 million for three months ended June 30, 2019 and 2018 and $2 million and $3 million for the six months ended June 30, 2019 and 2018, respectively.</w:t>
      </w:r>
    </w:p>
    <w:p>
      <w:pPr>
        <w:spacing w:after="0" w:line="189" w:lineRule="exact"/>
        <w:rPr>
          <w:sz w:val="20"/>
          <w:szCs w:val="20"/>
          <w:color w:val="auto"/>
        </w:rPr>
      </w:pPr>
    </w:p>
    <w:p>
      <w:pPr>
        <w:ind w:right="100"/>
        <w:spacing w:after="0" w:line="259" w:lineRule="auto"/>
        <w:rPr>
          <w:sz w:val="20"/>
          <w:szCs w:val="20"/>
          <w:color w:val="auto"/>
        </w:rPr>
      </w:pPr>
      <w:r>
        <w:rPr>
          <w:rFonts w:ascii="Arial" w:cs="Arial" w:eastAsia="Arial" w:hAnsi="Arial"/>
          <w:sz w:val="19"/>
          <w:szCs w:val="19"/>
          <w:b w:val="1"/>
          <w:bCs w:val="1"/>
          <w:color w:val="auto"/>
        </w:rPr>
        <w:t xml:space="preserve">Net income </w:t>
      </w:r>
      <w:r>
        <w:rPr>
          <w:rFonts w:ascii="Arial" w:cs="Arial" w:eastAsia="Arial" w:hAnsi="Arial"/>
          <w:sz w:val="19"/>
          <w:szCs w:val="19"/>
          <w:color w:val="auto"/>
        </w:rPr>
        <w:t>was $25 million, or $0.28 per diluted share, for the three months ended June 30, 2019, compared with $46 million, or $0.51 per</w:t>
      </w:r>
      <w:r>
        <w:rPr>
          <w:rFonts w:ascii="Arial" w:cs="Arial" w:eastAsia="Arial" w:hAnsi="Arial"/>
          <w:sz w:val="19"/>
          <w:szCs w:val="19"/>
          <w:b w:val="1"/>
          <w:bCs w:val="1"/>
          <w:color w:val="auto"/>
        </w:rPr>
        <w:t xml:space="preserve"> </w:t>
      </w:r>
      <w:r>
        <w:rPr>
          <w:rFonts w:ascii="Arial" w:cs="Arial" w:eastAsia="Arial" w:hAnsi="Arial"/>
          <w:sz w:val="19"/>
          <w:szCs w:val="19"/>
          <w:color w:val="auto"/>
        </w:rPr>
        <w:t>diluted share, for the three months ended June 30, 2018. The lower net income resulted primarily from an increase in Other operating expenses in the current quarter along with changes in factors contributing to Gross Margin. An increase in energy deliveries driven by industrial customer demand was partially offset by the impact of unfavorable weather on residential and commercial customers. While the Company’s average variable power cost per MWh increased 8%, earnings were also impacted by a 26% decrease in the average wholesale sales price, combined with a 25% decrease in wholesale sales volume. PGE owned and operated hydro and wind generation were both lower in the second quarter of 2019 than in the second quarter of 2018.</w:t>
      </w:r>
    </w:p>
    <w:p>
      <w:pPr>
        <w:spacing w:after="0" w:line="186" w:lineRule="exact"/>
        <w:rPr>
          <w:sz w:val="20"/>
          <w:szCs w:val="20"/>
          <w:color w:val="auto"/>
        </w:rPr>
      </w:pPr>
    </w:p>
    <w:p>
      <w:pPr>
        <w:ind w:right="40"/>
        <w:spacing w:after="0" w:line="280" w:lineRule="auto"/>
        <w:rPr>
          <w:sz w:val="20"/>
          <w:szCs w:val="20"/>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color w:val="auto"/>
        </w:rPr>
        <w:t>was $98 million, or</w:t>
      </w:r>
      <w:r>
        <w:rPr>
          <w:rFonts w:ascii="Arial" w:cs="Arial" w:eastAsia="Arial" w:hAnsi="Arial"/>
          <w:sz w:val="18"/>
          <w:szCs w:val="18"/>
          <w:b w:val="1"/>
          <w:bCs w:val="1"/>
          <w:color w:val="auto"/>
        </w:rPr>
        <w:t xml:space="preserve"> </w:t>
      </w:r>
      <w:r>
        <w:rPr>
          <w:rFonts w:ascii="Arial" w:cs="Arial" w:eastAsia="Arial" w:hAnsi="Arial"/>
          <w:sz w:val="16"/>
          <w:szCs w:val="16"/>
          <w:color w:val="auto"/>
        </w:rPr>
        <w:t>$1.09</w:t>
      </w:r>
      <w:r>
        <w:rPr>
          <w:rFonts w:ascii="Arial" w:cs="Arial" w:eastAsia="Arial" w:hAnsi="Arial"/>
          <w:sz w:val="18"/>
          <w:szCs w:val="18"/>
          <w:b w:val="1"/>
          <w:bCs w:val="1"/>
          <w:color w:val="auto"/>
        </w:rPr>
        <w:t xml:space="preserve"> </w:t>
      </w:r>
      <w:r>
        <w:rPr>
          <w:rFonts w:ascii="Arial" w:cs="Arial" w:eastAsia="Arial" w:hAnsi="Arial"/>
          <w:sz w:val="18"/>
          <w:szCs w:val="18"/>
          <w:color w:val="auto"/>
        </w:rPr>
        <w:t>per diluted share, for the six months ended June 30, 2019, compared with $110 million, or $1.23 per</w:t>
      </w:r>
      <w:r>
        <w:rPr>
          <w:rFonts w:ascii="Arial" w:cs="Arial" w:eastAsia="Arial" w:hAnsi="Arial"/>
          <w:sz w:val="18"/>
          <w:szCs w:val="18"/>
          <w:b w:val="1"/>
          <w:bCs w:val="1"/>
          <w:color w:val="auto"/>
        </w:rPr>
        <w:t xml:space="preserve"> </w:t>
      </w:r>
      <w:r>
        <w:rPr>
          <w:rFonts w:ascii="Arial" w:cs="Arial" w:eastAsia="Arial" w:hAnsi="Arial"/>
          <w:sz w:val="18"/>
          <w:szCs w:val="18"/>
          <w:color w:val="auto"/>
        </w:rPr>
        <w:t>diluted share, for the six months ended June 30, 2018. The decrease resulted from an increase in Other operating expenses in the second quarter of 2019 that more than offset the increases in net income seen in the first quarter of 2019 from the combination of colder temperatures and continued strength in the industrial sector resulting in higher energy deliveries and an increase in retail revenue. The Company experienced higher plant maintenance, labor, and employee benefit expenses, as well as plant depreciation and software amortization in 2019.</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300" w:lineRule="exact"/>
        <w:rPr>
          <w:sz w:val="20"/>
          <w:szCs w:val="20"/>
          <w:color w:val="auto"/>
        </w:rPr>
      </w:pPr>
    </w:p>
    <w:p>
      <w:pPr>
        <w:ind w:right="80"/>
        <w:spacing w:after="0" w:line="291" w:lineRule="auto"/>
        <w:rPr>
          <w:sz w:val="20"/>
          <w:szCs w:val="20"/>
          <w:color w:val="auto"/>
        </w:rPr>
      </w:pPr>
      <w:r>
        <w:rPr>
          <w:rFonts w:ascii="Arial" w:cs="Arial" w:eastAsia="Arial" w:hAnsi="Arial"/>
          <w:sz w:val="18"/>
          <w:szCs w:val="18"/>
          <w:color w:val="auto"/>
        </w:rPr>
        <w:t>Partially offsetting the revenue increase were higher prices for purchased power and natural gas due to cold temperatures that increased regional demand in the first quarter 2019, lower than average wind and hydropower production, and pipeline maintenance that limited natural gas supply. Net income benefited from the absence of costs associated with Carty litigation in 2019 that was present in 2018.</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Three Months Ended June 30, 2019 Compared with the Three Months Ended June 30, 2018</w:t>
      </w:r>
    </w:p>
    <w:p>
      <w:pPr>
        <w:spacing w:after="0" w:line="216" w:lineRule="exact"/>
        <w:rPr>
          <w:sz w:val="20"/>
          <w:szCs w:val="20"/>
          <w:color w:val="auto"/>
        </w:rPr>
      </w:pPr>
    </w:p>
    <w:p>
      <w:pPr>
        <w:ind w:right="740"/>
        <w:spacing w:after="0" w:line="267" w:lineRule="auto"/>
        <w:rPr>
          <w:sz w:val="20"/>
          <w:szCs w:val="20"/>
          <w:color w:val="auto"/>
        </w:rPr>
      </w:pPr>
      <w:r>
        <w:rPr>
          <w:rFonts w:ascii="Arial" w:cs="Arial" w:eastAsia="Arial" w:hAnsi="Arial"/>
          <w:sz w:val="20"/>
          <w:szCs w:val="20"/>
          <w:b w:val="1"/>
          <w:bCs w:val="1"/>
          <w:color w:val="auto"/>
        </w:rPr>
        <w:t>Revenues</w:t>
      </w:r>
      <w:r>
        <w:rPr>
          <w:rFonts w:ascii="Arial" w:cs="Arial" w:eastAsia="Arial" w:hAnsi="Arial"/>
          <w:sz w:val="20"/>
          <w:szCs w:val="20"/>
          <w:color w:val="auto"/>
        </w:rPr>
        <w:t>, energy deliveries (presented in MWh), and the average number of retail customers consist of the following for the periods</w:t>
      </w:r>
      <w:r>
        <w:rPr>
          <w:rFonts w:ascii="Arial" w:cs="Arial" w:eastAsia="Arial" w:hAnsi="Arial"/>
          <w:sz w:val="20"/>
          <w:szCs w:val="20"/>
          <w:b w:val="1"/>
          <w:bCs w:val="1"/>
          <w:color w:val="auto"/>
        </w:rPr>
        <w:t xml:space="preserve"> </w:t>
      </w:r>
      <w:r>
        <w:rPr>
          <w:rFonts w:ascii="Arial" w:cs="Arial" w:eastAsia="Arial" w:hAnsi="Arial"/>
          <w:sz w:val="20"/>
          <w:szCs w:val="20"/>
          <w:color w:val="auto"/>
        </w:rPr>
        <w:t>presented: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60" w:type="dxa"/>
            <w:vAlign w:val="bottom"/>
            <w:gridSpan w:val="6"/>
          </w:tcPr>
          <w:p>
            <w:pPr>
              <w:jc w:val="right"/>
              <w:ind w:right="460"/>
              <w:spacing w:after="0"/>
              <w:rPr>
                <w:sz w:val="20"/>
                <w:szCs w:val="20"/>
                <w:color w:val="auto"/>
              </w:rPr>
            </w:pPr>
            <w:r>
              <w:rPr>
                <w:rFonts w:ascii="Arial" w:cs="Arial" w:eastAsia="Arial" w:hAnsi="Arial"/>
                <w:sz w:val="20"/>
                <w:szCs w:val="20"/>
                <w:b w:val="1"/>
                <w:bCs w:val="1"/>
                <w:color w:val="auto"/>
                <w:w w:val="98"/>
              </w:rPr>
              <w:t>Three Months Ended June 30,</w:t>
            </w:r>
          </w:p>
        </w:tc>
        <w:tc>
          <w:tcPr>
            <w:tcW w:w="1020" w:type="dxa"/>
            <w:vAlign w:val="bottom"/>
          </w:tcPr>
          <w:p>
            <w:pPr>
              <w:spacing w:after="0"/>
              <w:rPr>
                <w:sz w:val="22"/>
                <w:szCs w:val="22"/>
                <w:color w:val="auto"/>
              </w:rPr>
            </w:pPr>
          </w:p>
        </w:tc>
      </w:tr>
      <w:tr>
        <w:trPr>
          <w:trHeight w:val="284"/>
        </w:trPr>
        <w:tc>
          <w:tcPr>
            <w:tcW w:w="5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20"/>
                <w:szCs w:val="20"/>
                <w:b w:val="1"/>
                <w:bCs w:val="1"/>
                <w:color w:val="auto"/>
              </w:rPr>
              <w:t>2019</w:t>
            </w: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2018</w:t>
            </w:r>
          </w:p>
        </w:tc>
        <w:tc>
          <w:tcPr>
            <w:tcW w:w="1020" w:type="dxa"/>
            <w:vAlign w:val="bottom"/>
          </w:tcPr>
          <w:p>
            <w:pPr>
              <w:spacing w:after="0"/>
              <w:rPr>
                <w:sz w:val="24"/>
                <w:szCs w:val="24"/>
                <w:color w:val="auto"/>
              </w:rPr>
            </w:pPr>
          </w:p>
        </w:tc>
      </w:tr>
      <w:tr>
        <w:trPr>
          <w:trHeight w:val="23"/>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b w:val="1"/>
                <w:bCs w:val="1"/>
                <w:color w:val="auto"/>
              </w:rPr>
              <w:t>Revenues (dollars in millions):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61"/>
        </w:trPr>
        <w:tc>
          <w:tcPr>
            <w:tcW w:w="5780" w:type="dxa"/>
            <w:vAlign w:val="bottom"/>
          </w:tcPr>
          <w:p>
            <w:pPr>
              <w:ind w:left="40"/>
              <w:spacing w:after="0"/>
              <w:rPr>
                <w:sz w:val="20"/>
                <w:szCs w:val="20"/>
                <w:color w:val="auto"/>
              </w:rPr>
            </w:pPr>
            <w:r>
              <w:rPr>
                <w:rFonts w:ascii="Arial" w:cs="Arial" w:eastAsia="Arial" w:hAnsi="Arial"/>
                <w:sz w:val="20"/>
                <w:szCs w:val="20"/>
                <w:color w:val="auto"/>
              </w:rPr>
              <w:t>Retail:</w:t>
            </w: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3"/>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4"/>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Residential</w:t>
            </w: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205</w:t>
            </w: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45 %</w:t>
            </w:r>
          </w:p>
        </w:tc>
        <w:tc>
          <w:tcPr>
            <w:tcW w:w="3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207</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46 %</w:t>
            </w:r>
          </w:p>
        </w:tc>
      </w:tr>
      <w:tr>
        <w:trPr>
          <w:trHeight w:val="261"/>
        </w:trPr>
        <w:tc>
          <w:tcPr>
            <w:tcW w:w="5780" w:type="dxa"/>
            <w:vAlign w:val="bottom"/>
          </w:tcPr>
          <w:p>
            <w:pPr>
              <w:ind w:left="280"/>
              <w:spacing w:after="0"/>
              <w:rPr>
                <w:sz w:val="20"/>
                <w:szCs w:val="20"/>
                <w:color w:val="auto"/>
              </w:rPr>
            </w:pPr>
            <w:r>
              <w:rPr>
                <w:rFonts w:ascii="Arial" w:cs="Arial" w:eastAsia="Arial" w:hAnsi="Arial"/>
                <w:sz w:val="20"/>
                <w:szCs w:val="20"/>
                <w:color w:val="auto"/>
              </w:rPr>
              <w:t>Commercial</w:t>
            </w:r>
          </w:p>
        </w:tc>
        <w:tc>
          <w:tcPr>
            <w:tcW w:w="30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158</w:t>
            </w:r>
          </w:p>
        </w:tc>
        <w:tc>
          <w:tcPr>
            <w:tcW w:w="340" w:type="dxa"/>
            <w:vAlign w:val="bottom"/>
          </w:tcPr>
          <w:p>
            <w:pPr>
              <w:spacing w:after="0"/>
              <w:rPr>
                <w:sz w:val="22"/>
                <w:szCs w:val="22"/>
                <w:color w:val="auto"/>
              </w:rPr>
            </w:pPr>
          </w:p>
        </w:tc>
        <w:tc>
          <w:tcPr>
            <w:tcW w:w="1000" w:type="dxa"/>
            <w:vAlign w:val="bottom"/>
          </w:tcPr>
          <w:p>
            <w:pPr>
              <w:jc w:val="right"/>
              <w:ind w:right="141"/>
              <w:spacing w:after="0"/>
              <w:rPr>
                <w:sz w:val="20"/>
                <w:szCs w:val="20"/>
                <w:color w:val="auto"/>
              </w:rPr>
            </w:pPr>
            <w:r>
              <w:rPr>
                <w:rFonts w:ascii="Arial" w:cs="Arial" w:eastAsia="Arial" w:hAnsi="Arial"/>
                <w:sz w:val="20"/>
                <w:szCs w:val="20"/>
                <w:color w:val="auto"/>
              </w:rPr>
              <w:t>34</w:t>
            </w: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162</w:t>
            </w:r>
          </w:p>
        </w:tc>
        <w:tc>
          <w:tcPr>
            <w:tcW w:w="340" w:type="dxa"/>
            <w:vAlign w:val="bottom"/>
          </w:tcPr>
          <w:p>
            <w:pPr>
              <w:spacing w:after="0"/>
              <w:rPr>
                <w:sz w:val="22"/>
                <w:szCs w:val="22"/>
                <w:color w:val="auto"/>
              </w:rPr>
            </w:pPr>
          </w:p>
        </w:tc>
        <w:tc>
          <w:tcPr>
            <w:tcW w:w="1020" w:type="dxa"/>
            <w:vAlign w:val="bottom"/>
          </w:tcPr>
          <w:p>
            <w:pPr>
              <w:jc w:val="right"/>
              <w:ind w:right="141"/>
              <w:spacing w:after="0"/>
              <w:rPr>
                <w:sz w:val="20"/>
                <w:szCs w:val="20"/>
                <w:color w:val="auto"/>
              </w:rPr>
            </w:pPr>
            <w:r>
              <w:rPr>
                <w:rFonts w:ascii="Arial" w:cs="Arial" w:eastAsia="Arial" w:hAnsi="Arial"/>
                <w:sz w:val="20"/>
                <w:szCs w:val="20"/>
                <w:color w:val="auto"/>
              </w:rPr>
              <w:t>36</w:t>
            </w:r>
          </w:p>
        </w:tc>
      </w:tr>
      <w:tr>
        <w:trPr>
          <w:trHeight w:val="23"/>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4"/>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Industrial</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50</w:t>
            </w: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rPr>
              <w:t>11</w:t>
            </w:r>
          </w:p>
        </w:tc>
        <w:tc>
          <w:tcPr>
            <w:tcW w:w="3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39</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rPr>
              <w:t>9</w:t>
            </w:r>
          </w:p>
        </w:tc>
      </w:tr>
      <w:tr>
        <w:trPr>
          <w:trHeight w:val="261"/>
        </w:trPr>
        <w:tc>
          <w:tcPr>
            <w:tcW w:w="5780" w:type="dxa"/>
            <w:vAlign w:val="bottom"/>
          </w:tcPr>
          <w:p>
            <w:pPr>
              <w:ind w:left="280"/>
              <w:spacing w:after="0"/>
              <w:rPr>
                <w:sz w:val="20"/>
                <w:szCs w:val="20"/>
                <w:color w:val="auto"/>
              </w:rPr>
            </w:pPr>
            <w:r>
              <w:rPr>
                <w:rFonts w:ascii="Arial" w:cs="Arial" w:eastAsia="Arial" w:hAnsi="Arial"/>
                <w:sz w:val="20"/>
                <w:szCs w:val="20"/>
                <w:color w:val="auto"/>
              </w:rPr>
              <w:t>Direct access</w:t>
            </w:r>
          </w:p>
        </w:tc>
        <w:tc>
          <w:tcPr>
            <w:tcW w:w="30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10</w:t>
            </w:r>
          </w:p>
        </w:tc>
        <w:tc>
          <w:tcPr>
            <w:tcW w:w="340" w:type="dxa"/>
            <w:vAlign w:val="bottom"/>
          </w:tcPr>
          <w:p>
            <w:pPr>
              <w:spacing w:after="0"/>
              <w:rPr>
                <w:sz w:val="22"/>
                <w:szCs w:val="22"/>
                <w:color w:val="auto"/>
              </w:rPr>
            </w:pPr>
          </w:p>
        </w:tc>
        <w:tc>
          <w:tcPr>
            <w:tcW w:w="1000" w:type="dxa"/>
            <w:vAlign w:val="bottom"/>
          </w:tcPr>
          <w:p>
            <w:pPr>
              <w:jc w:val="right"/>
              <w:ind w:right="141"/>
              <w:spacing w:after="0"/>
              <w:rPr>
                <w:sz w:val="20"/>
                <w:szCs w:val="20"/>
                <w:color w:val="auto"/>
              </w:rPr>
            </w:pPr>
            <w:r>
              <w:rPr>
                <w:rFonts w:ascii="Arial" w:cs="Arial" w:eastAsia="Arial" w:hAnsi="Arial"/>
                <w:sz w:val="20"/>
                <w:szCs w:val="20"/>
                <w:color w:val="auto"/>
              </w:rPr>
              <w:t>2</w:t>
            </w: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13</w:t>
            </w:r>
          </w:p>
        </w:tc>
        <w:tc>
          <w:tcPr>
            <w:tcW w:w="340" w:type="dxa"/>
            <w:vAlign w:val="bottom"/>
          </w:tcPr>
          <w:p>
            <w:pPr>
              <w:spacing w:after="0"/>
              <w:rPr>
                <w:sz w:val="22"/>
                <w:szCs w:val="22"/>
                <w:color w:val="auto"/>
              </w:rPr>
            </w:pPr>
          </w:p>
        </w:tc>
        <w:tc>
          <w:tcPr>
            <w:tcW w:w="1020" w:type="dxa"/>
            <w:vAlign w:val="bottom"/>
          </w:tcPr>
          <w:p>
            <w:pPr>
              <w:jc w:val="right"/>
              <w:ind w:right="141"/>
              <w:spacing w:after="0"/>
              <w:rPr>
                <w:sz w:val="20"/>
                <w:szCs w:val="20"/>
                <w:color w:val="auto"/>
              </w:rPr>
            </w:pPr>
            <w:r>
              <w:rPr>
                <w:rFonts w:ascii="Arial" w:cs="Arial" w:eastAsia="Arial" w:hAnsi="Arial"/>
                <w:sz w:val="20"/>
                <w:szCs w:val="20"/>
                <w:color w:val="auto"/>
              </w:rPr>
              <w:t>3</w:t>
            </w:r>
          </w:p>
        </w:tc>
      </w:tr>
      <w:tr>
        <w:trPr>
          <w:trHeight w:val="23"/>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20"/>
                <w:szCs w:val="20"/>
                <w:color w:val="auto"/>
              </w:rPr>
              <w:t>Subtotal</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423</w:t>
            </w: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rPr>
              <w:t>92</w:t>
            </w:r>
          </w:p>
        </w:tc>
        <w:tc>
          <w:tcPr>
            <w:tcW w:w="3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421</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rPr>
              <w:t>94</w:t>
            </w:r>
          </w:p>
        </w:tc>
      </w:tr>
      <w:tr>
        <w:trPr>
          <w:trHeight w:val="261"/>
        </w:trPr>
        <w:tc>
          <w:tcPr>
            <w:tcW w:w="5780" w:type="dxa"/>
            <w:vAlign w:val="bottom"/>
          </w:tcPr>
          <w:p>
            <w:pPr>
              <w:ind w:left="280"/>
              <w:spacing w:after="0"/>
              <w:rPr>
                <w:sz w:val="20"/>
                <w:szCs w:val="20"/>
                <w:color w:val="auto"/>
              </w:rPr>
            </w:pPr>
            <w:r>
              <w:rPr>
                <w:rFonts w:ascii="Arial" w:cs="Arial" w:eastAsia="Arial" w:hAnsi="Arial"/>
                <w:sz w:val="20"/>
                <w:szCs w:val="20"/>
                <w:color w:val="auto"/>
              </w:rPr>
              <w:t>Alternative revenue programs, net of amortization</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w:t>
            </w:r>
          </w:p>
        </w:tc>
        <w:tc>
          <w:tcPr>
            <w:tcW w:w="340" w:type="dxa"/>
            <w:vAlign w:val="bottom"/>
          </w:tcPr>
          <w:p>
            <w:pPr>
              <w:spacing w:after="0"/>
              <w:rPr>
                <w:sz w:val="22"/>
                <w:szCs w:val="22"/>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2"/>
                <w:szCs w:val="22"/>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141"/>
              <w:spacing w:after="0"/>
              <w:rPr>
                <w:sz w:val="20"/>
                <w:szCs w:val="20"/>
                <w:color w:val="auto"/>
              </w:rPr>
            </w:pPr>
            <w:r>
              <w:rPr>
                <w:rFonts w:ascii="Arial" w:cs="Arial" w:eastAsia="Arial" w:hAnsi="Arial"/>
                <w:sz w:val="20"/>
                <w:szCs w:val="20"/>
                <w:color w:val="auto"/>
              </w:rPr>
              <w:t>—</w:t>
            </w:r>
          </w:p>
        </w:tc>
      </w:tr>
      <w:tr>
        <w:trPr>
          <w:trHeight w:val="23"/>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84"/>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Other accrued (deferred) revenues, net</w:t>
            </w:r>
          </w:p>
        </w:tc>
        <w:tc>
          <w:tcPr>
            <w:tcW w:w="3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6</w:t>
            </w:r>
          </w:p>
        </w:tc>
        <w:tc>
          <w:tcPr>
            <w:tcW w:w="3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rPr>
              <w:t>1</w:t>
            </w:r>
          </w:p>
        </w:tc>
        <w:tc>
          <w:tcPr>
            <w:tcW w:w="3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w:t>
            </w:r>
          </w:p>
        </w:tc>
        <w:tc>
          <w:tcPr>
            <w:tcW w:w="3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rPr>
              <w:t>(2)</w:t>
            </w:r>
          </w:p>
        </w:tc>
      </w:tr>
      <w:tr>
        <w:trPr>
          <w:trHeight w:val="254"/>
        </w:trPr>
        <w:tc>
          <w:tcPr>
            <w:tcW w:w="5780" w:type="dxa"/>
            <w:vAlign w:val="bottom"/>
          </w:tcPr>
          <w:p>
            <w:pPr>
              <w:ind w:left="500"/>
              <w:spacing w:after="0"/>
              <w:rPr>
                <w:sz w:val="20"/>
                <w:szCs w:val="20"/>
                <w:color w:val="auto"/>
              </w:rPr>
            </w:pPr>
            <w:r>
              <w:rPr>
                <w:rFonts w:ascii="Arial" w:cs="Arial" w:eastAsia="Arial" w:hAnsi="Arial"/>
                <w:sz w:val="20"/>
                <w:szCs w:val="20"/>
                <w:color w:val="auto"/>
              </w:rPr>
              <w:t>Total retail revenues</w:t>
            </w:r>
          </w:p>
        </w:tc>
        <w:tc>
          <w:tcPr>
            <w:tcW w:w="3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427</w:t>
            </w:r>
          </w:p>
        </w:tc>
        <w:tc>
          <w:tcPr>
            <w:tcW w:w="340" w:type="dxa"/>
            <w:vAlign w:val="bottom"/>
          </w:tcPr>
          <w:p>
            <w:pPr>
              <w:spacing w:after="0"/>
              <w:rPr>
                <w:sz w:val="22"/>
                <w:szCs w:val="22"/>
                <w:color w:val="auto"/>
              </w:rPr>
            </w:pPr>
          </w:p>
        </w:tc>
        <w:tc>
          <w:tcPr>
            <w:tcW w:w="1000" w:type="dxa"/>
            <w:vAlign w:val="bottom"/>
            <w:tcBorders>
              <w:top w:val="single" w:sz="8" w:color="auto"/>
            </w:tcBorders>
          </w:tcPr>
          <w:p>
            <w:pPr>
              <w:jc w:val="right"/>
              <w:ind w:right="141"/>
              <w:spacing w:after="0"/>
              <w:rPr>
                <w:sz w:val="20"/>
                <w:szCs w:val="20"/>
                <w:color w:val="auto"/>
              </w:rPr>
            </w:pPr>
            <w:r>
              <w:rPr>
                <w:rFonts w:ascii="Arial" w:cs="Arial" w:eastAsia="Arial" w:hAnsi="Arial"/>
                <w:sz w:val="20"/>
                <w:szCs w:val="20"/>
                <w:color w:val="auto"/>
              </w:rPr>
              <w:t>93</w:t>
            </w:r>
          </w:p>
        </w:tc>
        <w:tc>
          <w:tcPr>
            <w:tcW w:w="34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411</w:t>
            </w:r>
          </w:p>
        </w:tc>
        <w:tc>
          <w:tcPr>
            <w:tcW w:w="340" w:type="dxa"/>
            <w:vAlign w:val="bottom"/>
          </w:tcPr>
          <w:p>
            <w:pPr>
              <w:spacing w:after="0"/>
              <w:rPr>
                <w:sz w:val="22"/>
                <w:szCs w:val="22"/>
                <w:color w:val="auto"/>
              </w:rPr>
            </w:pPr>
          </w:p>
        </w:tc>
        <w:tc>
          <w:tcPr>
            <w:tcW w:w="1020" w:type="dxa"/>
            <w:vAlign w:val="bottom"/>
            <w:tcBorders>
              <w:top w:val="single" w:sz="8" w:color="auto"/>
            </w:tcBorders>
          </w:tcPr>
          <w:p>
            <w:pPr>
              <w:jc w:val="right"/>
              <w:ind w:right="141"/>
              <w:spacing w:after="0"/>
              <w:rPr>
                <w:sz w:val="20"/>
                <w:szCs w:val="20"/>
                <w:color w:val="auto"/>
              </w:rPr>
            </w:pPr>
            <w:r>
              <w:rPr>
                <w:rFonts w:ascii="Arial" w:cs="Arial" w:eastAsia="Arial" w:hAnsi="Arial"/>
                <w:sz w:val="20"/>
                <w:szCs w:val="20"/>
                <w:color w:val="auto"/>
              </w:rPr>
              <w:t>92</w:t>
            </w:r>
          </w:p>
        </w:tc>
      </w:tr>
      <w:tr>
        <w:trPr>
          <w:trHeight w:val="23"/>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4"/>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Wholesale revenues</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16</w:t>
            </w: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rPr>
              <w:t>3</w:t>
            </w:r>
          </w:p>
        </w:tc>
        <w:tc>
          <w:tcPr>
            <w:tcW w:w="3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24</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rPr>
              <w:t>5</w:t>
            </w:r>
          </w:p>
        </w:tc>
      </w:tr>
      <w:tr>
        <w:trPr>
          <w:trHeight w:val="261"/>
        </w:trPr>
        <w:tc>
          <w:tcPr>
            <w:tcW w:w="5780" w:type="dxa"/>
            <w:vAlign w:val="bottom"/>
          </w:tcPr>
          <w:p>
            <w:pPr>
              <w:ind w:left="40"/>
              <w:spacing w:after="0"/>
              <w:rPr>
                <w:sz w:val="20"/>
                <w:szCs w:val="20"/>
                <w:color w:val="auto"/>
              </w:rPr>
            </w:pPr>
            <w:r>
              <w:rPr>
                <w:rFonts w:ascii="Arial" w:cs="Arial" w:eastAsia="Arial" w:hAnsi="Arial"/>
                <w:sz w:val="20"/>
                <w:szCs w:val="20"/>
                <w:color w:val="auto"/>
              </w:rPr>
              <w:t>Other operating revenues</w:t>
            </w:r>
          </w:p>
        </w:tc>
        <w:tc>
          <w:tcPr>
            <w:tcW w:w="30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17</w:t>
            </w:r>
          </w:p>
        </w:tc>
        <w:tc>
          <w:tcPr>
            <w:tcW w:w="340" w:type="dxa"/>
            <w:vAlign w:val="bottom"/>
          </w:tcPr>
          <w:p>
            <w:pPr>
              <w:spacing w:after="0"/>
              <w:rPr>
                <w:sz w:val="22"/>
                <w:szCs w:val="22"/>
                <w:color w:val="auto"/>
              </w:rPr>
            </w:pPr>
          </w:p>
        </w:tc>
        <w:tc>
          <w:tcPr>
            <w:tcW w:w="1000" w:type="dxa"/>
            <w:vAlign w:val="bottom"/>
          </w:tcPr>
          <w:p>
            <w:pPr>
              <w:jc w:val="right"/>
              <w:ind w:right="141"/>
              <w:spacing w:after="0"/>
              <w:rPr>
                <w:sz w:val="20"/>
                <w:szCs w:val="20"/>
                <w:color w:val="auto"/>
              </w:rPr>
            </w:pPr>
            <w:r>
              <w:rPr>
                <w:rFonts w:ascii="Arial" w:cs="Arial" w:eastAsia="Arial" w:hAnsi="Arial"/>
                <w:sz w:val="20"/>
                <w:szCs w:val="20"/>
                <w:color w:val="auto"/>
              </w:rPr>
              <w:t>4</w:t>
            </w: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14</w:t>
            </w:r>
          </w:p>
        </w:tc>
        <w:tc>
          <w:tcPr>
            <w:tcW w:w="340" w:type="dxa"/>
            <w:vAlign w:val="bottom"/>
          </w:tcPr>
          <w:p>
            <w:pPr>
              <w:spacing w:after="0"/>
              <w:rPr>
                <w:sz w:val="22"/>
                <w:szCs w:val="22"/>
                <w:color w:val="auto"/>
              </w:rPr>
            </w:pPr>
          </w:p>
        </w:tc>
        <w:tc>
          <w:tcPr>
            <w:tcW w:w="1020" w:type="dxa"/>
            <w:vAlign w:val="bottom"/>
          </w:tcPr>
          <w:p>
            <w:pPr>
              <w:jc w:val="right"/>
              <w:ind w:right="141"/>
              <w:spacing w:after="0"/>
              <w:rPr>
                <w:sz w:val="20"/>
                <w:szCs w:val="20"/>
                <w:color w:val="auto"/>
              </w:rPr>
            </w:pPr>
            <w:r>
              <w:rPr>
                <w:rFonts w:ascii="Arial" w:cs="Arial" w:eastAsia="Arial" w:hAnsi="Arial"/>
                <w:sz w:val="20"/>
                <w:szCs w:val="20"/>
                <w:color w:val="auto"/>
              </w:rPr>
              <w:t>3</w:t>
            </w:r>
          </w:p>
        </w:tc>
      </w:tr>
      <w:tr>
        <w:trPr>
          <w:trHeight w:val="23"/>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2"/>
        </w:trPr>
        <w:tc>
          <w:tcPr>
            <w:tcW w:w="5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20"/>
                <w:szCs w:val="20"/>
                <w:color w:val="auto"/>
              </w:rPr>
              <w:t>Total revenues</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460</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100 %</w:t>
            </w:r>
          </w:p>
        </w:tc>
        <w:tc>
          <w:tcPr>
            <w:tcW w:w="3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449</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100 %</w:t>
            </w:r>
          </w:p>
        </w:tc>
      </w:tr>
      <w:tr>
        <w:trPr>
          <w:trHeight w:val="20"/>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82"/>
        </w:trPr>
        <w:tc>
          <w:tcPr>
            <w:tcW w:w="5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4"/>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b w:val="1"/>
                <w:bCs w:val="1"/>
                <w:color w:val="auto"/>
              </w:rPr>
              <w:t>Energy deliveries (MWh in thousands):</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61"/>
        </w:trPr>
        <w:tc>
          <w:tcPr>
            <w:tcW w:w="5780" w:type="dxa"/>
            <w:vAlign w:val="bottom"/>
          </w:tcPr>
          <w:p>
            <w:pPr>
              <w:ind w:left="40"/>
              <w:spacing w:after="0"/>
              <w:rPr>
                <w:sz w:val="20"/>
                <w:szCs w:val="20"/>
                <w:color w:val="auto"/>
              </w:rPr>
            </w:pPr>
            <w:r>
              <w:rPr>
                <w:rFonts w:ascii="Arial" w:cs="Arial" w:eastAsia="Arial" w:hAnsi="Arial"/>
                <w:sz w:val="20"/>
                <w:szCs w:val="20"/>
                <w:color w:val="auto"/>
              </w:rPr>
              <w:t>Retail:</w:t>
            </w: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3"/>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4"/>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Residential</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1,526</w:t>
            </w: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29 %</w:t>
            </w:r>
          </w:p>
        </w:tc>
        <w:tc>
          <w:tcPr>
            <w:tcW w:w="3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1,612</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29 %</w:t>
            </w:r>
          </w:p>
        </w:tc>
      </w:tr>
      <w:tr>
        <w:trPr>
          <w:trHeight w:val="261"/>
        </w:trPr>
        <w:tc>
          <w:tcPr>
            <w:tcW w:w="5780" w:type="dxa"/>
            <w:vAlign w:val="bottom"/>
          </w:tcPr>
          <w:p>
            <w:pPr>
              <w:ind w:left="280"/>
              <w:spacing w:after="0"/>
              <w:rPr>
                <w:sz w:val="20"/>
                <w:szCs w:val="20"/>
                <w:color w:val="auto"/>
              </w:rPr>
            </w:pPr>
            <w:r>
              <w:rPr>
                <w:rFonts w:ascii="Arial" w:cs="Arial" w:eastAsia="Arial" w:hAnsi="Arial"/>
                <w:sz w:val="20"/>
                <w:szCs w:val="20"/>
                <w:color w:val="auto"/>
              </w:rPr>
              <w:t>Commercial</w:t>
            </w:r>
          </w:p>
        </w:tc>
        <w:tc>
          <w:tcPr>
            <w:tcW w:w="30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1,630</w:t>
            </w:r>
          </w:p>
        </w:tc>
        <w:tc>
          <w:tcPr>
            <w:tcW w:w="340" w:type="dxa"/>
            <w:vAlign w:val="bottom"/>
          </w:tcPr>
          <w:p>
            <w:pPr>
              <w:spacing w:after="0"/>
              <w:rPr>
                <w:sz w:val="22"/>
                <w:szCs w:val="22"/>
                <w:color w:val="auto"/>
              </w:rPr>
            </w:pPr>
          </w:p>
        </w:tc>
        <w:tc>
          <w:tcPr>
            <w:tcW w:w="1000" w:type="dxa"/>
            <w:vAlign w:val="bottom"/>
          </w:tcPr>
          <w:p>
            <w:pPr>
              <w:jc w:val="right"/>
              <w:ind w:right="141"/>
              <w:spacing w:after="0"/>
              <w:rPr>
                <w:sz w:val="20"/>
                <w:szCs w:val="20"/>
                <w:color w:val="auto"/>
              </w:rPr>
            </w:pPr>
            <w:r>
              <w:rPr>
                <w:rFonts w:ascii="Arial" w:cs="Arial" w:eastAsia="Arial" w:hAnsi="Arial"/>
                <w:sz w:val="20"/>
                <w:szCs w:val="20"/>
                <w:color w:val="auto"/>
              </w:rPr>
              <w:t>31</w:t>
            </w: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1,654</w:t>
            </w:r>
          </w:p>
        </w:tc>
        <w:tc>
          <w:tcPr>
            <w:tcW w:w="340" w:type="dxa"/>
            <w:vAlign w:val="bottom"/>
          </w:tcPr>
          <w:p>
            <w:pPr>
              <w:spacing w:after="0"/>
              <w:rPr>
                <w:sz w:val="22"/>
                <w:szCs w:val="22"/>
                <w:color w:val="auto"/>
              </w:rPr>
            </w:pPr>
          </w:p>
        </w:tc>
        <w:tc>
          <w:tcPr>
            <w:tcW w:w="1020" w:type="dxa"/>
            <w:vAlign w:val="bottom"/>
          </w:tcPr>
          <w:p>
            <w:pPr>
              <w:jc w:val="right"/>
              <w:ind w:right="141"/>
              <w:spacing w:after="0"/>
              <w:rPr>
                <w:sz w:val="20"/>
                <w:szCs w:val="20"/>
                <w:color w:val="auto"/>
              </w:rPr>
            </w:pPr>
            <w:r>
              <w:rPr>
                <w:rFonts w:ascii="Arial" w:cs="Arial" w:eastAsia="Arial" w:hAnsi="Arial"/>
                <w:sz w:val="20"/>
                <w:szCs w:val="20"/>
                <w:color w:val="auto"/>
              </w:rPr>
              <w:t>30</w:t>
            </w:r>
          </w:p>
        </w:tc>
      </w:tr>
      <w:tr>
        <w:trPr>
          <w:trHeight w:val="23"/>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84"/>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Industrial</w:t>
            </w:r>
          </w:p>
        </w:tc>
        <w:tc>
          <w:tcPr>
            <w:tcW w:w="3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802</w:t>
            </w:r>
          </w:p>
        </w:tc>
        <w:tc>
          <w:tcPr>
            <w:tcW w:w="3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rPr>
              <w:t>15</w:t>
            </w:r>
          </w:p>
        </w:tc>
        <w:tc>
          <w:tcPr>
            <w:tcW w:w="3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717</w:t>
            </w:r>
          </w:p>
        </w:tc>
        <w:tc>
          <w:tcPr>
            <w:tcW w:w="3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rPr>
              <w:t>13</w:t>
            </w:r>
          </w:p>
        </w:tc>
      </w:tr>
      <w:tr>
        <w:trPr>
          <w:trHeight w:val="254"/>
        </w:trPr>
        <w:tc>
          <w:tcPr>
            <w:tcW w:w="5780" w:type="dxa"/>
            <w:vAlign w:val="bottom"/>
          </w:tcPr>
          <w:p>
            <w:pPr>
              <w:ind w:left="820"/>
              <w:spacing w:after="0"/>
              <w:rPr>
                <w:sz w:val="20"/>
                <w:szCs w:val="20"/>
                <w:color w:val="auto"/>
              </w:rPr>
            </w:pPr>
            <w:r>
              <w:rPr>
                <w:rFonts w:ascii="Arial" w:cs="Arial" w:eastAsia="Arial" w:hAnsi="Arial"/>
                <w:sz w:val="20"/>
                <w:szCs w:val="20"/>
                <w:color w:val="auto"/>
              </w:rPr>
              <w:t>Subtotal</w:t>
            </w:r>
          </w:p>
        </w:tc>
        <w:tc>
          <w:tcPr>
            <w:tcW w:w="3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3,958</w:t>
            </w:r>
          </w:p>
        </w:tc>
        <w:tc>
          <w:tcPr>
            <w:tcW w:w="340" w:type="dxa"/>
            <w:vAlign w:val="bottom"/>
          </w:tcPr>
          <w:p>
            <w:pPr>
              <w:spacing w:after="0"/>
              <w:rPr>
                <w:sz w:val="22"/>
                <w:szCs w:val="22"/>
                <w:color w:val="auto"/>
              </w:rPr>
            </w:pPr>
          </w:p>
        </w:tc>
        <w:tc>
          <w:tcPr>
            <w:tcW w:w="1000" w:type="dxa"/>
            <w:vAlign w:val="bottom"/>
            <w:tcBorders>
              <w:top w:val="single" w:sz="8" w:color="auto"/>
            </w:tcBorders>
          </w:tcPr>
          <w:p>
            <w:pPr>
              <w:jc w:val="right"/>
              <w:ind w:right="141"/>
              <w:spacing w:after="0"/>
              <w:rPr>
                <w:sz w:val="20"/>
                <w:szCs w:val="20"/>
                <w:color w:val="auto"/>
              </w:rPr>
            </w:pPr>
            <w:r>
              <w:rPr>
                <w:rFonts w:ascii="Arial" w:cs="Arial" w:eastAsia="Arial" w:hAnsi="Arial"/>
                <w:sz w:val="20"/>
                <w:szCs w:val="20"/>
                <w:color w:val="auto"/>
              </w:rPr>
              <w:t>75</w:t>
            </w:r>
          </w:p>
        </w:tc>
        <w:tc>
          <w:tcPr>
            <w:tcW w:w="34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3,983</w:t>
            </w:r>
          </w:p>
        </w:tc>
        <w:tc>
          <w:tcPr>
            <w:tcW w:w="340" w:type="dxa"/>
            <w:vAlign w:val="bottom"/>
          </w:tcPr>
          <w:p>
            <w:pPr>
              <w:spacing w:after="0"/>
              <w:rPr>
                <w:sz w:val="22"/>
                <w:szCs w:val="22"/>
                <w:color w:val="auto"/>
              </w:rPr>
            </w:pPr>
          </w:p>
        </w:tc>
        <w:tc>
          <w:tcPr>
            <w:tcW w:w="1020" w:type="dxa"/>
            <w:vAlign w:val="bottom"/>
            <w:tcBorders>
              <w:top w:val="single" w:sz="8" w:color="auto"/>
            </w:tcBorders>
          </w:tcPr>
          <w:p>
            <w:pPr>
              <w:jc w:val="right"/>
              <w:ind w:right="141"/>
              <w:spacing w:after="0"/>
              <w:rPr>
                <w:sz w:val="20"/>
                <w:szCs w:val="20"/>
                <w:color w:val="auto"/>
              </w:rPr>
            </w:pPr>
            <w:r>
              <w:rPr>
                <w:rFonts w:ascii="Arial" w:cs="Arial" w:eastAsia="Arial" w:hAnsi="Arial"/>
                <w:sz w:val="20"/>
                <w:szCs w:val="20"/>
                <w:color w:val="auto"/>
              </w:rPr>
              <w:t>72</w:t>
            </w:r>
          </w:p>
        </w:tc>
      </w:tr>
      <w:tr>
        <w:trPr>
          <w:trHeight w:val="23"/>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Direct access:</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61"/>
        </w:trPr>
        <w:tc>
          <w:tcPr>
            <w:tcW w:w="5780" w:type="dxa"/>
            <w:vAlign w:val="bottom"/>
          </w:tcPr>
          <w:p>
            <w:pPr>
              <w:ind w:left="500"/>
              <w:spacing w:after="0"/>
              <w:rPr>
                <w:sz w:val="20"/>
                <w:szCs w:val="20"/>
                <w:color w:val="auto"/>
              </w:rPr>
            </w:pPr>
            <w:r>
              <w:rPr>
                <w:rFonts w:ascii="Arial" w:cs="Arial" w:eastAsia="Arial" w:hAnsi="Arial"/>
                <w:sz w:val="20"/>
                <w:szCs w:val="20"/>
                <w:color w:val="auto"/>
              </w:rPr>
              <w:t>Commercial</w:t>
            </w:r>
          </w:p>
        </w:tc>
        <w:tc>
          <w:tcPr>
            <w:tcW w:w="30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177</w:t>
            </w:r>
          </w:p>
        </w:tc>
        <w:tc>
          <w:tcPr>
            <w:tcW w:w="340" w:type="dxa"/>
            <w:vAlign w:val="bottom"/>
          </w:tcPr>
          <w:p>
            <w:pPr>
              <w:spacing w:after="0"/>
              <w:rPr>
                <w:sz w:val="22"/>
                <w:szCs w:val="22"/>
                <w:color w:val="auto"/>
              </w:rPr>
            </w:pPr>
          </w:p>
        </w:tc>
        <w:tc>
          <w:tcPr>
            <w:tcW w:w="1000" w:type="dxa"/>
            <w:vAlign w:val="bottom"/>
          </w:tcPr>
          <w:p>
            <w:pPr>
              <w:jc w:val="right"/>
              <w:ind w:right="141"/>
              <w:spacing w:after="0"/>
              <w:rPr>
                <w:sz w:val="20"/>
                <w:szCs w:val="20"/>
                <w:color w:val="auto"/>
              </w:rPr>
            </w:pPr>
            <w:r>
              <w:rPr>
                <w:rFonts w:ascii="Arial" w:cs="Arial" w:eastAsia="Arial" w:hAnsi="Arial"/>
                <w:sz w:val="20"/>
                <w:szCs w:val="20"/>
                <w:color w:val="auto"/>
              </w:rPr>
              <w:t>3</w:t>
            </w: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159</w:t>
            </w:r>
          </w:p>
        </w:tc>
        <w:tc>
          <w:tcPr>
            <w:tcW w:w="340" w:type="dxa"/>
            <w:vAlign w:val="bottom"/>
          </w:tcPr>
          <w:p>
            <w:pPr>
              <w:spacing w:after="0"/>
              <w:rPr>
                <w:sz w:val="22"/>
                <w:szCs w:val="22"/>
                <w:color w:val="auto"/>
              </w:rPr>
            </w:pPr>
          </w:p>
        </w:tc>
        <w:tc>
          <w:tcPr>
            <w:tcW w:w="1020" w:type="dxa"/>
            <w:vAlign w:val="bottom"/>
          </w:tcPr>
          <w:p>
            <w:pPr>
              <w:jc w:val="right"/>
              <w:ind w:right="141"/>
              <w:spacing w:after="0"/>
              <w:rPr>
                <w:sz w:val="20"/>
                <w:szCs w:val="20"/>
                <w:color w:val="auto"/>
              </w:rPr>
            </w:pPr>
            <w:r>
              <w:rPr>
                <w:rFonts w:ascii="Arial" w:cs="Arial" w:eastAsia="Arial" w:hAnsi="Arial"/>
                <w:sz w:val="20"/>
                <w:szCs w:val="20"/>
                <w:color w:val="auto"/>
              </w:rPr>
              <w:t>3</w:t>
            </w:r>
          </w:p>
        </w:tc>
      </w:tr>
      <w:tr>
        <w:trPr>
          <w:trHeight w:val="23"/>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84"/>
        </w:trPr>
        <w:tc>
          <w:tcPr>
            <w:tcW w:w="5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20"/>
                <w:szCs w:val="20"/>
                <w:color w:val="auto"/>
              </w:rPr>
              <w:t>Industrial</w:t>
            </w:r>
          </w:p>
        </w:tc>
        <w:tc>
          <w:tcPr>
            <w:tcW w:w="3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360</w:t>
            </w:r>
          </w:p>
        </w:tc>
        <w:tc>
          <w:tcPr>
            <w:tcW w:w="3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rPr>
              <w:t>7</w:t>
            </w:r>
          </w:p>
        </w:tc>
        <w:tc>
          <w:tcPr>
            <w:tcW w:w="3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342</w:t>
            </w:r>
          </w:p>
        </w:tc>
        <w:tc>
          <w:tcPr>
            <w:tcW w:w="3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rPr>
              <w:t>6</w:t>
            </w:r>
          </w:p>
        </w:tc>
      </w:tr>
      <w:tr>
        <w:trPr>
          <w:trHeight w:val="254"/>
        </w:trPr>
        <w:tc>
          <w:tcPr>
            <w:tcW w:w="5780" w:type="dxa"/>
            <w:vAlign w:val="bottom"/>
          </w:tcPr>
          <w:p>
            <w:pPr>
              <w:ind w:left="820"/>
              <w:spacing w:after="0"/>
              <w:rPr>
                <w:sz w:val="20"/>
                <w:szCs w:val="20"/>
                <w:color w:val="auto"/>
              </w:rPr>
            </w:pPr>
            <w:r>
              <w:rPr>
                <w:rFonts w:ascii="Arial" w:cs="Arial" w:eastAsia="Arial" w:hAnsi="Arial"/>
                <w:sz w:val="20"/>
                <w:szCs w:val="20"/>
                <w:color w:val="auto"/>
              </w:rPr>
              <w:t>Subtotal</w:t>
            </w:r>
          </w:p>
        </w:tc>
        <w:tc>
          <w:tcPr>
            <w:tcW w:w="3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537</w:t>
            </w:r>
          </w:p>
        </w:tc>
        <w:tc>
          <w:tcPr>
            <w:tcW w:w="340" w:type="dxa"/>
            <w:vAlign w:val="bottom"/>
          </w:tcPr>
          <w:p>
            <w:pPr>
              <w:spacing w:after="0"/>
              <w:rPr>
                <w:sz w:val="22"/>
                <w:szCs w:val="22"/>
                <w:color w:val="auto"/>
              </w:rPr>
            </w:pPr>
          </w:p>
        </w:tc>
        <w:tc>
          <w:tcPr>
            <w:tcW w:w="1000" w:type="dxa"/>
            <w:vAlign w:val="bottom"/>
            <w:tcBorders>
              <w:top w:val="single" w:sz="8" w:color="auto"/>
            </w:tcBorders>
          </w:tcPr>
          <w:p>
            <w:pPr>
              <w:jc w:val="right"/>
              <w:ind w:right="141"/>
              <w:spacing w:after="0"/>
              <w:rPr>
                <w:sz w:val="20"/>
                <w:szCs w:val="20"/>
                <w:color w:val="auto"/>
              </w:rPr>
            </w:pPr>
            <w:r>
              <w:rPr>
                <w:rFonts w:ascii="Arial" w:cs="Arial" w:eastAsia="Arial" w:hAnsi="Arial"/>
                <w:sz w:val="20"/>
                <w:szCs w:val="20"/>
                <w:color w:val="auto"/>
              </w:rPr>
              <w:t>10</w:t>
            </w:r>
          </w:p>
        </w:tc>
        <w:tc>
          <w:tcPr>
            <w:tcW w:w="34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501</w:t>
            </w:r>
          </w:p>
        </w:tc>
        <w:tc>
          <w:tcPr>
            <w:tcW w:w="340" w:type="dxa"/>
            <w:vAlign w:val="bottom"/>
          </w:tcPr>
          <w:p>
            <w:pPr>
              <w:spacing w:after="0"/>
              <w:rPr>
                <w:sz w:val="22"/>
                <w:szCs w:val="22"/>
                <w:color w:val="auto"/>
              </w:rPr>
            </w:pPr>
          </w:p>
        </w:tc>
        <w:tc>
          <w:tcPr>
            <w:tcW w:w="1020" w:type="dxa"/>
            <w:vAlign w:val="bottom"/>
            <w:tcBorders>
              <w:top w:val="single" w:sz="8" w:color="auto"/>
            </w:tcBorders>
          </w:tcPr>
          <w:p>
            <w:pPr>
              <w:jc w:val="right"/>
              <w:ind w:right="141"/>
              <w:spacing w:after="0"/>
              <w:rPr>
                <w:sz w:val="20"/>
                <w:szCs w:val="20"/>
                <w:color w:val="auto"/>
              </w:rPr>
            </w:pPr>
            <w:r>
              <w:rPr>
                <w:rFonts w:ascii="Arial" w:cs="Arial" w:eastAsia="Arial" w:hAnsi="Arial"/>
                <w:sz w:val="20"/>
                <w:szCs w:val="20"/>
                <w:color w:val="auto"/>
              </w:rPr>
              <w:t>9</w:t>
            </w:r>
          </w:p>
        </w:tc>
      </w:tr>
      <w:tr>
        <w:trPr>
          <w:trHeight w:val="23"/>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20"/>
                <w:szCs w:val="20"/>
                <w:color w:val="auto"/>
              </w:rPr>
              <w:t>Total retail energy deliveries</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4,495</w:t>
            </w: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rPr>
              <w:t>85</w:t>
            </w:r>
          </w:p>
        </w:tc>
        <w:tc>
          <w:tcPr>
            <w:tcW w:w="3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4,484</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rPr>
              <w:t>81</w:t>
            </w:r>
          </w:p>
        </w:tc>
      </w:tr>
      <w:tr>
        <w:trPr>
          <w:trHeight w:val="261"/>
        </w:trPr>
        <w:tc>
          <w:tcPr>
            <w:tcW w:w="5780" w:type="dxa"/>
            <w:vAlign w:val="bottom"/>
          </w:tcPr>
          <w:p>
            <w:pPr>
              <w:ind w:left="40"/>
              <w:spacing w:after="0"/>
              <w:rPr>
                <w:sz w:val="20"/>
                <w:szCs w:val="20"/>
                <w:color w:val="auto"/>
              </w:rPr>
            </w:pPr>
            <w:r>
              <w:rPr>
                <w:rFonts w:ascii="Arial" w:cs="Arial" w:eastAsia="Arial" w:hAnsi="Arial"/>
                <w:sz w:val="20"/>
                <w:szCs w:val="20"/>
                <w:color w:val="auto"/>
              </w:rPr>
              <w:t>Wholesale energy deliveries</w:t>
            </w:r>
          </w:p>
        </w:tc>
        <w:tc>
          <w:tcPr>
            <w:tcW w:w="30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785</w:t>
            </w:r>
          </w:p>
        </w:tc>
        <w:tc>
          <w:tcPr>
            <w:tcW w:w="340" w:type="dxa"/>
            <w:vAlign w:val="bottom"/>
          </w:tcPr>
          <w:p>
            <w:pPr>
              <w:spacing w:after="0"/>
              <w:rPr>
                <w:sz w:val="22"/>
                <w:szCs w:val="22"/>
                <w:color w:val="auto"/>
              </w:rPr>
            </w:pPr>
          </w:p>
        </w:tc>
        <w:tc>
          <w:tcPr>
            <w:tcW w:w="1000" w:type="dxa"/>
            <w:vAlign w:val="bottom"/>
          </w:tcPr>
          <w:p>
            <w:pPr>
              <w:jc w:val="right"/>
              <w:ind w:right="141"/>
              <w:spacing w:after="0"/>
              <w:rPr>
                <w:sz w:val="20"/>
                <w:szCs w:val="20"/>
                <w:color w:val="auto"/>
              </w:rPr>
            </w:pPr>
            <w:r>
              <w:rPr>
                <w:rFonts w:ascii="Arial" w:cs="Arial" w:eastAsia="Arial" w:hAnsi="Arial"/>
                <w:sz w:val="20"/>
                <w:szCs w:val="20"/>
                <w:color w:val="auto"/>
              </w:rPr>
              <w:t>15</w:t>
            </w: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1,041</w:t>
            </w:r>
          </w:p>
        </w:tc>
        <w:tc>
          <w:tcPr>
            <w:tcW w:w="340" w:type="dxa"/>
            <w:vAlign w:val="bottom"/>
          </w:tcPr>
          <w:p>
            <w:pPr>
              <w:spacing w:after="0"/>
              <w:rPr>
                <w:sz w:val="22"/>
                <w:szCs w:val="22"/>
                <w:color w:val="auto"/>
              </w:rPr>
            </w:pPr>
          </w:p>
        </w:tc>
        <w:tc>
          <w:tcPr>
            <w:tcW w:w="1020" w:type="dxa"/>
            <w:vAlign w:val="bottom"/>
          </w:tcPr>
          <w:p>
            <w:pPr>
              <w:jc w:val="right"/>
              <w:ind w:right="141"/>
              <w:spacing w:after="0"/>
              <w:rPr>
                <w:sz w:val="20"/>
                <w:szCs w:val="20"/>
                <w:color w:val="auto"/>
              </w:rPr>
            </w:pPr>
            <w:r>
              <w:rPr>
                <w:rFonts w:ascii="Arial" w:cs="Arial" w:eastAsia="Arial" w:hAnsi="Arial"/>
                <w:sz w:val="20"/>
                <w:szCs w:val="20"/>
                <w:color w:val="auto"/>
              </w:rPr>
              <w:t>19</w:t>
            </w:r>
          </w:p>
        </w:tc>
      </w:tr>
      <w:tr>
        <w:trPr>
          <w:trHeight w:val="23"/>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2"/>
        </w:trPr>
        <w:tc>
          <w:tcPr>
            <w:tcW w:w="5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20"/>
                <w:szCs w:val="20"/>
                <w:color w:val="auto"/>
              </w:rPr>
              <w:t>Total energy deliveries</w:t>
            </w: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5,280</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100 %</w:t>
            </w:r>
          </w:p>
        </w:tc>
        <w:tc>
          <w:tcPr>
            <w:tcW w:w="3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5,525</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100 %</w:t>
            </w:r>
          </w:p>
        </w:tc>
      </w:tr>
      <w:tr>
        <w:trPr>
          <w:trHeight w:val="20"/>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82"/>
        </w:trPr>
        <w:tc>
          <w:tcPr>
            <w:tcW w:w="5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4"/>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b w:val="1"/>
                <w:bCs w:val="1"/>
                <w:color w:val="auto"/>
              </w:rPr>
              <w:t>Average number of retail customers:</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61"/>
        </w:trPr>
        <w:tc>
          <w:tcPr>
            <w:tcW w:w="5780" w:type="dxa"/>
            <w:vAlign w:val="bottom"/>
          </w:tcPr>
          <w:p>
            <w:pPr>
              <w:ind w:left="280"/>
              <w:spacing w:after="0"/>
              <w:rPr>
                <w:sz w:val="20"/>
                <w:szCs w:val="20"/>
                <w:color w:val="auto"/>
              </w:rPr>
            </w:pPr>
            <w:r>
              <w:rPr>
                <w:rFonts w:ascii="Arial" w:cs="Arial" w:eastAsia="Arial" w:hAnsi="Arial"/>
                <w:sz w:val="20"/>
                <w:szCs w:val="20"/>
                <w:color w:val="auto"/>
              </w:rPr>
              <w:t>Residential</w:t>
            </w:r>
          </w:p>
        </w:tc>
        <w:tc>
          <w:tcPr>
            <w:tcW w:w="30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777,564</w:t>
            </w: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88 %</w:t>
            </w: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771,608</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88 %</w:t>
            </w:r>
          </w:p>
        </w:tc>
      </w:tr>
      <w:tr>
        <w:trPr>
          <w:trHeight w:val="23"/>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4"/>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Commercial</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109,190</w:t>
            </w: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rPr>
              <w:t>12</w:t>
            </w:r>
          </w:p>
        </w:tc>
        <w:tc>
          <w:tcPr>
            <w:tcW w:w="3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108,939</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rPr>
              <w:t>12</w:t>
            </w:r>
          </w:p>
        </w:tc>
      </w:tr>
      <w:tr>
        <w:trPr>
          <w:trHeight w:val="261"/>
        </w:trPr>
        <w:tc>
          <w:tcPr>
            <w:tcW w:w="5780" w:type="dxa"/>
            <w:vAlign w:val="bottom"/>
          </w:tcPr>
          <w:p>
            <w:pPr>
              <w:ind w:left="280"/>
              <w:spacing w:after="0"/>
              <w:rPr>
                <w:sz w:val="20"/>
                <w:szCs w:val="20"/>
                <w:color w:val="auto"/>
              </w:rPr>
            </w:pPr>
            <w:r>
              <w:rPr>
                <w:rFonts w:ascii="Arial" w:cs="Arial" w:eastAsia="Arial" w:hAnsi="Arial"/>
                <w:sz w:val="20"/>
                <w:szCs w:val="20"/>
                <w:color w:val="auto"/>
              </w:rPr>
              <w:t>Industrial</w:t>
            </w:r>
          </w:p>
        </w:tc>
        <w:tc>
          <w:tcPr>
            <w:tcW w:w="30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192</w:t>
            </w:r>
          </w:p>
        </w:tc>
        <w:tc>
          <w:tcPr>
            <w:tcW w:w="340" w:type="dxa"/>
            <w:vAlign w:val="bottom"/>
          </w:tcPr>
          <w:p>
            <w:pPr>
              <w:spacing w:after="0"/>
              <w:rPr>
                <w:sz w:val="22"/>
                <w:szCs w:val="22"/>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2"/>
                <w:szCs w:val="22"/>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205</w:t>
            </w:r>
          </w:p>
        </w:tc>
        <w:tc>
          <w:tcPr>
            <w:tcW w:w="340" w:type="dxa"/>
            <w:vAlign w:val="bottom"/>
          </w:tcPr>
          <w:p>
            <w:pPr>
              <w:spacing w:after="0"/>
              <w:rPr>
                <w:sz w:val="22"/>
                <w:szCs w:val="22"/>
                <w:color w:val="auto"/>
              </w:rPr>
            </w:pPr>
          </w:p>
        </w:tc>
        <w:tc>
          <w:tcPr>
            <w:tcW w:w="1020" w:type="dxa"/>
            <w:vAlign w:val="bottom"/>
          </w:tcPr>
          <w:p>
            <w:pPr>
              <w:jc w:val="right"/>
              <w:ind w:right="141"/>
              <w:spacing w:after="0"/>
              <w:rPr>
                <w:sz w:val="20"/>
                <w:szCs w:val="20"/>
                <w:color w:val="auto"/>
              </w:rPr>
            </w:pPr>
            <w:r>
              <w:rPr>
                <w:rFonts w:ascii="Arial" w:cs="Arial" w:eastAsia="Arial" w:hAnsi="Arial"/>
                <w:sz w:val="20"/>
                <w:szCs w:val="20"/>
                <w:color w:val="auto"/>
              </w:rPr>
              <w:t>—</w:t>
            </w:r>
          </w:p>
        </w:tc>
      </w:tr>
      <w:tr>
        <w:trPr>
          <w:trHeight w:val="23"/>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84"/>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Direct access</w:t>
            </w:r>
          </w:p>
        </w:tc>
        <w:tc>
          <w:tcPr>
            <w:tcW w:w="3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634</w:t>
            </w:r>
          </w:p>
        </w:tc>
        <w:tc>
          <w:tcPr>
            <w:tcW w:w="3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20"/>
                <w:szCs w:val="20"/>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596</w:t>
            </w:r>
          </w:p>
        </w:tc>
        <w:tc>
          <w:tcPr>
            <w:tcW w:w="3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r>
      <w:tr>
        <w:trPr>
          <w:trHeight w:val="272"/>
        </w:trPr>
        <w:tc>
          <w:tcPr>
            <w:tcW w:w="5780" w:type="dxa"/>
            <w:vAlign w:val="bottom"/>
          </w:tcPr>
          <w:p>
            <w:pPr>
              <w:ind w:left="500"/>
              <w:spacing w:after="0"/>
              <w:rPr>
                <w:sz w:val="20"/>
                <w:szCs w:val="20"/>
                <w:color w:val="auto"/>
              </w:rPr>
            </w:pPr>
            <w:r>
              <w:rPr>
                <w:rFonts w:ascii="Arial" w:cs="Arial" w:eastAsia="Arial" w:hAnsi="Arial"/>
                <w:sz w:val="20"/>
                <w:szCs w:val="20"/>
                <w:color w:val="auto"/>
              </w:rPr>
              <w:t>Total</w:t>
            </w:r>
          </w:p>
        </w:tc>
        <w:tc>
          <w:tcPr>
            <w:tcW w:w="300" w:type="dxa"/>
            <w:vAlign w:val="bottom"/>
            <w:tcBorders>
              <w:top w:val="single" w:sz="8" w:color="auto"/>
              <w:bottom w:val="single" w:sz="8" w:color="auto"/>
            </w:tcBorders>
          </w:tcPr>
          <w:p>
            <w:pPr>
              <w:spacing w:after="0"/>
              <w:rPr>
                <w:sz w:val="23"/>
                <w:szCs w:val="23"/>
                <w:color w:val="auto"/>
              </w:rPr>
            </w:pPr>
          </w:p>
        </w:tc>
        <w:tc>
          <w:tcPr>
            <w:tcW w:w="9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rPr>
              <w:t>887,580</w:t>
            </w:r>
          </w:p>
        </w:tc>
        <w:tc>
          <w:tcPr>
            <w:tcW w:w="340" w:type="dxa"/>
            <w:vAlign w:val="bottom"/>
          </w:tcPr>
          <w:p>
            <w:pPr>
              <w:spacing w:after="0"/>
              <w:rPr>
                <w:sz w:val="23"/>
                <w:szCs w:val="2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100 %</w:t>
            </w:r>
          </w:p>
        </w:tc>
        <w:tc>
          <w:tcPr>
            <w:tcW w:w="340" w:type="dxa"/>
            <w:vAlign w:val="bottom"/>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9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881,348</w:t>
            </w:r>
          </w:p>
        </w:tc>
        <w:tc>
          <w:tcPr>
            <w:tcW w:w="340" w:type="dxa"/>
            <w:vAlign w:val="bottom"/>
          </w:tcPr>
          <w:p>
            <w:pPr>
              <w:spacing w:after="0"/>
              <w:rPr>
                <w:sz w:val="23"/>
                <w:szCs w:val="2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100 %</w:t>
            </w:r>
          </w:p>
        </w:tc>
      </w:tr>
      <w:tr>
        <w:trPr>
          <w:trHeight w:val="20"/>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right="20"/>
        <w:spacing w:after="0" w:line="269" w:lineRule="auto"/>
        <w:rPr>
          <w:sz w:val="20"/>
          <w:szCs w:val="20"/>
          <w:color w:val="auto"/>
        </w:rPr>
      </w:pPr>
      <w:r>
        <w:rPr>
          <w:rFonts w:ascii="Arial" w:cs="Arial" w:eastAsia="Arial" w:hAnsi="Arial"/>
          <w:sz w:val="19"/>
          <w:szCs w:val="19"/>
          <w:color w:val="auto"/>
        </w:rPr>
        <w:t>Total revenues for the three months ended June 30, 2019 increased $11 million compared with the three months ended June 30, 2018, as a $16 million increase in Total retail revenues and a $3 million increase in Other operating revenues was partially offset by an $8 million decrease in Wholesale revenues. Total retail revenues were impacted by refunds that resulted from TCJA.</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The $16 million increase in Total retail revenues resulted largely from the following:</w:t>
      </w:r>
    </w:p>
    <w:p>
      <w:pPr>
        <w:sectPr>
          <w:pgSz w:w="11900" w:h="16838" w:orient="portrait"/>
          <w:cols w:equalWidth="0" w:num="1">
            <w:col w:w="11300"/>
          </w:cols>
          <w:pgMar w:left="240" w:top="122" w:right="359" w:bottom="1068" w:gutter="0" w:footer="0" w:header="0"/>
        </w:sectPr>
      </w:pPr>
    </w:p>
    <w:p>
      <w:pPr>
        <w:spacing w:after="0" w:line="35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300"/>
          </w:cols>
          <w:pgMar w:left="240" w:top="122" w:right="359" w:bottom="1068" w:gutter="0" w:footer="0" w:header="0"/>
          <w:type w:val="continuous"/>
        </w:sectPr>
      </w:pPr>
    </w:p>
    <w:bookmarkStart w:id="49" w:name="page50"/>
    <w:bookmarkEnd w:id="49"/>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300" w:lineRule="exact"/>
        <w:rPr>
          <w:sz w:val="20"/>
          <w:szCs w:val="20"/>
          <w:color w:val="auto"/>
        </w:rPr>
      </w:pPr>
    </w:p>
    <w:p>
      <w:pPr>
        <w:ind w:left="660" w:right="120" w:hanging="328"/>
        <w:spacing w:after="0" w:line="250" w:lineRule="auto"/>
        <w:tabs>
          <w:tab w:leader="none" w:pos="6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$11 million increase as a result of the deferral of revenues in 2018 for estimated customer refunds as a result of TCJA, which are reflected in the Other accrued (deferred) revenues, net line in the table above. The reduction in revenues in 2018 was offset with lower income tax expense, resulting in no overall net income impact during the period;</w:t>
      </w:r>
    </w:p>
    <w:p>
      <w:pPr>
        <w:spacing w:after="0" w:line="78" w:lineRule="exact"/>
        <w:rPr>
          <w:rFonts w:ascii="Arial" w:cs="Arial" w:eastAsia="Arial" w:hAnsi="Arial"/>
          <w:sz w:val="20"/>
          <w:szCs w:val="20"/>
          <w:color w:val="auto"/>
        </w:rPr>
      </w:pPr>
    </w:p>
    <w:p>
      <w:pPr>
        <w:ind w:left="660" w:hanging="328"/>
        <w:spacing w:after="0"/>
        <w:tabs>
          <w:tab w:leader="none" w:pos="6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$3 million increase that resulted from customer price changes; and</w:t>
      </w:r>
    </w:p>
    <w:p>
      <w:pPr>
        <w:spacing w:after="0" w:line="107" w:lineRule="exact"/>
        <w:rPr>
          <w:rFonts w:ascii="Arial" w:cs="Arial" w:eastAsia="Arial" w:hAnsi="Arial"/>
          <w:sz w:val="20"/>
          <w:szCs w:val="20"/>
          <w:color w:val="auto"/>
        </w:rPr>
      </w:pPr>
    </w:p>
    <w:p>
      <w:pPr>
        <w:ind w:left="660" w:right="60" w:hanging="328"/>
        <w:spacing w:after="0" w:line="250" w:lineRule="auto"/>
        <w:tabs>
          <w:tab w:leader="none" w:pos="6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$1 million increase resulting from 0.2% higher retail energy deliveries. Energy deliveries to industrial customers increased 9.7%, while deliveries to residential customers decreased 5.3% reflecting decreased average usage per customer, driven partially by mild weather, and deliveries to commercial customers declined 0.3%.</w:t>
      </w:r>
    </w:p>
    <w:p>
      <w:pPr>
        <w:spacing w:after="0" w:line="200"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For the three months ended June 30, 2019, total heating degree-days were down 1% from the three months ended June 30, 2018, while cooling degree-days were down 12% from the prior year. Although total heating degree-days were comparable to the prior year, the timing resulted in decreased need for heating for the residential class. For the three months ended June 30, 2019, total heating degree-days were 28% below, while cooling degree days were 16% above, the historical averages, respectively.</w:t>
      </w:r>
    </w:p>
    <w:p>
      <w:pPr>
        <w:spacing w:after="0" w:line="205" w:lineRule="exact"/>
        <w:rPr>
          <w:sz w:val="20"/>
          <w:szCs w:val="20"/>
          <w:color w:val="auto"/>
        </w:rPr>
      </w:pPr>
    </w:p>
    <w:p>
      <w:pPr>
        <w:ind w:right="280"/>
        <w:spacing w:after="0" w:line="316" w:lineRule="auto"/>
        <w:rPr>
          <w:sz w:val="20"/>
          <w:szCs w:val="20"/>
          <w:color w:val="auto"/>
        </w:rPr>
      </w:pPr>
      <w:r>
        <w:rPr>
          <w:rFonts w:ascii="Arial" w:cs="Arial" w:eastAsia="Arial" w:hAnsi="Arial"/>
          <w:sz w:val="18"/>
          <w:szCs w:val="18"/>
          <w:color w:val="auto"/>
        </w:rPr>
        <w:t>The following table indicates the number of heating and cooling degree-days for the three months ended June 30, 2019 and 2018, along with 15-year averages based on weather data provided by the National Weather Service, as measured at Portland International Airport: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000" w:type="dxa"/>
            <w:vAlign w:val="bottom"/>
          </w:tcPr>
          <w:p>
            <w:pPr>
              <w:spacing w:after="0"/>
              <w:rPr>
                <w:sz w:val="22"/>
                <w:szCs w:val="22"/>
                <w:color w:val="auto"/>
              </w:rPr>
            </w:pPr>
          </w:p>
        </w:tc>
        <w:tc>
          <w:tcPr>
            <w:tcW w:w="2460" w:type="dxa"/>
            <w:vAlign w:val="bottom"/>
            <w:gridSpan w:val="5"/>
          </w:tcPr>
          <w:p>
            <w:pPr>
              <w:ind w:left="660"/>
              <w:spacing w:after="0"/>
              <w:rPr>
                <w:sz w:val="20"/>
                <w:szCs w:val="20"/>
                <w:color w:val="auto"/>
              </w:rPr>
            </w:pPr>
            <w:r>
              <w:rPr>
                <w:rFonts w:ascii="Arial" w:cs="Arial" w:eastAsia="Arial" w:hAnsi="Arial"/>
                <w:sz w:val="20"/>
                <w:szCs w:val="20"/>
                <w:b w:val="1"/>
                <w:bCs w:val="1"/>
                <w:color w:val="auto"/>
                <w:w w:val="89"/>
              </w:rPr>
              <w:t>Heating Degree-days</w:t>
            </w: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360" w:type="dxa"/>
            <w:vAlign w:val="bottom"/>
            <w:gridSpan w:val="5"/>
          </w:tcPr>
          <w:p>
            <w:pPr>
              <w:ind w:left="620"/>
              <w:spacing w:after="0"/>
              <w:rPr>
                <w:sz w:val="20"/>
                <w:szCs w:val="20"/>
                <w:color w:val="auto"/>
              </w:rPr>
            </w:pPr>
            <w:r>
              <w:rPr>
                <w:rFonts w:ascii="Arial" w:cs="Arial" w:eastAsia="Arial" w:hAnsi="Arial"/>
                <w:sz w:val="20"/>
                <w:szCs w:val="20"/>
                <w:b w:val="1"/>
                <w:bCs w:val="1"/>
                <w:color w:val="auto"/>
                <w:w w:val="85"/>
              </w:rPr>
              <w:t>Cooling Degree-days</w:t>
            </w:r>
          </w:p>
        </w:tc>
        <w:tc>
          <w:tcPr>
            <w:tcW w:w="580" w:type="dxa"/>
            <w:vAlign w:val="bottom"/>
          </w:tcPr>
          <w:p>
            <w:pPr>
              <w:spacing w:after="0"/>
              <w:rPr>
                <w:sz w:val="22"/>
                <w:szCs w:val="22"/>
                <w:color w:val="auto"/>
              </w:rPr>
            </w:pPr>
          </w:p>
        </w:tc>
      </w:tr>
      <w:tr>
        <w:trPr>
          <w:trHeight w:val="23"/>
        </w:trPr>
        <w:tc>
          <w:tcPr>
            <w:tcW w:w="50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4"/>
        </w:trPr>
        <w:tc>
          <w:tcPr>
            <w:tcW w:w="5000" w:type="dxa"/>
            <w:vAlign w:val="bottom"/>
          </w:tcPr>
          <w:p>
            <w:pPr>
              <w:spacing w:after="0"/>
              <w:rPr>
                <w:sz w:val="22"/>
                <w:szCs w:val="22"/>
                <w:color w:val="auto"/>
              </w:rPr>
            </w:pPr>
          </w:p>
        </w:tc>
        <w:tc>
          <w:tcPr>
            <w:tcW w:w="920" w:type="dxa"/>
            <w:vAlign w:val="bottom"/>
          </w:tcPr>
          <w:p>
            <w:pPr>
              <w:jc w:val="right"/>
              <w:ind w:right="161"/>
              <w:spacing w:after="0"/>
              <w:rPr>
                <w:sz w:val="20"/>
                <w:szCs w:val="20"/>
                <w:color w:val="auto"/>
              </w:rPr>
            </w:pPr>
            <w:r>
              <w:rPr>
                <w:rFonts w:ascii="Arial" w:cs="Arial" w:eastAsia="Arial" w:hAnsi="Arial"/>
                <w:sz w:val="20"/>
                <w:szCs w:val="20"/>
                <w:b w:val="1"/>
                <w:bCs w:val="1"/>
                <w:color w:val="auto"/>
              </w:rPr>
              <w:t>2019</w:t>
            </w:r>
          </w:p>
        </w:tc>
        <w:tc>
          <w:tcPr>
            <w:tcW w:w="220" w:type="dxa"/>
            <w:vAlign w:val="bottom"/>
          </w:tcPr>
          <w:p>
            <w:pPr>
              <w:spacing w:after="0"/>
              <w:rPr>
                <w:sz w:val="22"/>
                <w:szCs w:val="22"/>
                <w:color w:val="auto"/>
              </w:rPr>
            </w:pPr>
          </w:p>
        </w:tc>
        <w:tc>
          <w:tcPr>
            <w:tcW w:w="940" w:type="dxa"/>
            <w:vAlign w:val="bottom"/>
          </w:tcPr>
          <w:p>
            <w:pPr>
              <w:jc w:val="right"/>
              <w:ind w:right="181"/>
              <w:spacing w:after="0"/>
              <w:rPr>
                <w:sz w:val="20"/>
                <w:szCs w:val="20"/>
                <w:color w:val="auto"/>
              </w:rPr>
            </w:pPr>
            <w:r>
              <w:rPr>
                <w:rFonts w:ascii="Arial" w:cs="Arial" w:eastAsia="Arial" w:hAnsi="Arial"/>
                <w:sz w:val="20"/>
                <w:szCs w:val="20"/>
                <w:b w:val="1"/>
                <w:bCs w:val="1"/>
                <w:color w:val="auto"/>
              </w:rPr>
              <w:t>2018</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gridSpan w:val="2"/>
          </w:tcPr>
          <w:p>
            <w:pPr>
              <w:ind w:left="20"/>
              <w:spacing w:after="0"/>
              <w:rPr>
                <w:sz w:val="20"/>
                <w:szCs w:val="20"/>
                <w:color w:val="auto"/>
              </w:rPr>
            </w:pPr>
            <w:r>
              <w:rPr>
                <w:rFonts w:ascii="Arial" w:cs="Arial" w:eastAsia="Arial" w:hAnsi="Arial"/>
                <w:sz w:val="20"/>
                <w:szCs w:val="20"/>
                <w:b w:val="1"/>
                <w:bCs w:val="1"/>
                <w:color w:val="auto"/>
              </w:rPr>
              <w:t>Avg.</w:t>
            </w:r>
          </w:p>
        </w:tc>
        <w:tc>
          <w:tcPr>
            <w:tcW w:w="880" w:type="dxa"/>
            <w:vAlign w:val="bottom"/>
          </w:tcPr>
          <w:p>
            <w:pPr>
              <w:jc w:val="right"/>
              <w:ind w:right="141"/>
              <w:spacing w:after="0"/>
              <w:rPr>
                <w:sz w:val="20"/>
                <w:szCs w:val="20"/>
                <w:color w:val="auto"/>
              </w:rPr>
            </w:pPr>
            <w:r>
              <w:rPr>
                <w:rFonts w:ascii="Arial" w:cs="Arial" w:eastAsia="Arial" w:hAnsi="Arial"/>
                <w:sz w:val="20"/>
                <w:szCs w:val="20"/>
                <w:b w:val="1"/>
                <w:bCs w:val="1"/>
                <w:color w:val="auto"/>
              </w:rPr>
              <w:t>2019</w:t>
            </w:r>
          </w:p>
        </w:tc>
        <w:tc>
          <w:tcPr>
            <w:tcW w:w="200" w:type="dxa"/>
            <w:vAlign w:val="bottom"/>
          </w:tcPr>
          <w:p>
            <w:pPr>
              <w:spacing w:after="0"/>
              <w:rPr>
                <w:sz w:val="22"/>
                <w:szCs w:val="22"/>
                <w:color w:val="auto"/>
              </w:rPr>
            </w:pPr>
          </w:p>
        </w:tc>
        <w:tc>
          <w:tcPr>
            <w:tcW w:w="880" w:type="dxa"/>
            <w:vAlign w:val="bottom"/>
          </w:tcPr>
          <w:p>
            <w:pPr>
              <w:jc w:val="right"/>
              <w:ind w:right="141"/>
              <w:spacing w:after="0"/>
              <w:rPr>
                <w:sz w:val="20"/>
                <w:szCs w:val="20"/>
                <w:color w:val="auto"/>
              </w:rPr>
            </w:pPr>
            <w:r>
              <w:rPr>
                <w:rFonts w:ascii="Arial" w:cs="Arial" w:eastAsia="Arial" w:hAnsi="Arial"/>
                <w:sz w:val="20"/>
                <w:szCs w:val="20"/>
                <w:b w:val="1"/>
                <w:bCs w:val="1"/>
                <w:color w:val="auto"/>
              </w:rPr>
              <w:t>2018</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ind w:right="101"/>
              <w:spacing w:after="0"/>
              <w:rPr>
                <w:sz w:val="20"/>
                <w:szCs w:val="20"/>
                <w:color w:val="auto"/>
              </w:rPr>
            </w:pPr>
            <w:r>
              <w:rPr>
                <w:rFonts w:ascii="Arial" w:cs="Arial" w:eastAsia="Arial" w:hAnsi="Arial"/>
                <w:sz w:val="20"/>
                <w:szCs w:val="20"/>
                <w:b w:val="1"/>
                <w:bCs w:val="1"/>
                <w:color w:val="auto"/>
                <w:w w:val="82"/>
              </w:rPr>
              <w:t>Avg.</w:t>
            </w:r>
          </w:p>
        </w:tc>
      </w:tr>
      <w:tr>
        <w:trPr>
          <w:trHeight w:val="23"/>
        </w:trPr>
        <w:tc>
          <w:tcPr>
            <w:tcW w:w="50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7"/>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April</w:t>
            </w:r>
          </w:p>
        </w:tc>
        <w:tc>
          <w:tcPr>
            <w:tcW w:w="9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20"/>
                <w:szCs w:val="20"/>
                <w:color w:val="auto"/>
              </w:rPr>
              <w:t>312</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20"/>
                <w:szCs w:val="20"/>
                <w:color w:val="auto"/>
              </w:rPr>
              <w:t>338</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376</w:t>
            </w:r>
          </w:p>
        </w:tc>
        <w:tc>
          <w:tcPr>
            <w:tcW w:w="4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rPr>
              <w:t>9</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w:t>
            </w:r>
          </w:p>
        </w:tc>
      </w:tr>
      <w:tr>
        <w:trPr>
          <w:trHeight w:val="261"/>
        </w:trPr>
        <w:tc>
          <w:tcPr>
            <w:tcW w:w="5000" w:type="dxa"/>
            <w:vAlign w:val="bottom"/>
          </w:tcPr>
          <w:p>
            <w:pPr>
              <w:ind w:left="40"/>
              <w:spacing w:after="0"/>
              <w:rPr>
                <w:sz w:val="20"/>
                <w:szCs w:val="20"/>
                <w:color w:val="auto"/>
              </w:rPr>
            </w:pPr>
            <w:r>
              <w:rPr>
                <w:rFonts w:ascii="Arial" w:cs="Arial" w:eastAsia="Arial" w:hAnsi="Arial"/>
                <w:sz w:val="20"/>
                <w:szCs w:val="20"/>
                <w:color w:val="auto"/>
              </w:rPr>
              <w:t>May</w:t>
            </w:r>
          </w:p>
        </w:tc>
        <w:tc>
          <w:tcPr>
            <w:tcW w:w="920" w:type="dxa"/>
            <w:vAlign w:val="bottom"/>
          </w:tcPr>
          <w:p>
            <w:pPr>
              <w:jc w:val="right"/>
              <w:ind w:right="161"/>
              <w:spacing w:after="0"/>
              <w:rPr>
                <w:sz w:val="20"/>
                <w:szCs w:val="20"/>
                <w:color w:val="auto"/>
              </w:rPr>
            </w:pPr>
            <w:r>
              <w:rPr>
                <w:rFonts w:ascii="Arial" w:cs="Arial" w:eastAsia="Arial" w:hAnsi="Arial"/>
                <w:sz w:val="20"/>
                <w:szCs w:val="20"/>
                <w:color w:val="auto"/>
              </w:rPr>
              <w:t>109</w:t>
            </w:r>
          </w:p>
        </w:tc>
        <w:tc>
          <w:tcPr>
            <w:tcW w:w="220" w:type="dxa"/>
            <w:vAlign w:val="bottom"/>
          </w:tcPr>
          <w:p>
            <w:pPr>
              <w:spacing w:after="0"/>
              <w:rPr>
                <w:sz w:val="22"/>
                <w:szCs w:val="22"/>
                <w:color w:val="auto"/>
              </w:rPr>
            </w:pP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89</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1"/>
              <w:spacing w:after="0"/>
              <w:rPr>
                <w:sz w:val="20"/>
                <w:szCs w:val="20"/>
                <w:color w:val="auto"/>
              </w:rPr>
            </w:pPr>
            <w:r>
              <w:rPr>
                <w:rFonts w:ascii="Arial" w:cs="Arial" w:eastAsia="Arial" w:hAnsi="Arial"/>
                <w:sz w:val="20"/>
                <w:szCs w:val="20"/>
                <w:color w:val="auto"/>
              </w:rPr>
              <w:t>198</w:t>
            </w:r>
          </w:p>
        </w:tc>
        <w:tc>
          <w:tcPr>
            <w:tcW w:w="420" w:type="dxa"/>
            <w:vAlign w:val="bottom"/>
          </w:tcPr>
          <w:p>
            <w:pPr>
              <w:spacing w:after="0"/>
              <w:rPr>
                <w:sz w:val="22"/>
                <w:szCs w:val="22"/>
                <w:color w:val="auto"/>
              </w:rPr>
            </w:pPr>
          </w:p>
        </w:tc>
        <w:tc>
          <w:tcPr>
            <w:tcW w:w="880" w:type="dxa"/>
            <w:vAlign w:val="bottom"/>
          </w:tcPr>
          <w:p>
            <w:pPr>
              <w:jc w:val="right"/>
              <w:ind w:right="101"/>
              <w:spacing w:after="0"/>
              <w:rPr>
                <w:sz w:val="20"/>
                <w:szCs w:val="20"/>
                <w:color w:val="auto"/>
              </w:rPr>
            </w:pPr>
            <w:r>
              <w:rPr>
                <w:rFonts w:ascii="Arial" w:cs="Arial" w:eastAsia="Arial" w:hAnsi="Arial"/>
                <w:sz w:val="20"/>
                <w:szCs w:val="20"/>
                <w:color w:val="auto"/>
              </w:rPr>
              <w:t>28</w:t>
            </w:r>
          </w:p>
        </w:tc>
        <w:tc>
          <w:tcPr>
            <w:tcW w:w="200" w:type="dxa"/>
            <w:vAlign w:val="bottom"/>
          </w:tcPr>
          <w:p>
            <w:pPr>
              <w:spacing w:after="0"/>
              <w:rPr>
                <w:sz w:val="22"/>
                <w:szCs w:val="22"/>
                <w:color w:val="auto"/>
              </w:rPr>
            </w:pPr>
          </w:p>
        </w:tc>
        <w:tc>
          <w:tcPr>
            <w:tcW w:w="880" w:type="dxa"/>
            <w:vAlign w:val="bottom"/>
          </w:tcPr>
          <w:p>
            <w:pPr>
              <w:jc w:val="right"/>
              <w:ind w:right="101"/>
              <w:spacing w:after="0"/>
              <w:rPr>
                <w:sz w:val="20"/>
                <w:szCs w:val="20"/>
                <w:color w:val="auto"/>
              </w:rPr>
            </w:pPr>
            <w:r>
              <w:rPr>
                <w:rFonts w:ascii="Arial" w:cs="Arial" w:eastAsia="Arial" w:hAnsi="Arial"/>
                <w:sz w:val="20"/>
                <w:szCs w:val="20"/>
                <w:color w:val="auto"/>
              </w:rPr>
              <w:t>34</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ind w:right="1"/>
              <w:spacing w:after="0"/>
              <w:rPr>
                <w:sz w:val="20"/>
                <w:szCs w:val="20"/>
                <w:color w:val="auto"/>
              </w:rPr>
            </w:pPr>
            <w:r>
              <w:rPr>
                <w:rFonts w:ascii="Arial" w:cs="Arial" w:eastAsia="Arial" w:hAnsi="Arial"/>
                <w:sz w:val="20"/>
                <w:szCs w:val="20"/>
                <w:color w:val="auto"/>
              </w:rPr>
              <w:t>21</w:t>
            </w:r>
          </w:p>
        </w:tc>
      </w:tr>
      <w:tr>
        <w:trPr>
          <w:trHeight w:val="23"/>
        </w:trPr>
        <w:tc>
          <w:tcPr>
            <w:tcW w:w="5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8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June</w:t>
            </w:r>
          </w:p>
        </w:tc>
        <w:tc>
          <w:tcPr>
            <w:tcW w:w="9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20"/>
                <w:szCs w:val="20"/>
                <w:color w:val="auto"/>
              </w:rPr>
              <w:t>46</w:t>
            </w:r>
          </w:p>
        </w:tc>
        <w:tc>
          <w:tcPr>
            <w:tcW w:w="2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20"/>
                <w:szCs w:val="20"/>
                <w:color w:val="auto"/>
              </w:rPr>
              <w:t>44</w:t>
            </w:r>
          </w:p>
        </w:tc>
        <w:tc>
          <w:tcPr>
            <w:tcW w:w="2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79</w:t>
            </w:r>
          </w:p>
        </w:tc>
        <w:tc>
          <w:tcPr>
            <w:tcW w:w="4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rPr>
              <w:t>74</w:t>
            </w:r>
          </w:p>
        </w:tc>
        <w:tc>
          <w:tcPr>
            <w:tcW w:w="2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rPr>
              <w:t>73</w:t>
            </w:r>
          </w:p>
        </w:tc>
        <w:tc>
          <w:tcPr>
            <w:tcW w:w="2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65</w:t>
            </w:r>
          </w:p>
        </w:tc>
      </w:tr>
      <w:tr>
        <w:trPr>
          <w:trHeight w:val="312"/>
        </w:trPr>
        <w:tc>
          <w:tcPr>
            <w:tcW w:w="5000" w:type="dxa"/>
            <w:vAlign w:val="bottom"/>
            <w:tcBorders>
              <w:bottom w:val="single" w:sz="8" w:color="CCEEFF"/>
            </w:tcBorders>
          </w:tcPr>
          <w:p>
            <w:pPr>
              <w:ind w:left="380"/>
              <w:spacing w:after="0"/>
              <w:rPr>
                <w:sz w:val="20"/>
                <w:szCs w:val="20"/>
                <w:color w:val="auto"/>
              </w:rPr>
            </w:pPr>
            <w:r>
              <w:rPr>
                <w:rFonts w:ascii="Arial" w:cs="Arial" w:eastAsia="Arial" w:hAnsi="Arial"/>
                <w:sz w:val="20"/>
                <w:szCs w:val="20"/>
                <w:color w:val="auto"/>
              </w:rPr>
              <w:t>Totals for the quarter</w:t>
            </w:r>
          </w:p>
        </w:tc>
        <w:tc>
          <w:tcPr>
            <w:tcW w:w="92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20"/>
                <w:szCs w:val="20"/>
                <w:color w:val="auto"/>
              </w:rPr>
              <w:t>467</w:t>
            </w:r>
          </w:p>
        </w:tc>
        <w:tc>
          <w:tcPr>
            <w:tcW w:w="220" w:type="dxa"/>
            <w:vAlign w:val="bottom"/>
            <w:tcBorders>
              <w:bottom w:val="single" w:sz="8" w:color="CCEEFF"/>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20"/>
                <w:szCs w:val="20"/>
                <w:color w:val="auto"/>
              </w:rPr>
              <w:t>471</w:t>
            </w:r>
          </w:p>
        </w:tc>
        <w:tc>
          <w:tcPr>
            <w:tcW w:w="2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rPr>
              <w:t>653</w:t>
            </w:r>
          </w:p>
        </w:tc>
        <w:tc>
          <w:tcPr>
            <w:tcW w:w="420" w:type="dxa"/>
            <w:vAlign w:val="bottom"/>
            <w:tcBorders>
              <w:bottom w:val="single" w:sz="8" w:color="CCEEFF"/>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20"/>
                <w:szCs w:val="20"/>
                <w:color w:val="auto"/>
              </w:rPr>
              <w:t>102</w:t>
            </w:r>
          </w:p>
        </w:tc>
        <w:tc>
          <w:tcPr>
            <w:tcW w:w="200" w:type="dxa"/>
            <w:vAlign w:val="bottom"/>
            <w:tcBorders>
              <w:bottom w:val="single" w:sz="8" w:color="CCEEFF"/>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20"/>
                <w:szCs w:val="20"/>
                <w:color w:val="auto"/>
              </w:rPr>
              <w:t>116</w:t>
            </w:r>
          </w:p>
        </w:tc>
        <w:tc>
          <w:tcPr>
            <w:tcW w:w="2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88</w:t>
            </w:r>
          </w:p>
        </w:tc>
      </w:tr>
      <w:tr>
        <w:trPr>
          <w:trHeight w:val="264"/>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20"/>
                <w:szCs w:val="20"/>
                <w:color w:val="auto"/>
              </w:rPr>
              <w:t>(Decrease)/increase from the 15-year average</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(28)%</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(28)%</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32%</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r>
      <w:tr>
        <w:trPr>
          <w:trHeight w:val="20"/>
        </w:trPr>
        <w:tc>
          <w:tcPr>
            <w:tcW w:w="5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right="160"/>
        <w:spacing w:after="0" w:line="250" w:lineRule="auto"/>
        <w:rPr>
          <w:sz w:val="20"/>
          <w:szCs w:val="20"/>
          <w:color w:val="auto"/>
        </w:rPr>
      </w:pPr>
      <w:r>
        <w:rPr>
          <w:rFonts w:ascii="Arial" w:cs="Arial" w:eastAsia="Arial" w:hAnsi="Arial"/>
          <w:sz w:val="20"/>
          <w:szCs w:val="20"/>
          <w:i w:val="1"/>
          <w:iCs w:val="1"/>
          <w:color w:val="auto"/>
        </w:rPr>
        <w:t xml:space="preserve">Wholesale revenues </w:t>
      </w:r>
      <w:r>
        <w:rPr>
          <w:rFonts w:ascii="Arial" w:cs="Arial" w:eastAsia="Arial" w:hAnsi="Arial"/>
          <w:sz w:val="20"/>
          <w:szCs w:val="20"/>
          <w:color w:val="auto"/>
        </w:rPr>
        <w:t>for the three months ended June 30, 2019 decreased $8 million, or 33%, from the three months ended June 30, 2018, as a</w:t>
      </w:r>
      <w:r>
        <w:rPr>
          <w:rFonts w:ascii="Arial" w:cs="Arial" w:eastAsia="Arial" w:hAnsi="Arial"/>
          <w:sz w:val="20"/>
          <w:szCs w:val="20"/>
          <w:i w:val="1"/>
          <w:iCs w:val="1"/>
          <w:color w:val="auto"/>
        </w:rPr>
        <w:t xml:space="preserve"> </w:t>
      </w:r>
      <w:r>
        <w:rPr>
          <w:rFonts w:ascii="Arial" w:cs="Arial" w:eastAsia="Arial" w:hAnsi="Arial"/>
          <w:sz w:val="20"/>
          <w:szCs w:val="20"/>
          <w:color w:val="auto"/>
        </w:rPr>
        <w:t>result of a $5 million decrease related to a 25% decrease in wholesale sales volume and $3 million as a result of 26% lower average wholesale prices.</w:t>
      </w:r>
    </w:p>
    <w:p>
      <w:pPr>
        <w:spacing w:after="0" w:line="180" w:lineRule="exact"/>
        <w:rPr>
          <w:sz w:val="20"/>
          <w:szCs w:val="20"/>
          <w:color w:val="auto"/>
        </w:rPr>
      </w:pPr>
    </w:p>
    <w:p>
      <w:pPr>
        <w:ind w:right="300"/>
        <w:spacing w:after="0" w:line="253" w:lineRule="auto"/>
        <w:rPr>
          <w:sz w:val="20"/>
          <w:szCs w:val="20"/>
          <w:color w:val="auto"/>
        </w:rPr>
      </w:pPr>
      <w:r>
        <w:rPr>
          <w:rFonts w:ascii="Arial" w:cs="Arial" w:eastAsia="Arial" w:hAnsi="Arial"/>
          <w:sz w:val="20"/>
          <w:szCs w:val="20"/>
          <w:b w:val="1"/>
          <w:bCs w:val="1"/>
          <w:color w:val="auto"/>
        </w:rPr>
        <w:t xml:space="preserve">Purchased power and fuel </w:t>
      </w:r>
      <w:r>
        <w:rPr>
          <w:rFonts w:ascii="Arial" w:cs="Arial" w:eastAsia="Arial" w:hAnsi="Arial"/>
          <w:sz w:val="20"/>
          <w:szCs w:val="20"/>
          <w:color w:val="auto"/>
        </w:rPr>
        <w:t>expense increased $1 million, or 1%, for the three months ended June 30, 2019 compared with the three months</w:t>
      </w:r>
      <w:r>
        <w:rPr>
          <w:rFonts w:ascii="Arial" w:cs="Arial" w:eastAsia="Arial" w:hAnsi="Arial"/>
          <w:sz w:val="20"/>
          <w:szCs w:val="20"/>
          <w:b w:val="1"/>
          <w:bCs w:val="1"/>
          <w:color w:val="auto"/>
        </w:rPr>
        <w:t xml:space="preserve"> </w:t>
      </w:r>
      <w:r>
        <w:rPr>
          <w:rFonts w:ascii="Arial" w:cs="Arial" w:eastAsia="Arial" w:hAnsi="Arial"/>
          <w:sz w:val="20"/>
          <w:szCs w:val="20"/>
          <w:color w:val="auto"/>
        </w:rPr>
        <w:t>ended June 30, 2018. This change consisted of a $10 million increase in the average variable power cost per MWh, offset by a $9 million decrease in total system load.</w:t>
      </w:r>
    </w:p>
    <w:p>
      <w:pPr>
        <w:spacing w:after="0" w:line="197"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The $10 million increase due to a change in the average variable power cost per MWh to $21.55 per MWh for the three months ended June 30, 2019 from $19.93 per MWh for the three months ended June 30, 2018, was primarily driven by a 26% increase in average variable power cost per MWh on purchased power due to higher market prices, partially offset by a 7% decrease in average variable power cost per MWh for PGE’s own generation resources.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Total $9 million decrease in total system load was driven primarily by a 25% decrease in wholesale energy deliveries.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9"/>
          <w:szCs w:val="19"/>
          <w:color w:val="auto"/>
        </w:rPr>
        <w:t>The sources of energy for PGE’s total system load, as well as its retail load requirement, were as follows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900" w:type="dxa"/>
            <w:vAlign w:val="bottom"/>
            <w:gridSpan w:val="5"/>
          </w:tcPr>
          <w:p>
            <w:pPr>
              <w:jc w:val="right"/>
              <w:ind w:right="280"/>
              <w:spacing w:after="0"/>
              <w:rPr>
                <w:sz w:val="20"/>
                <w:szCs w:val="20"/>
                <w:color w:val="auto"/>
              </w:rPr>
            </w:pPr>
            <w:r>
              <w:rPr>
                <w:rFonts w:ascii="Arial" w:cs="Arial" w:eastAsia="Arial" w:hAnsi="Arial"/>
                <w:sz w:val="20"/>
                <w:szCs w:val="20"/>
                <w:b w:val="1"/>
                <w:bCs w:val="1"/>
                <w:color w:val="auto"/>
                <w:w w:val="91"/>
              </w:rPr>
              <w:t>Three Months Ended June 30,</w:t>
            </w:r>
          </w:p>
        </w:tc>
        <w:tc>
          <w:tcPr>
            <w:tcW w:w="1000" w:type="dxa"/>
            <w:vAlign w:val="bottom"/>
          </w:tcPr>
          <w:p>
            <w:pPr>
              <w:spacing w:after="0"/>
              <w:rPr>
                <w:sz w:val="22"/>
                <w:szCs w:val="22"/>
                <w:color w:val="auto"/>
              </w:rPr>
            </w:pPr>
          </w:p>
        </w:tc>
      </w:tr>
      <w:tr>
        <w:trPr>
          <w:trHeight w:val="23"/>
        </w:trPr>
        <w:tc>
          <w:tcPr>
            <w:tcW w:w="628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4"/>
        </w:trPr>
        <w:tc>
          <w:tcPr>
            <w:tcW w:w="6280" w:type="dxa"/>
            <w:vAlign w:val="bottom"/>
          </w:tcPr>
          <w:p>
            <w:pPr>
              <w:spacing w:after="0"/>
              <w:rPr>
                <w:sz w:val="22"/>
                <w:szCs w:val="22"/>
                <w:color w:val="auto"/>
              </w:rPr>
            </w:pPr>
          </w:p>
        </w:tc>
        <w:tc>
          <w:tcPr>
            <w:tcW w:w="1440" w:type="dxa"/>
            <w:vAlign w:val="bottom"/>
            <w:gridSpan w:val="2"/>
          </w:tcPr>
          <w:p>
            <w:pPr>
              <w:jc w:val="right"/>
              <w:spacing w:after="0"/>
              <w:rPr>
                <w:sz w:val="20"/>
                <w:szCs w:val="20"/>
                <w:color w:val="auto"/>
              </w:rPr>
            </w:pPr>
            <w:r>
              <w:rPr>
                <w:rFonts w:ascii="Arial" w:cs="Arial" w:eastAsia="Arial" w:hAnsi="Arial"/>
                <w:sz w:val="20"/>
                <w:szCs w:val="20"/>
                <w:b w:val="1"/>
                <w:bCs w:val="1"/>
                <w:color w:val="auto"/>
              </w:rPr>
              <w:t>2019</w:t>
            </w: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2018</w:t>
            </w:r>
          </w:p>
        </w:tc>
        <w:tc>
          <w:tcPr>
            <w:tcW w:w="1000" w:type="dxa"/>
            <w:vAlign w:val="bottom"/>
          </w:tcPr>
          <w:p>
            <w:pPr>
              <w:spacing w:after="0"/>
              <w:rPr>
                <w:sz w:val="22"/>
                <w:szCs w:val="22"/>
                <w:color w:val="auto"/>
              </w:rPr>
            </w:pPr>
          </w:p>
        </w:tc>
      </w:tr>
      <w:tr>
        <w:trPr>
          <w:trHeight w:val="23"/>
        </w:trPr>
        <w:tc>
          <w:tcPr>
            <w:tcW w:w="62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b w:val="1"/>
                <w:bCs w:val="1"/>
                <w:color w:val="auto"/>
              </w:rPr>
              <w:t>Sources of energy (MWh in thousands):</w:t>
            </w:r>
          </w:p>
        </w:tc>
        <w:tc>
          <w:tcPr>
            <w:tcW w:w="1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61"/>
        </w:trPr>
        <w:tc>
          <w:tcPr>
            <w:tcW w:w="6280" w:type="dxa"/>
            <w:vAlign w:val="bottom"/>
          </w:tcPr>
          <w:p>
            <w:pPr>
              <w:ind w:left="40"/>
              <w:spacing w:after="0"/>
              <w:rPr>
                <w:sz w:val="20"/>
                <w:szCs w:val="20"/>
                <w:color w:val="auto"/>
              </w:rPr>
            </w:pPr>
            <w:r>
              <w:rPr>
                <w:rFonts w:ascii="Arial" w:cs="Arial" w:eastAsia="Arial" w:hAnsi="Arial"/>
                <w:sz w:val="20"/>
                <w:szCs w:val="20"/>
                <w:color w:val="auto"/>
              </w:rPr>
              <w:t>Generation:</w:t>
            </w: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
        </w:trPr>
        <w:tc>
          <w:tcPr>
            <w:tcW w:w="6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4"/>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Thermal:</w:t>
            </w:r>
          </w:p>
        </w:tc>
        <w:tc>
          <w:tcPr>
            <w:tcW w:w="1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61"/>
        </w:trPr>
        <w:tc>
          <w:tcPr>
            <w:tcW w:w="6280" w:type="dxa"/>
            <w:vAlign w:val="bottom"/>
          </w:tcPr>
          <w:p>
            <w:pPr>
              <w:ind w:left="500"/>
              <w:spacing w:after="0"/>
              <w:rPr>
                <w:sz w:val="20"/>
                <w:szCs w:val="20"/>
                <w:color w:val="auto"/>
              </w:rPr>
            </w:pPr>
            <w:r>
              <w:rPr>
                <w:rFonts w:ascii="Arial" w:cs="Arial" w:eastAsia="Arial" w:hAnsi="Arial"/>
                <w:sz w:val="20"/>
                <w:szCs w:val="20"/>
                <w:color w:val="auto"/>
              </w:rPr>
              <w:t>Natural gas</w:t>
            </w: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1,150</w:t>
            </w:r>
          </w:p>
        </w:tc>
        <w:tc>
          <w:tcPr>
            <w:tcW w:w="1220" w:type="dxa"/>
            <w:vAlign w:val="bottom"/>
            <w:gridSpan w:val="2"/>
          </w:tcPr>
          <w:p>
            <w:pPr>
              <w:jc w:val="right"/>
              <w:spacing w:after="0"/>
              <w:rPr>
                <w:sz w:val="20"/>
                <w:szCs w:val="20"/>
                <w:color w:val="auto"/>
              </w:rPr>
            </w:pPr>
            <w:r>
              <w:rPr>
                <w:rFonts w:ascii="Arial" w:cs="Arial" w:eastAsia="Arial" w:hAnsi="Arial"/>
                <w:sz w:val="20"/>
                <w:szCs w:val="20"/>
                <w:color w:val="auto"/>
              </w:rPr>
              <w:t>23%</w:t>
            </w:r>
          </w:p>
        </w:tc>
        <w:tc>
          <w:tcPr>
            <w:tcW w:w="2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828</w:t>
            </w: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3"/>
        </w:trPr>
        <w:tc>
          <w:tcPr>
            <w:tcW w:w="6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84"/>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20"/>
                <w:szCs w:val="20"/>
                <w:color w:val="auto"/>
              </w:rPr>
              <w:t>Coal</w:t>
            </w: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378</w:t>
            </w:r>
          </w:p>
        </w:tc>
        <w:tc>
          <w:tcPr>
            <w:tcW w:w="1220" w:type="dxa"/>
            <w:vAlign w:val="bottom"/>
            <w:tcBorders>
              <w:bottom w:val="single" w:sz="8" w:color="CCEEFF"/>
            </w:tcBorders>
            <w:gridSpan w:val="2"/>
            <w:shd w:val="clear" w:color="auto" w:fill="CCEEFF"/>
          </w:tcPr>
          <w:p>
            <w:pPr>
              <w:jc w:val="right"/>
              <w:ind w:right="101"/>
              <w:spacing w:after="0"/>
              <w:rPr>
                <w:sz w:val="20"/>
                <w:szCs w:val="20"/>
                <w:color w:val="auto"/>
              </w:rPr>
            </w:pPr>
            <w:r>
              <w:rPr>
                <w:rFonts w:ascii="Arial" w:cs="Arial" w:eastAsia="Arial" w:hAnsi="Arial"/>
                <w:sz w:val="20"/>
                <w:szCs w:val="20"/>
                <w:color w:val="auto"/>
              </w:rPr>
              <w:t>8</w:t>
            </w:r>
          </w:p>
        </w:tc>
        <w:tc>
          <w:tcPr>
            <w:tcW w:w="2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421</w:t>
            </w:r>
          </w:p>
        </w:tc>
        <w:tc>
          <w:tcPr>
            <w:tcW w:w="2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rPr>
              <w:t>8</w:t>
            </w:r>
          </w:p>
        </w:tc>
      </w:tr>
      <w:tr>
        <w:trPr>
          <w:trHeight w:val="254"/>
        </w:trPr>
        <w:tc>
          <w:tcPr>
            <w:tcW w:w="6280" w:type="dxa"/>
            <w:vAlign w:val="bottom"/>
          </w:tcPr>
          <w:p>
            <w:pPr>
              <w:ind w:left="720"/>
              <w:spacing w:after="0"/>
              <w:rPr>
                <w:sz w:val="20"/>
                <w:szCs w:val="20"/>
                <w:color w:val="auto"/>
              </w:rPr>
            </w:pPr>
            <w:r>
              <w:rPr>
                <w:rFonts w:ascii="Arial" w:cs="Arial" w:eastAsia="Arial" w:hAnsi="Arial"/>
                <w:sz w:val="20"/>
                <w:szCs w:val="20"/>
                <w:color w:val="auto"/>
              </w:rPr>
              <w:t>Total thermal</w:t>
            </w:r>
          </w:p>
        </w:tc>
        <w:tc>
          <w:tcPr>
            <w:tcW w:w="122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1,528</w:t>
            </w:r>
          </w:p>
        </w:tc>
        <w:tc>
          <w:tcPr>
            <w:tcW w:w="220" w:type="dxa"/>
            <w:vAlign w:val="bottom"/>
          </w:tcPr>
          <w:p>
            <w:pPr>
              <w:spacing w:after="0"/>
              <w:rPr>
                <w:sz w:val="22"/>
                <w:szCs w:val="22"/>
                <w:color w:val="auto"/>
              </w:rPr>
            </w:pPr>
          </w:p>
        </w:tc>
        <w:tc>
          <w:tcPr>
            <w:tcW w:w="1000" w:type="dxa"/>
            <w:vAlign w:val="bottom"/>
            <w:tcBorders>
              <w:top w:val="single" w:sz="8" w:color="auto"/>
            </w:tcBorders>
          </w:tcPr>
          <w:p>
            <w:pPr>
              <w:jc w:val="right"/>
              <w:ind w:right="101"/>
              <w:spacing w:after="0"/>
              <w:rPr>
                <w:sz w:val="20"/>
                <w:szCs w:val="20"/>
                <w:color w:val="auto"/>
              </w:rPr>
            </w:pPr>
            <w:r>
              <w:rPr>
                <w:rFonts w:ascii="Arial" w:cs="Arial" w:eastAsia="Arial" w:hAnsi="Arial"/>
                <w:sz w:val="20"/>
                <w:szCs w:val="20"/>
                <w:color w:val="auto"/>
              </w:rPr>
              <w:t>31</w:t>
            </w:r>
          </w:p>
        </w:tc>
        <w:tc>
          <w:tcPr>
            <w:tcW w:w="220" w:type="dxa"/>
            <w:vAlign w:val="bottom"/>
          </w:tcPr>
          <w:p>
            <w:pPr>
              <w:spacing w:after="0"/>
              <w:rPr>
                <w:sz w:val="22"/>
                <w:szCs w:val="22"/>
                <w:color w:val="auto"/>
              </w:rPr>
            </w:pPr>
          </w:p>
        </w:tc>
        <w:tc>
          <w:tcPr>
            <w:tcW w:w="124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1,249</w:t>
            </w:r>
          </w:p>
        </w:tc>
        <w:tc>
          <w:tcPr>
            <w:tcW w:w="220" w:type="dxa"/>
            <w:vAlign w:val="bottom"/>
          </w:tcPr>
          <w:p>
            <w:pPr>
              <w:spacing w:after="0"/>
              <w:rPr>
                <w:sz w:val="22"/>
                <w:szCs w:val="22"/>
                <w:color w:val="auto"/>
              </w:rPr>
            </w:pPr>
          </w:p>
        </w:tc>
        <w:tc>
          <w:tcPr>
            <w:tcW w:w="1000" w:type="dxa"/>
            <w:vAlign w:val="bottom"/>
            <w:tcBorders>
              <w:top w:val="single" w:sz="8" w:color="auto"/>
            </w:tcBorders>
          </w:tcPr>
          <w:p>
            <w:pPr>
              <w:jc w:val="right"/>
              <w:ind w:right="101"/>
              <w:spacing w:after="0"/>
              <w:rPr>
                <w:sz w:val="20"/>
                <w:szCs w:val="20"/>
                <w:color w:val="auto"/>
              </w:rPr>
            </w:pPr>
            <w:r>
              <w:rPr>
                <w:rFonts w:ascii="Arial" w:cs="Arial" w:eastAsia="Arial" w:hAnsi="Arial"/>
                <w:sz w:val="20"/>
                <w:szCs w:val="20"/>
                <w:color w:val="auto"/>
              </w:rPr>
              <w:t>24</w:t>
            </w:r>
          </w:p>
        </w:tc>
      </w:tr>
      <w:tr>
        <w:trPr>
          <w:trHeight w:val="23"/>
        </w:trPr>
        <w:tc>
          <w:tcPr>
            <w:tcW w:w="6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4"/>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Hydro</w:t>
            </w: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460</w:t>
            </w:r>
          </w:p>
        </w:tc>
        <w:tc>
          <w:tcPr>
            <w:tcW w:w="1220" w:type="dxa"/>
            <w:vAlign w:val="bottom"/>
            <w:tcBorders>
              <w:bottom w:val="single" w:sz="8" w:color="CCEEFF"/>
            </w:tcBorders>
            <w:gridSpan w:val="2"/>
            <w:shd w:val="clear" w:color="auto" w:fill="CCEEFF"/>
          </w:tcPr>
          <w:p>
            <w:pPr>
              <w:jc w:val="right"/>
              <w:ind w:right="101"/>
              <w:spacing w:after="0"/>
              <w:rPr>
                <w:sz w:val="20"/>
                <w:szCs w:val="20"/>
                <w:color w:val="auto"/>
              </w:rPr>
            </w:pPr>
            <w:r>
              <w:rPr>
                <w:rFonts w:ascii="Arial" w:cs="Arial" w:eastAsia="Arial" w:hAnsi="Arial"/>
                <w:sz w:val="20"/>
                <w:szCs w:val="20"/>
                <w:color w:val="auto"/>
              </w:rPr>
              <w:t>9</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395</w:t>
            </w: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rPr>
              <w:t>8</w:t>
            </w:r>
          </w:p>
        </w:tc>
      </w:tr>
      <w:tr>
        <w:trPr>
          <w:trHeight w:val="261"/>
        </w:trPr>
        <w:tc>
          <w:tcPr>
            <w:tcW w:w="6280" w:type="dxa"/>
            <w:vAlign w:val="bottom"/>
          </w:tcPr>
          <w:p>
            <w:pPr>
              <w:ind w:left="280"/>
              <w:spacing w:after="0"/>
              <w:rPr>
                <w:sz w:val="20"/>
                <w:szCs w:val="20"/>
                <w:color w:val="auto"/>
              </w:rPr>
            </w:pPr>
            <w:r>
              <w:rPr>
                <w:rFonts w:ascii="Arial" w:cs="Arial" w:eastAsia="Arial" w:hAnsi="Arial"/>
                <w:sz w:val="20"/>
                <w:szCs w:val="20"/>
                <w:color w:val="auto"/>
              </w:rPr>
              <w:t>Wind</w:t>
            </w: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608</w:t>
            </w:r>
          </w:p>
        </w:tc>
        <w:tc>
          <w:tcPr>
            <w:tcW w:w="1220" w:type="dxa"/>
            <w:vAlign w:val="bottom"/>
            <w:gridSpan w:val="2"/>
          </w:tcPr>
          <w:p>
            <w:pPr>
              <w:jc w:val="right"/>
              <w:ind w:right="101"/>
              <w:spacing w:after="0"/>
              <w:rPr>
                <w:sz w:val="20"/>
                <w:szCs w:val="20"/>
                <w:color w:val="auto"/>
              </w:rPr>
            </w:pPr>
            <w:r>
              <w:rPr>
                <w:rFonts w:ascii="Arial" w:cs="Arial" w:eastAsia="Arial" w:hAnsi="Arial"/>
                <w:sz w:val="20"/>
                <w:szCs w:val="20"/>
                <w:color w:val="auto"/>
              </w:rPr>
              <w:t>13</w:t>
            </w:r>
          </w:p>
        </w:tc>
        <w:tc>
          <w:tcPr>
            <w:tcW w:w="2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613</w:t>
            </w:r>
          </w:p>
        </w:tc>
        <w:tc>
          <w:tcPr>
            <w:tcW w:w="220" w:type="dxa"/>
            <w:vAlign w:val="bottom"/>
          </w:tcPr>
          <w:p>
            <w:pPr>
              <w:spacing w:after="0"/>
              <w:rPr>
                <w:sz w:val="22"/>
                <w:szCs w:val="22"/>
                <w:color w:val="auto"/>
              </w:rPr>
            </w:pPr>
          </w:p>
        </w:tc>
        <w:tc>
          <w:tcPr>
            <w:tcW w:w="1000" w:type="dxa"/>
            <w:vAlign w:val="bottom"/>
          </w:tcPr>
          <w:p>
            <w:pPr>
              <w:jc w:val="right"/>
              <w:ind w:right="101"/>
              <w:spacing w:after="0"/>
              <w:rPr>
                <w:sz w:val="20"/>
                <w:szCs w:val="20"/>
                <w:color w:val="auto"/>
              </w:rPr>
            </w:pPr>
            <w:r>
              <w:rPr>
                <w:rFonts w:ascii="Arial" w:cs="Arial" w:eastAsia="Arial" w:hAnsi="Arial"/>
                <w:sz w:val="20"/>
                <w:szCs w:val="20"/>
                <w:color w:val="auto"/>
              </w:rPr>
              <w:t>11</w:t>
            </w:r>
          </w:p>
        </w:tc>
      </w:tr>
      <w:tr>
        <w:trPr>
          <w:trHeight w:val="23"/>
        </w:trPr>
        <w:tc>
          <w:tcPr>
            <w:tcW w:w="62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7"/>
        </w:trPr>
        <w:tc>
          <w:tcPr>
            <w:tcW w:w="62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Total generation</w:t>
            </w: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2,596</w:t>
            </w:r>
          </w:p>
        </w:tc>
        <w:tc>
          <w:tcPr>
            <w:tcW w:w="1220" w:type="dxa"/>
            <w:vAlign w:val="bottom"/>
            <w:tcBorders>
              <w:bottom w:val="single" w:sz="8" w:color="CCEEFF"/>
            </w:tcBorders>
            <w:gridSpan w:val="2"/>
            <w:shd w:val="clear" w:color="auto" w:fill="CCEEFF"/>
          </w:tcPr>
          <w:p>
            <w:pPr>
              <w:jc w:val="right"/>
              <w:ind w:right="101"/>
              <w:spacing w:after="0"/>
              <w:rPr>
                <w:sz w:val="20"/>
                <w:szCs w:val="20"/>
                <w:color w:val="auto"/>
              </w:rPr>
            </w:pPr>
            <w:r>
              <w:rPr>
                <w:rFonts w:ascii="Arial" w:cs="Arial" w:eastAsia="Arial" w:hAnsi="Arial"/>
                <w:sz w:val="20"/>
                <w:szCs w:val="20"/>
                <w:color w:val="auto"/>
              </w:rPr>
              <w:t>53</w:t>
            </w:r>
          </w:p>
        </w:tc>
        <w:tc>
          <w:tcPr>
            <w:tcW w:w="2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2,257</w:t>
            </w:r>
          </w:p>
        </w:tc>
        <w:tc>
          <w:tcPr>
            <w:tcW w:w="2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rPr>
              <w:t>43</w:t>
            </w:r>
          </w:p>
        </w:tc>
      </w:tr>
      <w:tr>
        <w:trPr>
          <w:trHeight w:val="254"/>
        </w:trPr>
        <w:tc>
          <w:tcPr>
            <w:tcW w:w="6280" w:type="dxa"/>
            <w:vAlign w:val="bottom"/>
          </w:tcPr>
          <w:p>
            <w:pPr>
              <w:ind w:left="40"/>
              <w:spacing w:after="0"/>
              <w:rPr>
                <w:sz w:val="20"/>
                <w:szCs w:val="20"/>
                <w:color w:val="auto"/>
              </w:rPr>
            </w:pPr>
            <w:r>
              <w:rPr>
                <w:rFonts w:ascii="Arial" w:cs="Arial" w:eastAsia="Arial" w:hAnsi="Arial"/>
                <w:sz w:val="20"/>
                <w:szCs w:val="20"/>
                <w:color w:val="auto"/>
              </w:rPr>
              <w:t>Purchased power:</w:t>
            </w:r>
          </w:p>
        </w:tc>
        <w:tc>
          <w:tcPr>
            <w:tcW w:w="12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r>
      <w:tr>
        <w:trPr>
          <w:trHeight w:val="23"/>
        </w:trPr>
        <w:tc>
          <w:tcPr>
            <w:tcW w:w="6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4"/>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Term</w:t>
            </w: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1,919</w:t>
            </w:r>
          </w:p>
        </w:tc>
        <w:tc>
          <w:tcPr>
            <w:tcW w:w="1220" w:type="dxa"/>
            <w:vAlign w:val="bottom"/>
            <w:tcBorders>
              <w:bottom w:val="single" w:sz="8" w:color="CCEEFF"/>
            </w:tcBorders>
            <w:gridSpan w:val="2"/>
            <w:shd w:val="clear" w:color="auto" w:fill="CCEEFF"/>
          </w:tcPr>
          <w:p>
            <w:pPr>
              <w:jc w:val="right"/>
              <w:ind w:right="101"/>
              <w:spacing w:after="0"/>
              <w:rPr>
                <w:sz w:val="20"/>
                <w:szCs w:val="20"/>
                <w:color w:val="auto"/>
              </w:rPr>
            </w:pPr>
            <w:r>
              <w:rPr>
                <w:rFonts w:ascii="Arial" w:cs="Arial" w:eastAsia="Arial" w:hAnsi="Arial"/>
                <w:sz w:val="20"/>
                <w:szCs w:val="20"/>
                <w:color w:val="auto"/>
              </w:rPr>
              <w:t>39</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2,384</w:t>
            </w: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rPr>
              <w:t>45</w:t>
            </w:r>
          </w:p>
        </w:tc>
      </w:tr>
      <w:tr>
        <w:trPr>
          <w:trHeight w:val="261"/>
        </w:trPr>
        <w:tc>
          <w:tcPr>
            <w:tcW w:w="6280" w:type="dxa"/>
            <w:vAlign w:val="bottom"/>
          </w:tcPr>
          <w:p>
            <w:pPr>
              <w:ind w:left="280"/>
              <w:spacing w:after="0"/>
              <w:rPr>
                <w:sz w:val="20"/>
                <w:szCs w:val="20"/>
                <w:color w:val="auto"/>
              </w:rPr>
            </w:pPr>
            <w:r>
              <w:rPr>
                <w:rFonts w:ascii="Arial" w:cs="Arial" w:eastAsia="Arial" w:hAnsi="Arial"/>
                <w:sz w:val="20"/>
                <w:szCs w:val="20"/>
                <w:color w:val="auto"/>
              </w:rPr>
              <w:t>Hydro</w:t>
            </w: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319</w:t>
            </w:r>
          </w:p>
        </w:tc>
        <w:tc>
          <w:tcPr>
            <w:tcW w:w="1220" w:type="dxa"/>
            <w:vAlign w:val="bottom"/>
            <w:gridSpan w:val="2"/>
          </w:tcPr>
          <w:p>
            <w:pPr>
              <w:jc w:val="right"/>
              <w:ind w:right="101"/>
              <w:spacing w:after="0"/>
              <w:rPr>
                <w:sz w:val="20"/>
                <w:szCs w:val="20"/>
                <w:color w:val="auto"/>
              </w:rPr>
            </w:pPr>
            <w:r>
              <w:rPr>
                <w:rFonts w:ascii="Arial" w:cs="Arial" w:eastAsia="Arial" w:hAnsi="Arial"/>
                <w:sz w:val="20"/>
                <w:szCs w:val="20"/>
                <w:color w:val="auto"/>
              </w:rPr>
              <w:t>6</w:t>
            </w:r>
          </w:p>
        </w:tc>
        <w:tc>
          <w:tcPr>
            <w:tcW w:w="2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500</w:t>
            </w:r>
          </w:p>
        </w:tc>
        <w:tc>
          <w:tcPr>
            <w:tcW w:w="220" w:type="dxa"/>
            <w:vAlign w:val="bottom"/>
          </w:tcPr>
          <w:p>
            <w:pPr>
              <w:spacing w:after="0"/>
              <w:rPr>
                <w:sz w:val="22"/>
                <w:szCs w:val="22"/>
                <w:color w:val="auto"/>
              </w:rPr>
            </w:pPr>
          </w:p>
        </w:tc>
        <w:tc>
          <w:tcPr>
            <w:tcW w:w="1000" w:type="dxa"/>
            <w:vAlign w:val="bottom"/>
          </w:tcPr>
          <w:p>
            <w:pPr>
              <w:jc w:val="right"/>
              <w:ind w:right="101"/>
              <w:spacing w:after="0"/>
              <w:rPr>
                <w:sz w:val="20"/>
                <w:szCs w:val="20"/>
                <w:color w:val="auto"/>
              </w:rPr>
            </w:pPr>
            <w:r>
              <w:rPr>
                <w:rFonts w:ascii="Arial" w:cs="Arial" w:eastAsia="Arial" w:hAnsi="Arial"/>
                <w:sz w:val="20"/>
                <w:szCs w:val="20"/>
                <w:color w:val="auto"/>
              </w:rPr>
              <w:t>10</w:t>
            </w:r>
          </w:p>
        </w:tc>
      </w:tr>
      <w:tr>
        <w:trPr>
          <w:trHeight w:val="23"/>
        </w:trPr>
        <w:tc>
          <w:tcPr>
            <w:tcW w:w="6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84"/>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Wind</w:t>
            </w: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82</w:t>
            </w:r>
          </w:p>
        </w:tc>
        <w:tc>
          <w:tcPr>
            <w:tcW w:w="1220" w:type="dxa"/>
            <w:vAlign w:val="bottom"/>
            <w:tcBorders>
              <w:bottom w:val="single" w:sz="8" w:color="CCEEFF"/>
            </w:tcBorders>
            <w:gridSpan w:val="2"/>
            <w:shd w:val="clear" w:color="auto" w:fill="CCEEFF"/>
          </w:tcPr>
          <w:p>
            <w:pPr>
              <w:jc w:val="right"/>
              <w:ind w:right="101"/>
              <w:spacing w:after="0"/>
              <w:rPr>
                <w:sz w:val="20"/>
                <w:szCs w:val="20"/>
                <w:color w:val="auto"/>
              </w:rPr>
            </w:pPr>
            <w:r>
              <w:rPr>
                <w:rFonts w:ascii="Arial" w:cs="Arial" w:eastAsia="Arial" w:hAnsi="Arial"/>
                <w:sz w:val="20"/>
                <w:szCs w:val="20"/>
                <w:color w:val="auto"/>
              </w:rPr>
              <w:t>2</w:t>
            </w:r>
          </w:p>
        </w:tc>
        <w:tc>
          <w:tcPr>
            <w:tcW w:w="2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94</w:t>
            </w:r>
          </w:p>
        </w:tc>
        <w:tc>
          <w:tcPr>
            <w:tcW w:w="2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rPr>
              <w:t>2</w:t>
            </w:r>
          </w:p>
        </w:tc>
      </w:tr>
      <w:tr>
        <w:trPr>
          <w:trHeight w:val="254"/>
        </w:trPr>
        <w:tc>
          <w:tcPr>
            <w:tcW w:w="6280" w:type="dxa"/>
            <w:vAlign w:val="bottom"/>
          </w:tcPr>
          <w:p>
            <w:pPr>
              <w:ind w:left="720"/>
              <w:spacing w:after="0"/>
              <w:rPr>
                <w:sz w:val="20"/>
                <w:szCs w:val="20"/>
                <w:color w:val="auto"/>
              </w:rPr>
            </w:pPr>
            <w:r>
              <w:rPr>
                <w:rFonts w:ascii="Arial" w:cs="Arial" w:eastAsia="Arial" w:hAnsi="Arial"/>
                <w:sz w:val="20"/>
                <w:szCs w:val="20"/>
                <w:color w:val="auto"/>
              </w:rPr>
              <w:t>Total purchased power</w:t>
            </w:r>
          </w:p>
        </w:tc>
        <w:tc>
          <w:tcPr>
            <w:tcW w:w="122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2,320</w:t>
            </w:r>
          </w:p>
        </w:tc>
        <w:tc>
          <w:tcPr>
            <w:tcW w:w="220" w:type="dxa"/>
            <w:vAlign w:val="bottom"/>
          </w:tcPr>
          <w:p>
            <w:pPr>
              <w:spacing w:after="0"/>
              <w:rPr>
                <w:sz w:val="22"/>
                <w:szCs w:val="22"/>
                <w:color w:val="auto"/>
              </w:rPr>
            </w:pPr>
          </w:p>
        </w:tc>
        <w:tc>
          <w:tcPr>
            <w:tcW w:w="1000" w:type="dxa"/>
            <w:vAlign w:val="bottom"/>
            <w:tcBorders>
              <w:top w:val="single" w:sz="8" w:color="auto"/>
            </w:tcBorders>
          </w:tcPr>
          <w:p>
            <w:pPr>
              <w:jc w:val="right"/>
              <w:ind w:right="101"/>
              <w:spacing w:after="0"/>
              <w:rPr>
                <w:sz w:val="20"/>
                <w:szCs w:val="20"/>
                <w:color w:val="auto"/>
              </w:rPr>
            </w:pPr>
            <w:r>
              <w:rPr>
                <w:rFonts w:ascii="Arial" w:cs="Arial" w:eastAsia="Arial" w:hAnsi="Arial"/>
                <w:sz w:val="20"/>
                <w:szCs w:val="20"/>
                <w:color w:val="auto"/>
              </w:rPr>
              <w:t>47</w:t>
            </w:r>
          </w:p>
        </w:tc>
        <w:tc>
          <w:tcPr>
            <w:tcW w:w="220" w:type="dxa"/>
            <w:vAlign w:val="bottom"/>
          </w:tcPr>
          <w:p>
            <w:pPr>
              <w:spacing w:after="0"/>
              <w:rPr>
                <w:sz w:val="22"/>
                <w:szCs w:val="22"/>
                <w:color w:val="auto"/>
              </w:rPr>
            </w:pPr>
          </w:p>
        </w:tc>
        <w:tc>
          <w:tcPr>
            <w:tcW w:w="124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2,978</w:t>
            </w:r>
          </w:p>
        </w:tc>
        <w:tc>
          <w:tcPr>
            <w:tcW w:w="220" w:type="dxa"/>
            <w:vAlign w:val="bottom"/>
          </w:tcPr>
          <w:p>
            <w:pPr>
              <w:spacing w:after="0"/>
              <w:rPr>
                <w:sz w:val="22"/>
                <w:szCs w:val="22"/>
                <w:color w:val="auto"/>
              </w:rPr>
            </w:pPr>
          </w:p>
        </w:tc>
        <w:tc>
          <w:tcPr>
            <w:tcW w:w="1000" w:type="dxa"/>
            <w:vAlign w:val="bottom"/>
            <w:tcBorders>
              <w:top w:val="single" w:sz="8" w:color="auto"/>
            </w:tcBorders>
          </w:tcPr>
          <w:p>
            <w:pPr>
              <w:jc w:val="right"/>
              <w:ind w:right="101"/>
              <w:spacing w:after="0"/>
              <w:rPr>
                <w:sz w:val="20"/>
                <w:szCs w:val="20"/>
                <w:color w:val="auto"/>
              </w:rPr>
            </w:pPr>
            <w:r>
              <w:rPr>
                <w:rFonts w:ascii="Arial" w:cs="Arial" w:eastAsia="Arial" w:hAnsi="Arial"/>
                <w:sz w:val="20"/>
                <w:szCs w:val="20"/>
                <w:color w:val="auto"/>
              </w:rPr>
              <w:t>57</w:t>
            </w:r>
          </w:p>
        </w:tc>
      </w:tr>
      <w:tr>
        <w:trPr>
          <w:trHeight w:val="23"/>
        </w:trPr>
        <w:tc>
          <w:tcPr>
            <w:tcW w:w="62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312"/>
        </w:trPr>
        <w:tc>
          <w:tcPr>
            <w:tcW w:w="6280" w:type="dxa"/>
            <w:vAlign w:val="bottom"/>
            <w:shd w:val="clear" w:color="auto" w:fill="CCEEFF"/>
          </w:tcPr>
          <w:p>
            <w:pPr>
              <w:ind w:left="720"/>
              <w:spacing w:after="0"/>
              <w:rPr>
                <w:sz w:val="20"/>
                <w:szCs w:val="20"/>
                <w:color w:val="auto"/>
              </w:rPr>
            </w:pPr>
            <w:r>
              <w:rPr>
                <w:rFonts w:ascii="Arial" w:cs="Arial" w:eastAsia="Arial" w:hAnsi="Arial"/>
                <w:sz w:val="20"/>
                <w:szCs w:val="20"/>
                <w:color w:val="auto"/>
              </w:rPr>
              <w:t>Total system load</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4,916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5,235</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100%</w:t>
            </w:r>
          </w:p>
        </w:tc>
      </w:tr>
      <w:tr>
        <w:trPr>
          <w:trHeight w:val="246"/>
        </w:trPr>
        <w:tc>
          <w:tcPr>
            <w:tcW w:w="6280" w:type="dxa"/>
            <w:vAlign w:val="bottom"/>
            <w:tcBorders>
              <w:top w:val="single" w:sz="8" w:color="CCEEFF"/>
            </w:tcBorders>
          </w:tcPr>
          <w:p>
            <w:pPr>
              <w:ind w:left="40"/>
              <w:spacing w:after="0"/>
              <w:rPr>
                <w:sz w:val="20"/>
                <w:szCs w:val="20"/>
                <w:color w:val="auto"/>
              </w:rPr>
            </w:pPr>
            <w:r>
              <w:rPr>
                <w:rFonts w:ascii="Arial" w:cs="Arial" w:eastAsia="Arial" w:hAnsi="Arial"/>
                <w:sz w:val="20"/>
                <w:szCs w:val="20"/>
                <w:color w:val="auto"/>
              </w:rPr>
              <w:t>Less: wholesale sales</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(785)</w:t>
            </w:r>
          </w:p>
        </w:tc>
        <w:tc>
          <w:tcPr>
            <w:tcW w:w="220" w:type="dxa"/>
            <w:vAlign w:val="bottom"/>
            <w:tcBorders>
              <w:top w:val="single" w:sz="8" w:color="CCEEFF"/>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(1,041)</w:t>
            </w:r>
          </w:p>
        </w:tc>
        <w:tc>
          <w:tcPr>
            <w:tcW w:w="220" w:type="dxa"/>
            <w:vAlign w:val="bottom"/>
            <w:tcBorders>
              <w:top w:val="single" w:sz="8" w:color="CCEEFF"/>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r>
      <w:tr>
        <w:trPr>
          <w:trHeight w:val="23"/>
        </w:trPr>
        <w:tc>
          <w:tcPr>
            <w:tcW w:w="62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r>
      <w:tr>
        <w:trPr>
          <w:trHeight w:val="272"/>
        </w:trPr>
        <w:tc>
          <w:tcPr>
            <w:tcW w:w="62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Retail load requirement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4,131</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4,194</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r>
      <w:tr>
        <w:trPr>
          <w:trHeight w:val="20"/>
        </w:trPr>
        <w:tc>
          <w:tcPr>
            <w:tcW w:w="62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13" w:lineRule="exact"/>
        <w:rPr>
          <w:sz w:val="20"/>
          <w:szCs w:val="20"/>
          <w:color w:val="auto"/>
        </w:rPr>
      </w:pPr>
    </w:p>
    <w:p>
      <w:pPr>
        <w:ind w:right="180"/>
        <w:spacing w:after="0" w:line="269" w:lineRule="auto"/>
        <w:rPr>
          <w:sz w:val="20"/>
          <w:szCs w:val="20"/>
          <w:color w:val="auto"/>
        </w:rPr>
      </w:pPr>
      <w:r>
        <w:rPr>
          <w:rFonts w:ascii="Arial" w:cs="Arial" w:eastAsia="Arial" w:hAnsi="Arial"/>
          <w:sz w:val="19"/>
          <w:szCs w:val="19"/>
          <w:color w:val="auto"/>
        </w:rPr>
        <w:t>Energy received from PGE-owned wind generating resources decreased 1% in the three months ended June 30, 2019 compared with the same period of 2018 as a result of less favorable wind conditions. Energy received from these wind generating resources represented 15% of the Company’s retail load requirements for the three months ended June 30, 2019 and 2018.</w:t>
      </w:r>
    </w:p>
    <w:p>
      <w:pPr>
        <w:spacing w:after="0" w:line="184" w:lineRule="exact"/>
        <w:rPr>
          <w:sz w:val="20"/>
          <w:szCs w:val="20"/>
          <w:color w:val="auto"/>
        </w:rPr>
      </w:pPr>
    </w:p>
    <w:p>
      <w:pPr>
        <w:ind w:right="60"/>
        <w:spacing w:after="0" w:line="291" w:lineRule="auto"/>
        <w:rPr>
          <w:sz w:val="20"/>
          <w:szCs w:val="20"/>
          <w:color w:val="auto"/>
        </w:rPr>
      </w:pPr>
      <w:r>
        <w:rPr>
          <w:rFonts w:ascii="Arial" w:cs="Arial" w:eastAsia="Arial" w:hAnsi="Arial"/>
          <w:sz w:val="18"/>
          <w:szCs w:val="18"/>
          <w:color w:val="auto"/>
        </w:rPr>
        <w:t>Due to less favorable hydroelectric conditions, energy received from hydro resources during the three months ended June 30, 2019, from both PGE-owned generating plants and purchased from mid-Columbia projects in total, decreased 13% compared with the same period of 2018, and represented 19% and 21% of the Company’s retail load requirement for the three months ended June 30, 2019 and 2018, respectively.</w:t>
      </w:r>
    </w:p>
    <w:p>
      <w:pPr>
        <w:spacing w:after="0" w:line="165"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The following table presents the forecast April-to-September 2019 runoff, along with actual 2018, at particular points of major rivers relevant to PGE’s hydro resources: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4460" w:type="dxa"/>
            <w:vAlign w:val="bottom"/>
            <w:gridSpan w:val="3"/>
          </w:tcPr>
          <w:p>
            <w:pPr>
              <w:ind w:left="600"/>
              <w:spacing w:after="0"/>
              <w:rPr>
                <w:sz w:val="20"/>
                <w:szCs w:val="20"/>
                <w:color w:val="auto"/>
              </w:rPr>
            </w:pPr>
            <w:r>
              <w:rPr>
                <w:rFonts w:ascii="Arial" w:cs="Arial" w:eastAsia="Arial" w:hAnsi="Arial"/>
                <w:sz w:val="20"/>
                <w:szCs w:val="20"/>
                <w:b w:val="1"/>
                <w:bCs w:val="1"/>
                <w:color w:val="auto"/>
              </w:rPr>
              <w:t>Actual Runoff as a Percent of Normal*</w:t>
            </w:r>
          </w:p>
        </w:tc>
        <w:tc>
          <w:tcPr>
            <w:tcW w:w="0" w:type="dxa"/>
            <w:vAlign w:val="bottom"/>
          </w:tcPr>
          <w:p>
            <w:pPr>
              <w:spacing w:after="0"/>
              <w:rPr>
                <w:sz w:val="1"/>
                <w:szCs w:val="1"/>
                <w:color w:val="auto"/>
              </w:rPr>
            </w:pPr>
          </w:p>
        </w:tc>
      </w:tr>
      <w:tr>
        <w:trPr>
          <w:trHeight w:val="23"/>
        </w:trPr>
        <w:tc>
          <w:tcPr>
            <w:tcW w:w="3120" w:type="dxa"/>
            <w:vAlign w:val="bottom"/>
          </w:tcPr>
          <w:p>
            <w:pPr>
              <w:spacing w:after="0"/>
              <w:rPr>
                <w:sz w:val="2"/>
                <w:szCs w:val="2"/>
                <w:color w:val="auto"/>
              </w:rPr>
            </w:pPr>
          </w:p>
        </w:tc>
        <w:tc>
          <w:tcPr>
            <w:tcW w:w="384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Location</w:t>
            </w:r>
          </w:p>
        </w:tc>
        <w:tc>
          <w:tcPr>
            <w:tcW w:w="2340" w:type="dxa"/>
            <w:vAlign w:val="bottom"/>
            <w:tcBorders>
              <w:bottom w:val="single" w:sz="8" w:color="auto"/>
            </w:tcBorders>
            <w:gridSpan w:val="2"/>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120" w:type="dxa"/>
            <w:vAlign w:val="bottom"/>
          </w:tcPr>
          <w:p>
            <w:pPr>
              <w:spacing w:after="0"/>
              <w:rPr>
                <w:sz w:val="18"/>
                <w:szCs w:val="18"/>
                <w:color w:val="auto"/>
              </w:rPr>
            </w:pPr>
          </w:p>
        </w:tc>
        <w:tc>
          <w:tcPr>
            <w:tcW w:w="3840" w:type="dxa"/>
            <w:vAlign w:val="bottom"/>
            <w:gridSpan w:val="2"/>
            <w:vMerge w:val="continue"/>
          </w:tcPr>
          <w:p>
            <w:pPr>
              <w:spacing w:after="0"/>
              <w:rPr>
                <w:sz w:val="18"/>
                <w:szCs w:val="18"/>
                <w:color w:val="auto"/>
              </w:rPr>
            </w:pPr>
          </w:p>
        </w:tc>
        <w:tc>
          <w:tcPr>
            <w:tcW w:w="2340" w:type="dxa"/>
            <w:vAlign w:val="bottom"/>
            <w:gridSpan w:val="2"/>
          </w:tcPr>
          <w:p>
            <w:pPr>
              <w:ind w:left="480"/>
              <w:spacing w:after="0" w:line="209" w:lineRule="exact"/>
              <w:rPr>
                <w:sz w:val="20"/>
                <w:szCs w:val="20"/>
                <w:color w:val="auto"/>
              </w:rPr>
            </w:pPr>
            <w:r>
              <w:rPr>
                <w:rFonts w:ascii="Arial" w:cs="Arial" w:eastAsia="Arial" w:hAnsi="Arial"/>
                <w:sz w:val="20"/>
                <w:szCs w:val="20"/>
                <w:b w:val="1"/>
                <w:bCs w:val="1"/>
                <w:color w:val="auto"/>
              </w:rPr>
              <w:t>2019 Forecast</w:t>
            </w:r>
          </w:p>
        </w:tc>
        <w:tc>
          <w:tcPr>
            <w:tcW w:w="2120" w:type="dxa"/>
            <w:vAlign w:val="bottom"/>
          </w:tcPr>
          <w:p>
            <w:pPr>
              <w:ind w:left="560"/>
              <w:spacing w:after="0" w:line="209" w:lineRule="exact"/>
              <w:rPr>
                <w:sz w:val="20"/>
                <w:szCs w:val="20"/>
                <w:color w:val="auto"/>
              </w:rPr>
            </w:pPr>
            <w:r>
              <w:rPr>
                <w:rFonts w:ascii="Arial" w:cs="Arial" w:eastAsia="Arial" w:hAnsi="Arial"/>
                <w:sz w:val="20"/>
                <w:szCs w:val="20"/>
                <w:b w:val="1"/>
                <w:bCs w:val="1"/>
                <w:color w:val="auto"/>
              </w:rPr>
              <w:t>2018 Actual</w:t>
            </w:r>
          </w:p>
        </w:tc>
        <w:tc>
          <w:tcPr>
            <w:tcW w:w="0" w:type="dxa"/>
            <w:vAlign w:val="bottom"/>
          </w:tcPr>
          <w:p>
            <w:pPr>
              <w:spacing w:after="0"/>
              <w:rPr>
                <w:sz w:val="1"/>
                <w:szCs w:val="1"/>
                <w:color w:val="auto"/>
              </w:rPr>
            </w:pPr>
          </w:p>
        </w:tc>
      </w:tr>
      <w:tr>
        <w:trPr>
          <w:trHeight w:val="48"/>
        </w:trPr>
        <w:tc>
          <w:tcPr>
            <w:tcW w:w="3120" w:type="dxa"/>
            <w:vAlign w:val="bottom"/>
            <w:tcBorders>
              <w:bottom w:val="single" w:sz="8" w:color="CCEEFF"/>
            </w:tcBorders>
          </w:tcPr>
          <w:p>
            <w:pPr>
              <w:spacing w:after="0"/>
              <w:rPr>
                <w:sz w:val="4"/>
                <w:szCs w:val="4"/>
                <w:color w:val="auto"/>
              </w:rPr>
            </w:pPr>
          </w:p>
        </w:tc>
        <w:tc>
          <w:tcPr>
            <w:tcW w:w="740" w:type="dxa"/>
            <w:vAlign w:val="bottom"/>
            <w:tcBorders>
              <w:top w:val="single" w:sz="8" w:color="auto"/>
              <w:bottom w:val="single" w:sz="8" w:color="CCEEFF"/>
            </w:tcBorders>
          </w:tcPr>
          <w:p>
            <w:pPr>
              <w:spacing w:after="0"/>
              <w:rPr>
                <w:sz w:val="4"/>
                <w:szCs w:val="4"/>
                <w:color w:val="auto"/>
              </w:rPr>
            </w:pPr>
          </w:p>
        </w:tc>
        <w:tc>
          <w:tcPr>
            <w:tcW w:w="3100" w:type="dxa"/>
            <w:vAlign w:val="bottom"/>
            <w:tcBorders>
              <w:bottom w:val="single" w:sz="8" w:color="CCEEFF"/>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Columbia River at The Dalles, Oregon</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91%</w:t>
            </w:r>
          </w:p>
        </w:tc>
        <w:tc>
          <w:tcPr>
            <w:tcW w:w="22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ind w:left="1720"/>
              <w:spacing w:after="0"/>
              <w:rPr>
                <w:sz w:val="20"/>
                <w:szCs w:val="20"/>
                <w:color w:val="auto"/>
              </w:rPr>
            </w:pPr>
            <w:r>
              <w:rPr>
                <w:rFonts w:ascii="Arial" w:cs="Arial" w:eastAsia="Arial" w:hAnsi="Arial"/>
                <w:sz w:val="20"/>
                <w:szCs w:val="20"/>
                <w:color w:val="auto"/>
                <w:w w:val="94"/>
              </w:rPr>
              <w:t>98%</w:t>
            </w:r>
          </w:p>
        </w:tc>
        <w:tc>
          <w:tcPr>
            <w:tcW w:w="0" w:type="dxa"/>
            <w:vAlign w:val="bottom"/>
          </w:tcPr>
          <w:p>
            <w:pPr>
              <w:spacing w:after="0"/>
              <w:rPr>
                <w:sz w:val="1"/>
                <w:szCs w:val="1"/>
                <w:color w:val="auto"/>
              </w:rPr>
            </w:pPr>
          </w:p>
        </w:tc>
      </w:tr>
      <w:tr>
        <w:trPr>
          <w:trHeight w:val="261"/>
        </w:trPr>
        <w:tc>
          <w:tcPr>
            <w:tcW w:w="6960" w:type="dxa"/>
            <w:vAlign w:val="bottom"/>
            <w:gridSpan w:val="3"/>
          </w:tcPr>
          <w:p>
            <w:pPr>
              <w:ind w:left="40"/>
              <w:spacing w:after="0"/>
              <w:rPr>
                <w:sz w:val="20"/>
                <w:szCs w:val="20"/>
                <w:color w:val="auto"/>
              </w:rPr>
            </w:pPr>
            <w:r>
              <w:rPr>
                <w:rFonts w:ascii="Arial" w:cs="Arial" w:eastAsia="Arial" w:hAnsi="Arial"/>
                <w:sz w:val="20"/>
                <w:szCs w:val="20"/>
                <w:color w:val="auto"/>
              </w:rPr>
              <w:t>Mid-Columbia River at Grand Coulee, Washington</w:t>
            </w:r>
          </w:p>
        </w:tc>
        <w:tc>
          <w:tcPr>
            <w:tcW w:w="2120" w:type="dxa"/>
            <w:vAlign w:val="bottom"/>
          </w:tcPr>
          <w:p>
            <w:pPr>
              <w:jc w:val="right"/>
              <w:ind w:right="101"/>
              <w:spacing w:after="0"/>
              <w:rPr>
                <w:sz w:val="20"/>
                <w:szCs w:val="20"/>
                <w:color w:val="auto"/>
              </w:rPr>
            </w:pPr>
            <w:r>
              <w:rPr>
                <w:rFonts w:ascii="Arial" w:cs="Arial" w:eastAsia="Arial" w:hAnsi="Arial"/>
                <w:sz w:val="20"/>
                <w:szCs w:val="20"/>
                <w:color w:val="auto"/>
              </w:rPr>
              <w:t>82</w:t>
            </w:r>
          </w:p>
        </w:tc>
        <w:tc>
          <w:tcPr>
            <w:tcW w:w="220" w:type="dxa"/>
            <w:vAlign w:val="bottom"/>
          </w:tcPr>
          <w:p>
            <w:pPr>
              <w:spacing w:after="0"/>
              <w:rPr>
                <w:sz w:val="22"/>
                <w:szCs w:val="22"/>
                <w:color w:val="auto"/>
              </w:rPr>
            </w:pPr>
          </w:p>
        </w:tc>
        <w:tc>
          <w:tcPr>
            <w:tcW w:w="2120" w:type="dxa"/>
            <w:vAlign w:val="bottom"/>
          </w:tcPr>
          <w:p>
            <w:pPr>
              <w:ind w:left="1720"/>
              <w:spacing w:after="0"/>
              <w:rPr>
                <w:sz w:val="20"/>
                <w:szCs w:val="20"/>
                <w:color w:val="auto"/>
              </w:rPr>
            </w:pPr>
            <w:r>
              <w:rPr>
                <w:rFonts w:ascii="Arial" w:cs="Arial" w:eastAsia="Arial" w:hAnsi="Arial"/>
                <w:sz w:val="20"/>
                <w:szCs w:val="20"/>
                <w:color w:val="auto"/>
              </w:rPr>
              <w:t>99</w:t>
            </w:r>
          </w:p>
        </w:tc>
        <w:tc>
          <w:tcPr>
            <w:tcW w:w="0" w:type="dxa"/>
            <w:vAlign w:val="bottom"/>
          </w:tcPr>
          <w:p>
            <w:pPr>
              <w:spacing w:after="0"/>
              <w:rPr>
                <w:sz w:val="1"/>
                <w:szCs w:val="1"/>
                <w:color w:val="auto"/>
              </w:rPr>
            </w:pPr>
          </w:p>
        </w:tc>
      </w:tr>
      <w:tr>
        <w:trPr>
          <w:trHeight w:val="23"/>
        </w:trPr>
        <w:tc>
          <w:tcPr>
            <w:tcW w:w="3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Clackamas River at Estacada, Oregon</w:t>
            </w:r>
          </w:p>
        </w:tc>
        <w:tc>
          <w:tcPr>
            <w:tcW w:w="21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rPr>
              <w:t>112</w:t>
            </w:r>
          </w:p>
        </w:tc>
        <w:tc>
          <w:tcPr>
            <w:tcW w:w="22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ind w:left="1720"/>
              <w:spacing w:after="0"/>
              <w:rPr>
                <w:sz w:val="20"/>
                <w:szCs w:val="20"/>
                <w:color w:val="auto"/>
              </w:rPr>
            </w:pPr>
            <w:r>
              <w:rPr>
                <w:rFonts w:ascii="Arial" w:cs="Arial" w:eastAsia="Arial" w:hAnsi="Arial"/>
                <w:sz w:val="20"/>
                <w:szCs w:val="20"/>
                <w:color w:val="auto"/>
              </w:rPr>
              <w:t>97</w:t>
            </w:r>
          </w:p>
        </w:tc>
        <w:tc>
          <w:tcPr>
            <w:tcW w:w="0" w:type="dxa"/>
            <w:vAlign w:val="bottom"/>
          </w:tcPr>
          <w:p>
            <w:pPr>
              <w:spacing w:after="0"/>
              <w:rPr>
                <w:sz w:val="1"/>
                <w:szCs w:val="1"/>
                <w:color w:val="auto"/>
              </w:rPr>
            </w:pPr>
          </w:p>
        </w:tc>
      </w:tr>
      <w:tr>
        <w:trPr>
          <w:trHeight w:val="261"/>
        </w:trPr>
        <w:tc>
          <w:tcPr>
            <w:tcW w:w="6960" w:type="dxa"/>
            <w:vAlign w:val="bottom"/>
            <w:gridSpan w:val="3"/>
          </w:tcPr>
          <w:p>
            <w:pPr>
              <w:ind w:left="40"/>
              <w:spacing w:after="0"/>
              <w:rPr>
                <w:sz w:val="20"/>
                <w:szCs w:val="20"/>
                <w:color w:val="auto"/>
              </w:rPr>
            </w:pPr>
            <w:r>
              <w:rPr>
                <w:rFonts w:ascii="Arial" w:cs="Arial" w:eastAsia="Arial" w:hAnsi="Arial"/>
                <w:sz w:val="20"/>
                <w:szCs w:val="20"/>
                <w:color w:val="auto"/>
              </w:rPr>
              <w:t>Deschutes River at Moody, Oregon</w:t>
            </w:r>
          </w:p>
        </w:tc>
        <w:tc>
          <w:tcPr>
            <w:tcW w:w="2120" w:type="dxa"/>
            <w:vAlign w:val="bottom"/>
          </w:tcPr>
          <w:p>
            <w:pPr>
              <w:jc w:val="right"/>
              <w:ind w:right="101"/>
              <w:spacing w:after="0"/>
              <w:rPr>
                <w:sz w:val="20"/>
                <w:szCs w:val="20"/>
                <w:color w:val="auto"/>
              </w:rPr>
            </w:pPr>
            <w:r>
              <w:rPr>
                <w:rFonts w:ascii="Arial" w:cs="Arial" w:eastAsia="Arial" w:hAnsi="Arial"/>
                <w:sz w:val="20"/>
                <w:szCs w:val="20"/>
                <w:color w:val="auto"/>
              </w:rPr>
              <w:t>111</w:t>
            </w:r>
          </w:p>
        </w:tc>
        <w:tc>
          <w:tcPr>
            <w:tcW w:w="220" w:type="dxa"/>
            <w:vAlign w:val="bottom"/>
          </w:tcPr>
          <w:p>
            <w:pPr>
              <w:spacing w:after="0"/>
              <w:rPr>
                <w:sz w:val="22"/>
                <w:szCs w:val="22"/>
                <w:color w:val="auto"/>
              </w:rPr>
            </w:pPr>
          </w:p>
        </w:tc>
        <w:tc>
          <w:tcPr>
            <w:tcW w:w="2120" w:type="dxa"/>
            <w:vAlign w:val="bottom"/>
          </w:tcPr>
          <w:p>
            <w:pPr>
              <w:ind w:left="1720"/>
              <w:spacing w:after="0"/>
              <w:rPr>
                <w:sz w:val="20"/>
                <w:szCs w:val="20"/>
                <w:color w:val="auto"/>
              </w:rPr>
            </w:pPr>
            <w:r>
              <w:rPr>
                <w:rFonts w:ascii="Arial" w:cs="Arial" w:eastAsia="Arial" w:hAnsi="Arial"/>
                <w:sz w:val="20"/>
                <w:szCs w:val="20"/>
                <w:color w:val="auto"/>
              </w:rPr>
              <w:t>96</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80" w:right="740" w:hanging="172"/>
        <w:spacing w:after="0" w:line="277" w:lineRule="auto"/>
        <w:tabs>
          <w:tab w:leader="none" w:pos="15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Volumetric water supply forecasts and historical averages for the Pacific Northwest region are prepared by the Northwest River Forecast Center in conjunction with the Natural Resources Conservation Service and other cooperating agencies.</w:t>
      </w:r>
    </w:p>
    <w:p>
      <w:pPr>
        <w:spacing w:after="0" w:line="162" w:lineRule="exact"/>
        <w:rPr>
          <w:sz w:val="20"/>
          <w:szCs w:val="20"/>
          <w:color w:val="auto"/>
        </w:rPr>
      </w:pPr>
    </w:p>
    <w:p>
      <w:pPr>
        <w:ind w:right="100"/>
        <w:spacing w:after="0" w:line="248" w:lineRule="auto"/>
        <w:rPr>
          <w:sz w:val="20"/>
          <w:szCs w:val="20"/>
          <w:color w:val="auto"/>
        </w:rPr>
      </w:pPr>
      <w:r>
        <w:rPr>
          <w:rFonts w:ascii="Arial" w:cs="Arial" w:eastAsia="Arial" w:hAnsi="Arial"/>
          <w:sz w:val="20"/>
          <w:szCs w:val="20"/>
          <w:b w:val="1"/>
          <w:bCs w:val="1"/>
          <w:color w:val="auto"/>
        </w:rPr>
        <w:t xml:space="preserve">Actual NVPC </w:t>
      </w:r>
      <w:r>
        <w:rPr>
          <w:rFonts w:ascii="Arial" w:cs="Arial" w:eastAsia="Arial" w:hAnsi="Arial"/>
          <w:sz w:val="20"/>
          <w:szCs w:val="20"/>
          <w:color w:val="auto"/>
        </w:rPr>
        <w:t>for the three months ended June 30, 2019 increased $9 million when compared with the three months ended June 30, 2018. The</w:t>
      </w:r>
      <w:r>
        <w:rPr>
          <w:rFonts w:ascii="Arial" w:cs="Arial" w:eastAsia="Arial" w:hAnsi="Arial"/>
          <w:sz w:val="20"/>
          <w:szCs w:val="20"/>
          <w:b w:val="1"/>
          <w:bCs w:val="1"/>
          <w:color w:val="auto"/>
        </w:rPr>
        <w:t xml:space="preserve"> </w:t>
      </w:r>
      <w:r>
        <w:rPr>
          <w:rFonts w:ascii="Arial" w:cs="Arial" w:eastAsia="Arial" w:hAnsi="Arial"/>
          <w:sz w:val="20"/>
          <w:szCs w:val="20"/>
          <w:color w:val="auto"/>
        </w:rPr>
        <w:t>increase was primarily driven by a 33% decrease in wholesale revenue. The decrease in wholesale revenues was driven by a 25% decrease in the wholesale volume. For the three months ended June 30, 2019, actual NVPC was $6 million below the baseline. For the three months ended June 30, 2018, actual NVPC was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color w:val="auto"/>
        </w:rPr>
        <w:t>$16 million below baseline NVPC. For additional information, see “</w:t>
      </w:r>
      <w:r>
        <w:rPr>
          <w:rFonts w:ascii="Arial" w:cs="Arial" w:eastAsia="Arial" w:hAnsi="Arial"/>
          <w:sz w:val="20"/>
          <w:szCs w:val="20"/>
          <w:i w:val="1"/>
          <w:iCs w:val="1"/>
          <w:color w:val="auto"/>
        </w:rPr>
        <w:t>Purchased power and fuel”</w:t>
      </w:r>
      <w:r>
        <w:rPr>
          <w:rFonts w:ascii="Arial" w:cs="Arial" w:eastAsia="Arial" w:hAnsi="Arial"/>
          <w:sz w:val="20"/>
          <w:szCs w:val="20"/>
          <w:color w:val="auto"/>
        </w:rPr>
        <w:t xml:space="preserve"> section of this Item 2.</w:t>
      </w:r>
    </w:p>
    <w:p>
      <w:pPr>
        <w:spacing w:after="0" w:line="223" w:lineRule="exact"/>
        <w:rPr>
          <w:sz w:val="20"/>
          <w:szCs w:val="20"/>
          <w:color w:val="auto"/>
        </w:rPr>
      </w:pPr>
    </w:p>
    <w:p>
      <w:pPr>
        <w:ind w:right="100"/>
        <w:spacing w:after="0" w:line="266" w:lineRule="auto"/>
        <w:rPr>
          <w:sz w:val="20"/>
          <w:szCs w:val="20"/>
          <w:color w:val="auto"/>
        </w:rPr>
      </w:pPr>
      <w:r>
        <w:rPr>
          <w:rFonts w:ascii="Arial" w:cs="Arial" w:eastAsia="Arial" w:hAnsi="Arial"/>
          <w:sz w:val="19"/>
          <w:szCs w:val="19"/>
          <w:b w:val="1"/>
          <w:bCs w:val="1"/>
          <w:color w:val="auto"/>
        </w:rPr>
        <w:t xml:space="preserve">Generation, transmission and distribution </w:t>
      </w:r>
      <w:r>
        <w:rPr>
          <w:rFonts w:ascii="Arial" w:cs="Arial" w:eastAsia="Arial" w:hAnsi="Arial"/>
          <w:sz w:val="19"/>
          <w:szCs w:val="19"/>
          <w:color w:val="auto"/>
        </w:rPr>
        <w:t>expense increased $15 million, or 21%, in the three months ended June 30, 2019 compared with</w:t>
      </w:r>
      <w:r>
        <w:rPr>
          <w:rFonts w:ascii="Arial" w:cs="Arial" w:eastAsia="Arial" w:hAnsi="Arial"/>
          <w:sz w:val="19"/>
          <w:szCs w:val="19"/>
          <w:b w:val="1"/>
          <w:bCs w:val="1"/>
          <w:color w:val="auto"/>
        </w:rPr>
        <w:t xml:space="preserve"> </w:t>
      </w:r>
      <w:r>
        <w:rPr>
          <w:rFonts w:ascii="Arial" w:cs="Arial" w:eastAsia="Arial" w:hAnsi="Arial"/>
          <w:sz w:val="19"/>
          <w:szCs w:val="19"/>
          <w:color w:val="auto"/>
        </w:rPr>
        <w:t>the three months ended June 30, 2018, driven by $6 million higher distribution expenses for vegetation management and preventative maintenance, $3 million higher expense due to early termination of a long-term services agreement (offset in revenues), $3 million higher maintenance costs across all PGE plants and $3 million higher miscellaneous expenses.</w:t>
      </w:r>
    </w:p>
    <w:p>
      <w:pPr>
        <w:spacing w:after="0" w:line="179"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b w:val="1"/>
          <w:bCs w:val="1"/>
          <w:color w:val="auto"/>
        </w:rPr>
        <w:t xml:space="preserve">Administrative and other </w:t>
      </w:r>
      <w:r>
        <w:rPr>
          <w:rFonts w:ascii="Arial" w:cs="Arial" w:eastAsia="Arial" w:hAnsi="Arial"/>
          <w:sz w:val="20"/>
          <w:szCs w:val="20"/>
          <w:color w:val="auto"/>
        </w:rPr>
        <w:t>expense increased $8 million, or 11%, in the three months ended June 30, 2019 compared with the three months</w:t>
      </w:r>
      <w:r>
        <w:rPr>
          <w:rFonts w:ascii="Arial" w:cs="Arial" w:eastAsia="Arial" w:hAnsi="Arial"/>
          <w:sz w:val="20"/>
          <w:szCs w:val="20"/>
          <w:b w:val="1"/>
          <w:bCs w:val="1"/>
          <w:color w:val="auto"/>
        </w:rPr>
        <w:t xml:space="preserve"> </w:t>
      </w:r>
      <w:r>
        <w:rPr>
          <w:rFonts w:ascii="Arial" w:cs="Arial" w:eastAsia="Arial" w:hAnsi="Arial"/>
          <w:sz w:val="20"/>
          <w:szCs w:val="20"/>
          <w:color w:val="auto"/>
        </w:rPr>
        <w:t>ended June 30, 2018. The increase was primarily due to $4 million higher employee benefit expense driven by increased headcount and higher medical premiums, $2 million higher information technology expense, $4 million higher miscellaneous expense, partially offset by $2 million lower legal fees due to the settlement of litigation in 2018.</w:t>
      </w:r>
    </w:p>
    <w:p>
      <w:pPr>
        <w:spacing w:after="0" w:line="184" w:lineRule="exact"/>
        <w:rPr>
          <w:sz w:val="20"/>
          <w:szCs w:val="20"/>
          <w:color w:val="auto"/>
        </w:rPr>
      </w:pPr>
    </w:p>
    <w:p>
      <w:pPr>
        <w:spacing w:after="0" w:line="323" w:lineRule="auto"/>
        <w:rPr>
          <w:sz w:val="20"/>
          <w:szCs w:val="20"/>
          <w:color w:val="auto"/>
        </w:rPr>
      </w:pPr>
      <w:r>
        <w:rPr>
          <w:rFonts w:ascii="Arial" w:cs="Arial" w:eastAsia="Arial" w:hAnsi="Arial"/>
          <w:sz w:val="18"/>
          <w:szCs w:val="18"/>
          <w:b w:val="1"/>
          <w:bCs w:val="1"/>
          <w:color w:val="auto"/>
        </w:rPr>
        <w:t xml:space="preserve">Depreciation and amortization </w:t>
      </w:r>
      <w:r>
        <w:rPr>
          <w:rFonts w:ascii="Arial" w:cs="Arial" w:eastAsia="Arial" w:hAnsi="Arial"/>
          <w:sz w:val="18"/>
          <w:szCs w:val="18"/>
          <w:color w:val="auto"/>
        </w:rPr>
        <w:t>expense increased $8 million in the three months ended June 30, 2019 compared with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June 30, 2018. The increase was driven by higher depreciation and amortization expense of $6 million resulting from capital additions.</w:t>
      </w:r>
    </w:p>
    <w:p>
      <w:pPr>
        <w:spacing w:after="0" w:line="132" w:lineRule="exact"/>
        <w:rPr>
          <w:sz w:val="20"/>
          <w:szCs w:val="20"/>
          <w:color w:val="auto"/>
        </w:rPr>
      </w:pPr>
    </w:p>
    <w:p>
      <w:pPr>
        <w:ind w:right="400"/>
        <w:spacing w:after="0" w:line="253" w:lineRule="auto"/>
        <w:rPr>
          <w:sz w:val="20"/>
          <w:szCs w:val="20"/>
          <w:color w:val="auto"/>
        </w:rPr>
      </w:pPr>
      <w:r>
        <w:rPr>
          <w:rFonts w:ascii="Arial" w:cs="Arial" w:eastAsia="Arial" w:hAnsi="Arial"/>
          <w:sz w:val="20"/>
          <w:szCs w:val="20"/>
          <w:b w:val="1"/>
          <w:bCs w:val="1"/>
          <w:color w:val="auto"/>
        </w:rPr>
        <w:t xml:space="preserve">Income tax expense </w:t>
      </w:r>
      <w:r>
        <w:rPr>
          <w:rFonts w:ascii="Arial" w:cs="Arial" w:eastAsia="Arial" w:hAnsi="Arial"/>
          <w:sz w:val="20"/>
          <w:szCs w:val="20"/>
          <w:color w:val="auto"/>
        </w:rPr>
        <w:t>decreased $3 million in the three months ended June 30, 2019 compared with the three months ended June 30, 2018,</w:t>
      </w:r>
      <w:r>
        <w:rPr>
          <w:rFonts w:ascii="Arial" w:cs="Arial" w:eastAsia="Arial" w:hAnsi="Arial"/>
          <w:sz w:val="20"/>
          <w:szCs w:val="20"/>
          <w:b w:val="1"/>
          <w:bCs w:val="1"/>
          <w:color w:val="auto"/>
        </w:rPr>
        <w:t xml:space="preserve"> </w:t>
      </w:r>
      <w:r>
        <w:rPr>
          <w:rFonts w:ascii="Arial" w:cs="Arial" w:eastAsia="Arial" w:hAnsi="Arial"/>
          <w:sz w:val="20"/>
          <w:szCs w:val="20"/>
          <w:color w:val="auto"/>
        </w:rPr>
        <w:t>reflecting effective tax rates of 10.7% and 11.5%, respectively. The decrease in income tax expense was driven by lower pre-tax income partially offset by a decrease in PTCs.</w:t>
      </w:r>
    </w:p>
    <w:p>
      <w:pPr>
        <w:spacing w:after="0" w:line="200" w:lineRule="exact"/>
        <w:rPr>
          <w:sz w:val="20"/>
          <w:szCs w:val="20"/>
          <w:color w:val="auto"/>
        </w:rPr>
      </w:pP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20"/>
          </w:cols>
          <w:pgMar w:left="240" w:top="122" w:right="339" w:bottom="1440" w:gutter="0" w:footer="0" w:header="0"/>
        </w:sectPr>
      </w:pPr>
    </w:p>
    <w:bookmarkStart w:id="52" w:name="page53"/>
    <w:bookmarkEnd w:id="52"/>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Six Months Ended June 30, 2019 Compared with the Six Months Ended June 30, 2018</w:t>
      </w:r>
    </w:p>
    <w:p>
      <w:pPr>
        <w:spacing w:after="0" w:line="216" w:lineRule="exact"/>
        <w:rPr>
          <w:sz w:val="20"/>
          <w:szCs w:val="20"/>
          <w:color w:val="auto"/>
        </w:rPr>
      </w:pPr>
    </w:p>
    <w:p>
      <w:pPr>
        <w:ind w:right="860"/>
        <w:spacing w:after="0" w:line="267" w:lineRule="auto"/>
        <w:rPr>
          <w:sz w:val="20"/>
          <w:szCs w:val="20"/>
          <w:color w:val="auto"/>
        </w:rPr>
      </w:pPr>
      <w:r>
        <w:rPr>
          <w:rFonts w:ascii="Arial" w:cs="Arial" w:eastAsia="Arial" w:hAnsi="Arial"/>
          <w:sz w:val="20"/>
          <w:szCs w:val="20"/>
          <w:b w:val="1"/>
          <w:bCs w:val="1"/>
          <w:color w:val="auto"/>
        </w:rPr>
        <w:t>Revenues</w:t>
      </w:r>
      <w:r>
        <w:rPr>
          <w:rFonts w:ascii="Arial" w:cs="Arial" w:eastAsia="Arial" w:hAnsi="Arial"/>
          <w:sz w:val="20"/>
          <w:szCs w:val="20"/>
          <w:color w:val="auto"/>
        </w:rPr>
        <w:t>, energy deliveries (presented in MWh), and the average number of retail customers consist of the following for the periods</w:t>
      </w:r>
      <w:r>
        <w:rPr>
          <w:rFonts w:ascii="Arial" w:cs="Arial" w:eastAsia="Arial" w:hAnsi="Arial"/>
          <w:sz w:val="20"/>
          <w:szCs w:val="20"/>
          <w:b w:val="1"/>
          <w:bCs w:val="1"/>
          <w:color w:val="auto"/>
        </w:rPr>
        <w:t xml:space="preserve"> </w:t>
      </w:r>
      <w:r>
        <w:rPr>
          <w:rFonts w:ascii="Arial" w:cs="Arial" w:eastAsia="Arial" w:hAnsi="Arial"/>
          <w:sz w:val="20"/>
          <w:szCs w:val="20"/>
          <w:color w:val="auto"/>
        </w:rPr>
        <w:t>presented: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80" w:type="dxa"/>
            <w:vAlign w:val="bottom"/>
            <w:gridSpan w:val="4"/>
          </w:tcPr>
          <w:p>
            <w:pPr>
              <w:jc w:val="right"/>
              <w:ind w:right="121"/>
              <w:spacing w:after="0"/>
              <w:rPr>
                <w:sz w:val="20"/>
                <w:szCs w:val="20"/>
                <w:color w:val="auto"/>
              </w:rPr>
            </w:pPr>
            <w:r>
              <w:rPr>
                <w:rFonts w:ascii="Arial" w:cs="Arial" w:eastAsia="Arial" w:hAnsi="Arial"/>
                <w:sz w:val="20"/>
                <w:szCs w:val="20"/>
                <w:b w:val="1"/>
                <w:bCs w:val="1"/>
                <w:color w:val="auto"/>
                <w:w w:val="94"/>
              </w:rPr>
              <w:t>Six Months Ended June 30,</w:t>
            </w:r>
          </w:p>
        </w:tc>
        <w:tc>
          <w:tcPr>
            <w:tcW w:w="3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3"/>
        </w:trPr>
        <w:tc>
          <w:tcPr>
            <w:tcW w:w="5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r>
      <w:tr>
        <w:trPr>
          <w:trHeight w:val="254"/>
        </w:trPr>
        <w:tc>
          <w:tcPr>
            <w:tcW w:w="5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00" w:type="dxa"/>
            <w:vAlign w:val="bottom"/>
            <w:gridSpan w:val="3"/>
          </w:tcPr>
          <w:p>
            <w:pPr>
              <w:jc w:val="right"/>
              <w:ind w:right="160"/>
              <w:spacing w:after="0"/>
              <w:rPr>
                <w:sz w:val="20"/>
                <w:szCs w:val="20"/>
                <w:color w:val="auto"/>
              </w:rPr>
            </w:pPr>
            <w:r>
              <w:rPr>
                <w:rFonts w:ascii="Arial" w:cs="Arial" w:eastAsia="Arial" w:hAnsi="Arial"/>
                <w:sz w:val="20"/>
                <w:szCs w:val="20"/>
                <w:b w:val="1"/>
                <w:bCs w:val="1"/>
                <w:color w:val="auto"/>
              </w:rPr>
              <w:t>2019</w:t>
            </w:r>
          </w:p>
        </w:tc>
        <w:tc>
          <w:tcPr>
            <w:tcW w:w="1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700" w:type="dxa"/>
            <w:vAlign w:val="bottom"/>
            <w:gridSpan w:val="2"/>
          </w:tcPr>
          <w:p>
            <w:pPr>
              <w:jc w:val="right"/>
              <w:ind w:right="1161"/>
              <w:spacing w:after="0"/>
              <w:rPr>
                <w:sz w:val="20"/>
                <w:szCs w:val="20"/>
                <w:color w:val="auto"/>
              </w:rPr>
            </w:pPr>
            <w:r>
              <w:rPr>
                <w:rFonts w:ascii="Arial" w:cs="Arial" w:eastAsia="Arial" w:hAnsi="Arial"/>
                <w:sz w:val="20"/>
                <w:szCs w:val="20"/>
                <w:b w:val="1"/>
                <w:bCs w:val="1"/>
                <w:color w:val="auto"/>
                <w:w w:val="94"/>
              </w:rPr>
              <w:t>2018</w:t>
            </w:r>
          </w:p>
        </w:tc>
      </w:tr>
      <w:tr>
        <w:trPr>
          <w:trHeight w:val="23"/>
        </w:trPr>
        <w:tc>
          <w:tcPr>
            <w:tcW w:w="5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b w:val="1"/>
                <w:bCs w:val="1"/>
                <w:color w:val="auto"/>
              </w:rPr>
              <w:t>Revenues (dollars in millions):</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61"/>
        </w:trPr>
        <w:tc>
          <w:tcPr>
            <w:tcW w:w="5220" w:type="dxa"/>
            <w:vAlign w:val="bottom"/>
          </w:tcPr>
          <w:p>
            <w:pPr>
              <w:ind w:left="40"/>
              <w:spacing w:after="0"/>
              <w:rPr>
                <w:sz w:val="20"/>
                <w:szCs w:val="20"/>
                <w:color w:val="auto"/>
              </w:rPr>
            </w:pPr>
            <w:r>
              <w:rPr>
                <w:rFonts w:ascii="Arial" w:cs="Arial" w:eastAsia="Arial" w:hAnsi="Arial"/>
                <w:sz w:val="20"/>
                <w:szCs w:val="20"/>
                <w:color w:val="auto"/>
              </w:rPr>
              <w:t>Retail:</w:t>
            </w: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3"/>
        </w:trPr>
        <w:tc>
          <w:tcPr>
            <w:tcW w:w="5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4"/>
        </w:trPr>
        <w:tc>
          <w:tcPr>
            <w:tcW w:w="5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Residential</w:t>
            </w:r>
          </w:p>
        </w:tc>
        <w:tc>
          <w:tcPr>
            <w:tcW w:w="3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495</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48%</w:t>
            </w:r>
          </w:p>
        </w:tc>
        <w:tc>
          <w:tcPr>
            <w:tcW w:w="3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475</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51 %</w:t>
            </w:r>
          </w:p>
        </w:tc>
      </w:tr>
      <w:tr>
        <w:trPr>
          <w:trHeight w:val="261"/>
        </w:trPr>
        <w:tc>
          <w:tcPr>
            <w:tcW w:w="5220" w:type="dxa"/>
            <w:vAlign w:val="bottom"/>
          </w:tcPr>
          <w:p>
            <w:pPr>
              <w:ind w:left="280"/>
              <w:spacing w:after="0"/>
              <w:rPr>
                <w:sz w:val="20"/>
                <w:szCs w:val="20"/>
                <w:color w:val="auto"/>
              </w:rPr>
            </w:pPr>
            <w:r>
              <w:rPr>
                <w:rFonts w:ascii="Arial" w:cs="Arial" w:eastAsia="Arial" w:hAnsi="Arial"/>
                <w:sz w:val="20"/>
                <w:szCs w:val="20"/>
                <w:color w:val="auto"/>
              </w:rPr>
              <w:t>Commercial</w:t>
            </w:r>
          </w:p>
        </w:tc>
        <w:tc>
          <w:tcPr>
            <w:tcW w:w="32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312</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ind w:right="101"/>
              <w:spacing w:after="0"/>
              <w:rPr>
                <w:sz w:val="20"/>
                <w:szCs w:val="20"/>
                <w:color w:val="auto"/>
              </w:rPr>
            </w:pPr>
            <w:r>
              <w:rPr>
                <w:rFonts w:ascii="Arial" w:cs="Arial" w:eastAsia="Arial" w:hAnsi="Arial"/>
                <w:sz w:val="20"/>
                <w:szCs w:val="20"/>
                <w:color w:val="auto"/>
              </w:rPr>
              <w:t>30</w:t>
            </w: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313</w:t>
            </w:r>
          </w:p>
        </w:tc>
        <w:tc>
          <w:tcPr>
            <w:tcW w:w="1700" w:type="dxa"/>
            <w:vAlign w:val="bottom"/>
            <w:gridSpan w:val="2"/>
          </w:tcPr>
          <w:p>
            <w:pPr>
              <w:jc w:val="right"/>
              <w:ind w:right="141"/>
              <w:spacing w:after="0"/>
              <w:rPr>
                <w:sz w:val="20"/>
                <w:szCs w:val="20"/>
                <w:color w:val="auto"/>
              </w:rPr>
            </w:pPr>
            <w:r>
              <w:rPr>
                <w:rFonts w:ascii="Arial" w:cs="Arial" w:eastAsia="Arial" w:hAnsi="Arial"/>
                <w:sz w:val="20"/>
                <w:szCs w:val="20"/>
                <w:color w:val="auto"/>
              </w:rPr>
              <w:t>33</w:t>
            </w:r>
          </w:p>
        </w:tc>
      </w:tr>
      <w:tr>
        <w:trPr>
          <w:trHeight w:val="23"/>
        </w:trPr>
        <w:tc>
          <w:tcPr>
            <w:tcW w:w="5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4"/>
        </w:trPr>
        <w:tc>
          <w:tcPr>
            <w:tcW w:w="5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Industrial</w:t>
            </w: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94</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rPr>
              <w:t>9</w:t>
            </w:r>
          </w:p>
        </w:tc>
        <w:tc>
          <w:tcPr>
            <w:tcW w:w="3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83</w:t>
            </w:r>
          </w:p>
        </w:tc>
        <w:tc>
          <w:tcPr>
            <w:tcW w:w="170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Arial" w:cs="Arial" w:eastAsia="Arial" w:hAnsi="Arial"/>
                <w:sz w:val="20"/>
                <w:szCs w:val="20"/>
                <w:color w:val="auto"/>
              </w:rPr>
              <w:t>9</w:t>
            </w:r>
          </w:p>
        </w:tc>
      </w:tr>
      <w:tr>
        <w:trPr>
          <w:trHeight w:val="261"/>
        </w:trPr>
        <w:tc>
          <w:tcPr>
            <w:tcW w:w="5220" w:type="dxa"/>
            <w:vAlign w:val="bottom"/>
          </w:tcPr>
          <w:p>
            <w:pPr>
              <w:ind w:left="280"/>
              <w:spacing w:after="0"/>
              <w:rPr>
                <w:sz w:val="20"/>
                <w:szCs w:val="20"/>
                <w:color w:val="auto"/>
              </w:rPr>
            </w:pPr>
            <w:r>
              <w:rPr>
                <w:rFonts w:ascii="Arial" w:cs="Arial" w:eastAsia="Arial" w:hAnsi="Arial"/>
                <w:sz w:val="20"/>
                <w:szCs w:val="20"/>
                <w:color w:val="auto"/>
              </w:rPr>
              <w:t>Direct Access</w:t>
            </w:r>
          </w:p>
        </w:tc>
        <w:tc>
          <w:tcPr>
            <w:tcW w:w="32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21</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ind w:right="101"/>
              <w:spacing w:after="0"/>
              <w:rPr>
                <w:sz w:val="20"/>
                <w:szCs w:val="20"/>
                <w:color w:val="auto"/>
              </w:rPr>
            </w:pPr>
            <w:r>
              <w:rPr>
                <w:rFonts w:ascii="Arial" w:cs="Arial" w:eastAsia="Arial" w:hAnsi="Arial"/>
                <w:sz w:val="20"/>
                <w:szCs w:val="20"/>
                <w:color w:val="auto"/>
              </w:rPr>
              <w:t>2</w:t>
            </w: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23</w:t>
            </w:r>
          </w:p>
        </w:tc>
        <w:tc>
          <w:tcPr>
            <w:tcW w:w="1700" w:type="dxa"/>
            <w:vAlign w:val="bottom"/>
            <w:gridSpan w:val="2"/>
          </w:tcPr>
          <w:p>
            <w:pPr>
              <w:jc w:val="right"/>
              <w:ind w:right="141"/>
              <w:spacing w:after="0"/>
              <w:rPr>
                <w:sz w:val="20"/>
                <w:szCs w:val="20"/>
                <w:color w:val="auto"/>
              </w:rPr>
            </w:pPr>
            <w:r>
              <w:rPr>
                <w:rFonts w:ascii="Arial" w:cs="Arial" w:eastAsia="Arial" w:hAnsi="Arial"/>
                <w:sz w:val="20"/>
                <w:szCs w:val="20"/>
                <w:color w:val="auto"/>
              </w:rPr>
              <w:t>2</w:t>
            </w:r>
          </w:p>
        </w:tc>
      </w:tr>
      <w:tr>
        <w:trPr>
          <w:trHeight w:val="23"/>
        </w:trPr>
        <w:tc>
          <w:tcPr>
            <w:tcW w:w="5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5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20"/>
                <w:szCs w:val="20"/>
                <w:color w:val="auto"/>
              </w:rPr>
              <w:t>Subtotal</w:t>
            </w: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922</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rPr>
              <w:t>89</w:t>
            </w:r>
          </w:p>
        </w:tc>
        <w:tc>
          <w:tcPr>
            <w:tcW w:w="3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894</w:t>
            </w:r>
          </w:p>
        </w:tc>
        <w:tc>
          <w:tcPr>
            <w:tcW w:w="170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Arial" w:cs="Arial" w:eastAsia="Arial" w:hAnsi="Arial"/>
                <w:sz w:val="20"/>
                <w:szCs w:val="20"/>
                <w:color w:val="auto"/>
              </w:rPr>
              <w:t>95</w:t>
            </w:r>
          </w:p>
        </w:tc>
      </w:tr>
      <w:tr>
        <w:trPr>
          <w:trHeight w:val="261"/>
        </w:trPr>
        <w:tc>
          <w:tcPr>
            <w:tcW w:w="5220" w:type="dxa"/>
            <w:vAlign w:val="bottom"/>
          </w:tcPr>
          <w:p>
            <w:pPr>
              <w:ind w:left="280"/>
              <w:spacing w:after="0"/>
              <w:rPr>
                <w:sz w:val="20"/>
                <w:szCs w:val="20"/>
                <w:color w:val="auto"/>
              </w:rPr>
            </w:pPr>
            <w:r>
              <w:rPr>
                <w:rFonts w:ascii="Arial" w:cs="Arial" w:eastAsia="Arial" w:hAnsi="Arial"/>
                <w:sz w:val="20"/>
                <w:szCs w:val="20"/>
                <w:color w:val="auto"/>
              </w:rPr>
              <w:t>Alternative revenue programs, net of amortization</w:t>
            </w:r>
          </w:p>
        </w:tc>
        <w:tc>
          <w:tcPr>
            <w:tcW w:w="32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1</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w:t>
            </w:r>
          </w:p>
        </w:tc>
        <w:tc>
          <w:tcPr>
            <w:tcW w:w="340" w:type="dxa"/>
            <w:vAlign w:val="bottom"/>
          </w:tcPr>
          <w:p>
            <w:pPr>
              <w:spacing w:after="0"/>
              <w:rPr>
                <w:sz w:val="22"/>
                <w:szCs w:val="22"/>
                <w:color w:val="auto"/>
              </w:rPr>
            </w:pPr>
          </w:p>
        </w:tc>
        <w:tc>
          <w:tcPr>
            <w:tcW w:w="1360" w:type="dxa"/>
            <w:vAlign w:val="bottom"/>
          </w:tcPr>
          <w:p>
            <w:pPr>
              <w:jc w:val="right"/>
              <w:ind w:right="141"/>
              <w:spacing w:after="0"/>
              <w:rPr>
                <w:sz w:val="20"/>
                <w:szCs w:val="20"/>
                <w:color w:val="auto"/>
              </w:rPr>
            </w:pPr>
            <w:r>
              <w:rPr>
                <w:rFonts w:ascii="Arial" w:cs="Arial" w:eastAsia="Arial" w:hAnsi="Arial"/>
                <w:sz w:val="20"/>
                <w:szCs w:val="20"/>
                <w:color w:val="auto"/>
              </w:rPr>
              <w:t>—</w:t>
            </w:r>
          </w:p>
        </w:tc>
      </w:tr>
      <w:tr>
        <w:trPr>
          <w:trHeight w:val="23"/>
        </w:trPr>
        <w:tc>
          <w:tcPr>
            <w:tcW w:w="5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84"/>
        </w:trPr>
        <w:tc>
          <w:tcPr>
            <w:tcW w:w="5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Other accrued (deferred) revenues, net</w:t>
            </w:r>
          </w:p>
        </w:tc>
        <w:tc>
          <w:tcPr>
            <w:tcW w:w="3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13</w:t>
            </w:r>
          </w:p>
        </w:tc>
        <w:tc>
          <w:tcPr>
            <w:tcW w:w="3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rPr>
              <w:t>1</w:t>
            </w:r>
          </w:p>
        </w:tc>
        <w:tc>
          <w:tcPr>
            <w:tcW w:w="3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(27)</w:t>
            </w:r>
          </w:p>
        </w:tc>
        <w:tc>
          <w:tcPr>
            <w:tcW w:w="17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20"/>
                <w:szCs w:val="20"/>
                <w:color w:val="auto"/>
              </w:rPr>
              <w:t>(3)</w:t>
            </w:r>
          </w:p>
        </w:tc>
      </w:tr>
      <w:tr>
        <w:trPr>
          <w:trHeight w:val="254"/>
        </w:trPr>
        <w:tc>
          <w:tcPr>
            <w:tcW w:w="5220" w:type="dxa"/>
            <w:vAlign w:val="bottom"/>
          </w:tcPr>
          <w:p>
            <w:pPr>
              <w:ind w:left="500"/>
              <w:spacing w:after="0"/>
              <w:rPr>
                <w:sz w:val="20"/>
                <w:szCs w:val="20"/>
                <w:color w:val="auto"/>
              </w:rPr>
            </w:pPr>
            <w:r>
              <w:rPr>
                <w:rFonts w:ascii="Arial" w:cs="Arial" w:eastAsia="Arial" w:hAnsi="Arial"/>
                <w:sz w:val="20"/>
                <w:szCs w:val="20"/>
                <w:color w:val="auto"/>
              </w:rPr>
              <w:t>Total retail revenues</w:t>
            </w:r>
          </w:p>
        </w:tc>
        <w:tc>
          <w:tcPr>
            <w:tcW w:w="3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936</w:t>
            </w:r>
          </w:p>
        </w:tc>
        <w:tc>
          <w:tcPr>
            <w:tcW w:w="3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jc w:val="right"/>
              <w:ind w:right="101"/>
              <w:spacing w:after="0"/>
              <w:rPr>
                <w:sz w:val="20"/>
                <w:szCs w:val="20"/>
                <w:color w:val="auto"/>
              </w:rPr>
            </w:pPr>
            <w:r>
              <w:rPr>
                <w:rFonts w:ascii="Arial" w:cs="Arial" w:eastAsia="Arial" w:hAnsi="Arial"/>
                <w:sz w:val="20"/>
                <w:szCs w:val="20"/>
                <w:color w:val="auto"/>
              </w:rPr>
              <w:t>90</w:t>
            </w:r>
          </w:p>
        </w:tc>
        <w:tc>
          <w:tcPr>
            <w:tcW w:w="34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865</w:t>
            </w:r>
          </w:p>
        </w:tc>
        <w:tc>
          <w:tcPr>
            <w:tcW w:w="340" w:type="dxa"/>
            <w:vAlign w:val="bottom"/>
          </w:tcPr>
          <w:p>
            <w:pPr>
              <w:spacing w:after="0"/>
              <w:rPr>
                <w:sz w:val="22"/>
                <w:szCs w:val="22"/>
                <w:color w:val="auto"/>
              </w:rPr>
            </w:pPr>
          </w:p>
        </w:tc>
        <w:tc>
          <w:tcPr>
            <w:tcW w:w="1360" w:type="dxa"/>
            <w:vAlign w:val="bottom"/>
            <w:tcBorders>
              <w:top w:val="single" w:sz="8" w:color="auto"/>
            </w:tcBorders>
          </w:tcPr>
          <w:p>
            <w:pPr>
              <w:jc w:val="right"/>
              <w:ind w:right="141"/>
              <w:spacing w:after="0"/>
              <w:rPr>
                <w:sz w:val="20"/>
                <w:szCs w:val="20"/>
                <w:color w:val="auto"/>
              </w:rPr>
            </w:pPr>
            <w:r>
              <w:rPr>
                <w:rFonts w:ascii="Arial" w:cs="Arial" w:eastAsia="Arial" w:hAnsi="Arial"/>
                <w:sz w:val="20"/>
                <w:szCs w:val="20"/>
                <w:color w:val="auto"/>
              </w:rPr>
              <w:t>92</w:t>
            </w:r>
          </w:p>
        </w:tc>
      </w:tr>
      <w:tr>
        <w:trPr>
          <w:trHeight w:val="23"/>
        </w:trPr>
        <w:tc>
          <w:tcPr>
            <w:tcW w:w="5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4"/>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Wholesale revenues</w:t>
            </w: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53</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rPr>
              <w:t>5</w:t>
            </w:r>
          </w:p>
        </w:tc>
        <w:tc>
          <w:tcPr>
            <w:tcW w:w="3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52</w:t>
            </w:r>
          </w:p>
        </w:tc>
        <w:tc>
          <w:tcPr>
            <w:tcW w:w="170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Arial" w:cs="Arial" w:eastAsia="Arial" w:hAnsi="Arial"/>
                <w:sz w:val="20"/>
                <w:szCs w:val="20"/>
                <w:color w:val="auto"/>
              </w:rPr>
              <w:t>5</w:t>
            </w:r>
          </w:p>
        </w:tc>
      </w:tr>
      <w:tr>
        <w:trPr>
          <w:trHeight w:val="261"/>
        </w:trPr>
        <w:tc>
          <w:tcPr>
            <w:tcW w:w="5220" w:type="dxa"/>
            <w:vAlign w:val="bottom"/>
          </w:tcPr>
          <w:p>
            <w:pPr>
              <w:ind w:left="40"/>
              <w:spacing w:after="0"/>
              <w:rPr>
                <w:sz w:val="20"/>
                <w:szCs w:val="20"/>
                <w:color w:val="auto"/>
              </w:rPr>
            </w:pPr>
            <w:r>
              <w:rPr>
                <w:rFonts w:ascii="Arial" w:cs="Arial" w:eastAsia="Arial" w:hAnsi="Arial"/>
                <w:sz w:val="20"/>
                <w:szCs w:val="20"/>
                <w:color w:val="auto"/>
              </w:rPr>
              <w:t>Other operating revenues</w:t>
            </w:r>
          </w:p>
        </w:tc>
        <w:tc>
          <w:tcPr>
            <w:tcW w:w="32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44</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ind w:right="101"/>
              <w:spacing w:after="0"/>
              <w:rPr>
                <w:sz w:val="20"/>
                <w:szCs w:val="20"/>
                <w:color w:val="auto"/>
              </w:rPr>
            </w:pPr>
            <w:r>
              <w:rPr>
                <w:rFonts w:ascii="Arial" w:cs="Arial" w:eastAsia="Arial" w:hAnsi="Arial"/>
                <w:sz w:val="20"/>
                <w:szCs w:val="20"/>
                <w:color w:val="auto"/>
              </w:rPr>
              <w:t>5</w:t>
            </w: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25</w:t>
            </w:r>
          </w:p>
        </w:tc>
        <w:tc>
          <w:tcPr>
            <w:tcW w:w="1700" w:type="dxa"/>
            <w:vAlign w:val="bottom"/>
            <w:gridSpan w:val="2"/>
          </w:tcPr>
          <w:p>
            <w:pPr>
              <w:jc w:val="right"/>
              <w:ind w:right="141"/>
              <w:spacing w:after="0"/>
              <w:rPr>
                <w:sz w:val="20"/>
                <w:szCs w:val="20"/>
                <w:color w:val="auto"/>
              </w:rPr>
            </w:pPr>
            <w:r>
              <w:rPr>
                <w:rFonts w:ascii="Arial" w:cs="Arial" w:eastAsia="Arial" w:hAnsi="Arial"/>
                <w:sz w:val="20"/>
                <w:szCs w:val="20"/>
                <w:color w:val="auto"/>
              </w:rPr>
              <w:t>3</w:t>
            </w:r>
          </w:p>
        </w:tc>
      </w:tr>
      <w:tr>
        <w:trPr>
          <w:trHeight w:val="23"/>
        </w:trPr>
        <w:tc>
          <w:tcPr>
            <w:tcW w:w="5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72"/>
        </w:trPr>
        <w:tc>
          <w:tcPr>
            <w:tcW w:w="5220" w:type="dxa"/>
            <w:vAlign w:val="bottom"/>
            <w:shd w:val="clear" w:color="auto" w:fill="CCEEFF"/>
          </w:tcPr>
          <w:p>
            <w:pPr>
              <w:ind w:left="500"/>
              <w:spacing w:after="0"/>
              <w:rPr>
                <w:sz w:val="20"/>
                <w:szCs w:val="20"/>
                <w:color w:val="auto"/>
              </w:rPr>
            </w:pPr>
            <w:r>
              <w:rPr>
                <w:rFonts w:ascii="Arial" w:cs="Arial" w:eastAsia="Arial" w:hAnsi="Arial"/>
                <w:sz w:val="20"/>
                <w:szCs w:val="20"/>
                <w:color w:val="auto"/>
              </w:rPr>
              <w:t>Total revenues</w:t>
            </w:r>
          </w:p>
        </w:tc>
        <w:tc>
          <w:tcPr>
            <w:tcW w:w="32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1,033</w:t>
            </w:r>
          </w:p>
        </w:tc>
        <w:tc>
          <w:tcPr>
            <w:tcW w:w="3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34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942</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100 %</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82"/>
        </w:trPr>
        <w:tc>
          <w:tcPr>
            <w:tcW w:w="5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64"/>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b w:val="1"/>
                <w:bCs w:val="1"/>
                <w:color w:val="auto"/>
              </w:rPr>
              <w:t>Energy deliveries (MWh in thousands):</w:t>
            </w: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61"/>
        </w:trPr>
        <w:tc>
          <w:tcPr>
            <w:tcW w:w="5220" w:type="dxa"/>
            <w:vAlign w:val="bottom"/>
          </w:tcPr>
          <w:p>
            <w:pPr>
              <w:ind w:left="40"/>
              <w:spacing w:after="0"/>
              <w:rPr>
                <w:sz w:val="20"/>
                <w:szCs w:val="20"/>
                <w:color w:val="auto"/>
              </w:rPr>
            </w:pPr>
            <w:r>
              <w:rPr>
                <w:rFonts w:ascii="Arial" w:cs="Arial" w:eastAsia="Arial" w:hAnsi="Arial"/>
                <w:sz w:val="20"/>
                <w:szCs w:val="20"/>
                <w:color w:val="auto"/>
              </w:rPr>
              <w:t>Retail:</w:t>
            </w: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3"/>
        </w:trPr>
        <w:tc>
          <w:tcPr>
            <w:tcW w:w="5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4"/>
        </w:trPr>
        <w:tc>
          <w:tcPr>
            <w:tcW w:w="5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Residential</w:t>
            </w: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3,782</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34%</w:t>
            </w:r>
          </w:p>
        </w:tc>
        <w:tc>
          <w:tcPr>
            <w:tcW w:w="3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3,745</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33 %</w:t>
            </w:r>
          </w:p>
        </w:tc>
      </w:tr>
      <w:tr>
        <w:trPr>
          <w:trHeight w:val="261"/>
        </w:trPr>
        <w:tc>
          <w:tcPr>
            <w:tcW w:w="5220" w:type="dxa"/>
            <w:vAlign w:val="bottom"/>
          </w:tcPr>
          <w:p>
            <w:pPr>
              <w:ind w:left="280"/>
              <w:spacing w:after="0"/>
              <w:rPr>
                <w:sz w:val="20"/>
                <w:szCs w:val="20"/>
                <w:color w:val="auto"/>
              </w:rPr>
            </w:pPr>
            <w:r>
              <w:rPr>
                <w:rFonts w:ascii="Arial" w:cs="Arial" w:eastAsia="Arial" w:hAnsi="Arial"/>
                <w:sz w:val="20"/>
                <w:szCs w:val="20"/>
                <w:color w:val="auto"/>
              </w:rPr>
              <w:t>Commercial</w:t>
            </w:r>
          </w:p>
        </w:tc>
        <w:tc>
          <w:tcPr>
            <w:tcW w:w="32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3,261</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ind w:right="101"/>
              <w:spacing w:after="0"/>
              <w:rPr>
                <w:sz w:val="20"/>
                <w:szCs w:val="20"/>
                <w:color w:val="auto"/>
              </w:rPr>
            </w:pPr>
            <w:r>
              <w:rPr>
                <w:rFonts w:ascii="Arial" w:cs="Arial" w:eastAsia="Arial" w:hAnsi="Arial"/>
                <w:sz w:val="20"/>
                <w:szCs w:val="20"/>
                <w:color w:val="auto"/>
              </w:rPr>
              <w:t>29</w:t>
            </w: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3,251</w:t>
            </w:r>
          </w:p>
        </w:tc>
        <w:tc>
          <w:tcPr>
            <w:tcW w:w="1700" w:type="dxa"/>
            <w:vAlign w:val="bottom"/>
            <w:gridSpan w:val="2"/>
          </w:tcPr>
          <w:p>
            <w:pPr>
              <w:jc w:val="right"/>
              <w:ind w:right="141"/>
              <w:spacing w:after="0"/>
              <w:rPr>
                <w:sz w:val="20"/>
                <w:szCs w:val="20"/>
                <w:color w:val="auto"/>
              </w:rPr>
            </w:pPr>
            <w:r>
              <w:rPr>
                <w:rFonts w:ascii="Arial" w:cs="Arial" w:eastAsia="Arial" w:hAnsi="Arial"/>
                <w:sz w:val="20"/>
                <w:szCs w:val="20"/>
                <w:color w:val="auto"/>
              </w:rPr>
              <w:t>29</w:t>
            </w:r>
          </w:p>
        </w:tc>
      </w:tr>
      <w:tr>
        <w:trPr>
          <w:trHeight w:val="23"/>
        </w:trPr>
        <w:tc>
          <w:tcPr>
            <w:tcW w:w="5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84"/>
        </w:trPr>
        <w:tc>
          <w:tcPr>
            <w:tcW w:w="5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Industrial</w:t>
            </w:r>
          </w:p>
        </w:tc>
        <w:tc>
          <w:tcPr>
            <w:tcW w:w="3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1,510</w:t>
            </w:r>
          </w:p>
        </w:tc>
        <w:tc>
          <w:tcPr>
            <w:tcW w:w="3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rPr>
              <w:t>14</w:t>
            </w:r>
          </w:p>
        </w:tc>
        <w:tc>
          <w:tcPr>
            <w:tcW w:w="3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1,397</w:t>
            </w:r>
          </w:p>
        </w:tc>
        <w:tc>
          <w:tcPr>
            <w:tcW w:w="170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Arial" w:cs="Arial" w:eastAsia="Arial" w:hAnsi="Arial"/>
                <w:sz w:val="20"/>
                <w:szCs w:val="20"/>
                <w:color w:val="auto"/>
              </w:rPr>
              <w:t>12</w:t>
            </w:r>
          </w:p>
        </w:tc>
      </w:tr>
      <w:tr>
        <w:trPr>
          <w:trHeight w:val="254"/>
        </w:trPr>
        <w:tc>
          <w:tcPr>
            <w:tcW w:w="5220" w:type="dxa"/>
            <w:vAlign w:val="bottom"/>
          </w:tcPr>
          <w:p>
            <w:pPr>
              <w:ind w:left="820"/>
              <w:spacing w:after="0"/>
              <w:rPr>
                <w:sz w:val="20"/>
                <w:szCs w:val="20"/>
                <w:color w:val="auto"/>
              </w:rPr>
            </w:pPr>
            <w:r>
              <w:rPr>
                <w:rFonts w:ascii="Arial" w:cs="Arial" w:eastAsia="Arial" w:hAnsi="Arial"/>
                <w:sz w:val="20"/>
                <w:szCs w:val="20"/>
                <w:color w:val="auto"/>
              </w:rPr>
              <w:t>Subtotal</w:t>
            </w:r>
          </w:p>
        </w:tc>
        <w:tc>
          <w:tcPr>
            <w:tcW w:w="3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8,553</w:t>
            </w:r>
          </w:p>
        </w:tc>
        <w:tc>
          <w:tcPr>
            <w:tcW w:w="3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jc w:val="right"/>
              <w:ind w:right="101"/>
              <w:spacing w:after="0"/>
              <w:rPr>
                <w:sz w:val="20"/>
                <w:szCs w:val="20"/>
                <w:color w:val="auto"/>
              </w:rPr>
            </w:pPr>
            <w:r>
              <w:rPr>
                <w:rFonts w:ascii="Arial" w:cs="Arial" w:eastAsia="Arial" w:hAnsi="Arial"/>
                <w:sz w:val="20"/>
                <w:szCs w:val="20"/>
                <w:color w:val="auto"/>
              </w:rPr>
              <w:t>77</w:t>
            </w:r>
          </w:p>
        </w:tc>
        <w:tc>
          <w:tcPr>
            <w:tcW w:w="34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8,393</w:t>
            </w:r>
          </w:p>
        </w:tc>
        <w:tc>
          <w:tcPr>
            <w:tcW w:w="340" w:type="dxa"/>
            <w:vAlign w:val="bottom"/>
          </w:tcPr>
          <w:p>
            <w:pPr>
              <w:spacing w:after="0"/>
              <w:rPr>
                <w:sz w:val="22"/>
                <w:szCs w:val="22"/>
                <w:color w:val="auto"/>
              </w:rPr>
            </w:pPr>
          </w:p>
        </w:tc>
        <w:tc>
          <w:tcPr>
            <w:tcW w:w="1360" w:type="dxa"/>
            <w:vAlign w:val="bottom"/>
            <w:tcBorders>
              <w:top w:val="single" w:sz="8" w:color="auto"/>
            </w:tcBorders>
          </w:tcPr>
          <w:p>
            <w:pPr>
              <w:jc w:val="right"/>
              <w:ind w:right="141"/>
              <w:spacing w:after="0"/>
              <w:rPr>
                <w:sz w:val="20"/>
                <w:szCs w:val="20"/>
                <w:color w:val="auto"/>
              </w:rPr>
            </w:pPr>
            <w:r>
              <w:rPr>
                <w:rFonts w:ascii="Arial" w:cs="Arial" w:eastAsia="Arial" w:hAnsi="Arial"/>
                <w:sz w:val="20"/>
                <w:szCs w:val="20"/>
                <w:color w:val="auto"/>
              </w:rPr>
              <w:t>74</w:t>
            </w:r>
          </w:p>
        </w:tc>
      </w:tr>
      <w:tr>
        <w:trPr>
          <w:trHeight w:val="23"/>
        </w:trPr>
        <w:tc>
          <w:tcPr>
            <w:tcW w:w="5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Direct access:</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61"/>
        </w:trPr>
        <w:tc>
          <w:tcPr>
            <w:tcW w:w="5220" w:type="dxa"/>
            <w:vAlign w:val="bottom"/>
          </w:tcPr>
          <w:p>
            <w:pPr>
              <w:ind w:left="500"/>
              <w:spacing w:after="0"/>
              <w:rPr>
                <w:sz w:val="20"/>
                <w:szCs w:val="20"/>
                <w:color w:val="auto"/>
              </w:rPr>
            </w:pPr>
            <w:r>
              <w:rPr>
                <w:rFonts w:ascii="Arial" w:cs="Arial" w:eastAsia="Arial" w:hAnsi="Arial"/>
                <w:sz w:val="20"/>
                <w:szCs w:val="20"/>
                <w:color w:val="auto"/>
              </w:rPr>
              <w:t>Commercial</w:t>
            </w:r>
          </w:p>
        </w:tc>
        <w:tc>
          <w:tcPr>
            <w:tcW w:w="32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341</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ind w:right="101"/>
              <w:spacing w:after="0"/>
              <w:rPr>
                <w:sz w:val="20"/>
                <w:szCs w:val="20"/>
                <w:color w:val="auto"/>
              </w:rPr>
            </w:pPr>
            <w:r>
              <w:rPr>
                <w:rFonts w:ascii="Arial" w:cs="Arial" w:eastAsia="Arial" w:hAnsi="Arial"/>
                <w:sz w:val="20"/>
                <w:szCs w:val="20"/>
                <w:color w:val="auto"/>
              </w:rPr>
              <w:t>3</w:t>
            </w: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311</w:t>
            </w:r>
          </w:p>
        </w:tc>
        <w:tc>
          <w:tcPr>
            <w:tcW w:w="1700" w:type="dxa"/>
            <w:vAlign w:val="bottom"/>
            <w:gridSpan w:val="2"/>
          </w:tcPr>
          <w:p>
            <w:pPr>
              <w:jc w:val="right"/>
              <w:ind w:right="141"/>
              <w:spacing w:after="0"/>
              <w:rPr>
                <w:sz w:val="20"/>
                <w:szCs w:val="20"/>
                <w:color w:val="auto"/>
              </w:rPr>
            </w:pPr>
            <w:r>
              <w:rPr>
                <w:rFonts w:ascii="Arial" w:cs="Arial" w:eastAsia="Arial" w:hAnsi="Arial"/>
                <w:sz w:val="20"/>
                <w:szCs w:val="20"/>
                <w:color w:val="auto"/>
              </w:rPr>
              <w:t>3</w:t>
            </w:r>
          </w:p>
        </w:tc>
      </w:tr>
      <w:tr>
        <w:trPr>
          <w:trHeight w:val="23"/>
        </w:trPr>
        <w:tc>
          <w:tcPr>
            <w:tcW w:w="5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84"/>
        </w:trPr>
        <w:tc>
          <w:tcPr>
            <w:tcW w:w="5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20"/>
                <w:szCs w:val="20"/>
                <w:color w:val="auto"/>
              </w:rPr>
              <w:t>Industrial</w:t>
            </w:r>
          </w:p>
        </w:tc>
        <w:tc>
          <w:tcPr>
            <w:tcW w:w="3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720</w:t>
            </w:r>
          </w:p>
        </w:tc>
        <w:tc>
          <w:tcPr>
            <w:tcW w:w="3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rPr>
              <w:t>7</w:t>
            </w:r>
          </w:p>
        </w:tc>
        <w:tc>
          <w:tcPr>
            <w:tcW w:w="3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687</w:t>
            </w:r>
          </w:p>
        </w:tc>
        <w:tc>
          <w:tcPr>
            <w:tcW w:w="170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Arial" w:cs="Arial" w:eastAsia="Arial" w:hAnsi="Arial"/>
                <w:sz w:val="20"/>
                <w:szCs w:val="20"/>
                <w:color w:val="auto"/>
              </w:rPr>
              <w:t>6</w:t>
            </w:r>
          </w:p>
        </w:tc>
      </w:tr>
      <w:tr>
        <w:trPr>
          <w:trHeight w:val="254"/>
        </w:trPr>
        <w:tc>
          <w:tcPr>
            <w:tcW w:w="5220" w:type="dxa"/>
            <w:vAlign w:val="bottom"/>
          </w:tcPr>
          <w:p>
            <w:pPr>
              <w:ind w:left="820"/>
              <w:spacing w:after="0"/>
              <w:rPr>
                <w:sz w:val="20"/>
                <w:szCs w:val="20"/>
                <w:color w:val="auto"/>
              </w:rPr>
            </w:pPr>
            <w:r>
              <w:rPr>
                <w:rFonts w:ascii="Arial" w:cs="Arial" w:eastAsia="Arial" w:hAnsi="Arial"/>
                <w:sz w:val="20"/>
                <w:szCs w:val="20"/>
                <w:color w:val="auto"/>
              </w:rPr>
              <w:t>Subtotal</w:t>
            </w:r>
          </w:p>
        </w:tc>
        <w:tc>
          <w:tcPr>
            <w:tcW w:w="3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1,061</w:t>
            </w:r>
          </w:p>
        </w:tc>
        <w:tc>
          <w:tcPr>
            <w:tcW w:w="3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jc w:val="right"/>
              <w:ind w:right="101"/>
              <w:spacing w:after="0"/>
              <w:rPr>
                <w:sz w:val="20"/>
                <w:szCs w:val="20"/>
                <w:color w:val="auto"/>
              </w:rPr>
            </w:pPr>
            <w:r>
              <w:rPr>
                <w:rFonts w:ascii="Arial" w:cs="Arial" w:eastAsia="Arial" w:hAnsi="Arial"/>
                <w:sz w:val="20"/>
                <w:szCs w:val="20"/>
                <w:color w:val="auto"/>
              </w:rPr>
              <w:t>10</w:t>
            </w:r>
          </w:p>
        </w:tc>
        <w:tc>
          <w:tcPr>
            <w:tcW w:w="34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998</w:t>
            </w:r>
          </w:p>
        </w:tc>
        <w:tc>
          <w:tcPr>
            <w:tcW w:w="340" w:type="dxa"/>
            <w:vAlign w:val="bottom"/>
          </w:tcPr>
          <w:p>
            <w:pPr>
              <w:spacing w:after="0"/>
              <w:rPr>
                <w:sz w:val="22"/>
                <w:szCs w:val="22"/>
                <w:color w:val="auto"/>
              </w:rPr>
            </w:pPr>
          </w:p>
        </w:tc>
        <w:tc>
          <w:tcPr>
            <w:tcW w:w="1360" w:type="dxa"/>
            <w:vAlign w:val="bottom"/>
            <w:tcBorders>
              <w:top w:val="single" w:sz="8" w:color="auto"/>
            </w:tcBorders>
          </w:tcPr>
          <w:p>
            <w:pPr>
              <w:jc w:val="right"/>
              <w:ind w:right="141"/>
              <w:spacing w:after="0"/>
              <w:rPr>
                <w:sz w:val="20"/>
                <w:szCs w:val="20"/>
                <w:color w:val="auto"/>
              </w:rPr>
            </w:pPr>
            <w:r>
              <w:rPr>
                <w:rFonts w:ascii="Arial" w:cs="Arial" w:eastAsia="Arial" w:hAnsi="Arial"/>
                <w:sz w:val="20"/>
                <w:szCs w:val="20"/>
                <w:color w:val="auto"/>
              </w:rPr>
              <w:t>9</w:t>
            </w:r>
          </w:p>
        </w:tc>
      </w:tr>
      <w:tr>
        <w:trPr>
          <w:trHeight w:val="23"/>
        </w:trPr>
        <w:tc>
          <w:tcPr>
            <w:tcW w:w="5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5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20"/>
                <w:szCs w:val="20"/>
                <w:color w:val="auto"/>
              </w:rPr>
              <w:t>Total retail energy deliveries</w:t>
            </w: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9,614</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rPr>
              <w:t>87</w:t>
            </w:r>
          </w:p>
        </w:tc>
        <w:tc>
          <w:tcPr>
            <w:tcW w:w="3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9,391</w:t>
            </w:r>
          </w:p>
        </w:tc>
        <w:tc>
          <w:tcPr>
            <w:tcW w:w="170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Arial" w:cs="Arial" w:eastAsia="Arial" w:hAnsi="Arial"/>
                <w:sz w:val="20"/>
                <w:szCs w:val="20"/>
                <w:color w:val="auto"/>
              </w:rPr>
              <w:t>83</w:t>
            </w:r>
          </w:p>
        </w:tc>
      </w:tr>
      <w:tr>
        <w:trPr>
          <w:trHeight w:val="261"/>
        </w:trPr>
        <w:tc>
          <w:tcPr>
            <w:tcW w:w="5220" w:type="dxa"/>
            <w:vAlign w:val="bottom"/>
          </w:tcPr>
          <w:p>
            <w:pPr>
              <w:ind w:left="40"/>
              <w:spacing w:after="0"/>
              <w:rPr>
                <w:sz w:val="20"/>
                <w:szCs w:val="20"/>
                <w:color w:val="auto"/>
              </w:rPr>
            </w:pPr>
            <w:r>
              <w:rPr>
                <w:rFonts w:ascii="Arial" w:cs="Arial" w:eastAsia="Arial" w:hAnsi="Arial"/>
                <w:sz w:val="20"/>
                <w:szCs w:val="20"/>
                <w:color w:val="auto"/>
              </w:rPr>
              <w:t>Wholesale energy deliveries</w:t>
            </w:r>
          </w:p>
        </w:tc>
        <w:tc>
          <w:tcPr>
            <w:tcW w:w="32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1,459</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ind w:right="101"/>
              <w:spacing w:after="0"/>
              <w:rPr>
                <w:sz w:val="20"/>
                <w:szCs w:val="20"/>
                <w:color w:val="auto"/>
              </w:rPr>
            </w:pPr>
            <w:r>
              <w:rPr>
                <w:rFonts w:ascii="Arial" w:cs="Arial" w:eastAsia="Arial" w:hAnsi="Arial"/>
                <w:sz w:val="20"/>
                <w:szCs w:val="20"/>
                <w:color w:val="auto"/>
              </w:rPr>
              <w:t>13</w:t>
            </w: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1,915</w:t>
            </w:r>
          </w:p>
        </w:tc>
        <w:tc>
          <w:tcPr>
            <w:tcW w:w="1700" w:type="dxa"/>
            <w:vAlign w:val="bottom"/>
            <w:gridSpan w:val="2"/>
          </w:tcPr>
          <w:p>
            <w:pPr>
              <w:jc w:val="right"/>
              <w:ind w:right="141"/>
              <w:spacing w:after="0"/>
              <w:rPr>
                <w:sz w:val="20"/>
                <w:szCs w:val="20"/>
                <w:color w:val="auto"/>
              </w:rPr>
            </w:pPr>
            <w:r>
              <w:rPr>
                <w:rFonts w:ascii="Arial" w:cs="Arial" w:eastAsia="Arial" w:hAnsi="Arial"/>
                <w:sz w:val="20"/>
                <w:szCs w:val="20"/>
                <w:color w:val="auto"/>
              </w:rPr>
              <w:t>17</w:t>
            </w:r>
          </w:p>
        </w:tc>
      </w:tr>
      <w:tr>
        <w:trPr>
          <w:trHeight w:val="23"/>
        </w:trPr>
        <w:tc>
          <w:tcPr>
            <w:tcW w:w="5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72"/>
        </w:trPr>
        <w:tc>
          <w:tcPr>
            <w:tcW w:w="5220" w:type="dxa"/>
            <w:vAlign w:val="bottom"/>
            <w:shd w:val="clear" w:color="auto" w:fill="CCEEFF"/>
          </w:tcPr>
          <w:p>
            <w:pPr>
              <w:ind w:left="500"/>
              <w:spacing w:after="0"/>
              <w:rPr>
                <w:sz w:val="20"/>
                <w:szCs w:val="20"/>
                <w:color w:val="auto"/>
              </w:rPr>
            </w:pPr>
            <w:r>
              <w:rPr>
                <w:rFonts w:ascii="Arial" w:cs="Arial" w:eastAsia="Arial" w:hAnsi="Arial"/>
                <w:sz w:val="20"/>
                <w:szCs w:val="20"/>
                <w:color w:val="auto"/>
              </w:rPr>
              <w:t>Total energy deliveries</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11,073</w:t>
            </w:r>
          </w:p>
        </w:tc>
        <w:tc>
          <w:tcPr>
            <w:tcW w:w="3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3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11,306</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100 %</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82"/>
        </w:trPr>
        <w:tc>
          <w:tcPr>
            <w:tcW w:w="5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64"/>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b w:val="1"/>
                <w:bCs w:val="1"/>
                <w:color w:val="auto"/>
              </w:rPr>
              <w:t>Average number of retail customers:</w:t>
            </w: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61"/>
        </w:trPr>
        <w:tc>
          <w:tcPr>
            <w:tcW w:w="5220" w:type="dxa"/>
            <w:vAlign w:val="bottom"/>
          </w:tcPr>
          <w:p>
            <w:pPr>
              <w:ind w:left="280"/>
              <w:spacing w:after="0"/>
              <w:rPr>
                <w:sz w:val="20"/>
                <w:szCs w:val="20"/>
                <w:color w:val="auto"/>
              </w:rPr>
            </w:pPr>
            <w:r>
              <w:rPr>
                <w:rFonts w:ascii="Arial" w:cs="Arial" w:eastAsia="Arial" w:hAnsi="Arial"/>
                <w:sz w:val="20"/>
                <w:szCs w:val="20"/>
                <w:color w:val="auto"/>
              </w:rPr>
              <w:t>Residential</w:t>
            </w:r>
          </w:p>
        </w:tc>
        <w:tc>
          <w:tcPr>
            <w:tcW w:w="32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776,816</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88%</w:t>
            </w: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770,247</w:t>
            </w:r>
          </w:p>
        </w:tc>
        <w:tc>
          <w:tcPr>
            <w:tcW w:w="1700" w:type="dxa"/>
            <w:vAlign w:val="bottom"/>
            <w:gridSpan w:val="2"/>
          </w:tcPr>
          <w:p>
            <w:pPr>
              <w:jc w:val="right"/>
              <w:spacing w:after="0"/>
              <w:rPr>
                <w:sz w:val="20"/>
                <w:szCs w:val="20"/>
                <w:color w:val="auto"/>
              </w:rPr>
            </w:pPr>
            <w:r>
              <w:rPr>
                <w:rFonts w:ascii="Arial" w:cs="Arial" w:eastAsia="Arial" w:hAnsi="Arial"/>
                <w:sz w:val="20"/>
                <w:szCs w:val="20"/>
                <w:color w:val="auto"/>
              </w:rPr>
              <w:t>88 %</w:t>
            </w:r>
          </w:p>
        </w:tc>
      </w:tr>
      <w:tr>
        <w:trPr>
          <w:trHeight w:val="23"/>
        </w:trPr>
        <w:tc>
          <w:tcPr>
            <w:tcW w:w="5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4"/>
        </w:trPr>
        <w:tc>
          <w:tcPr>
            <w:tcW w:w="5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Commercial</w:t>
            </w: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109,470</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rPr>
              <w:t>12</w:t>
            </w:r>
          </w:p>
        </w:tc>
        <w:tc>
          <w:tcPr>
            <w:tcW w:w="3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107,834</w:t>
            </w:r>
          </w:p>
        </w:tc>
        <w:tc>
          <w:tcPr>
            <w:tcW w:w="170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Arial" w:cs="Arial" w:eastAsia="Arial" w:hAnsi="Arial"/>
                <w:sz w:val="20"/>
                <w:szCs w:val="20"/>
                <w:color w:val="auto"/>
              </w:rPr>
              <w:t>12</w:t>
            </w:r>
          </w:p>
        </w:tc>
      </w:tr>
      <w:tr>
        <w:trPr>
          <w:trHeight w:val="261"/>
        </w:trPr>
        <w:tc>
          <w:tcPr>
            <w:tcW w:w="5220" w:type="dxa"/>
            <w:vAlign w:val="bottom"/>
          </w:tcPr>
          <w:p>
            <w:pPr>
              <w:ind w:left="280"/>
              <w:spacing w:after="0"/>
              <w:rPr>
                <w:sz w:val="20"/>
                <w:szCs w:val="20"/>
                <w:color w:val="auto"/>
              </w:rPr>
            </w:pPr>
            <w:r>
              <w:rPr>
                <w:rFonts w:ascii="Arial" w:cs="Arial" w:eastAsia="Arial" w:hAnsi="Arial"/>
                <w:sz w:val="20"/>
                <w:szCs w:val="20"/>
                <w:color w:val="auto"/>
              </w:rPr>
              <w:t>Industrial</w:t>
            </w:r>
          </w:p>
        </w:tc>
        <w:tc>
          <w:tcPr>
            <w:tcW w:w="32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195</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2"/>
                <w:szCs w:val="22"/>
                <w:color w:val="auto"/>
              </w:rPr>
            </w:pP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206</w:t>
            </w:r>
          </w:p>
        </w:tc>
        <w:tc>
          <w:tcPr>
            <w:tcW w:w="340" w:type="dxa"/>
            <w:vAlign w:val="bottom"/>
          </w:tcPr>
          <w:p>
            <w:pPr>
              <w:spacing w:after="0"/>
              <w:rPr>
                <w:sz w:val="22"/>
                <w:szCs w:val="22"/>
                <w:color w:val="auto"/>
              </w:rPr>
            </w:pPr>
          </w:p>
        </w:tc>
        <w:tc>
          <w:tcPr>
            <w:tcW w:w="1360" w:type="dxa"/>
            <w:vAlign w:val="bottom"/>
          </w:tcPr>
          <w:p>
            <w:pPr>
              <w:jc w:val="right"/>
              <w:ind w:right="141"/>
              <w:spacing w:after="0"/>
              <w:rPr>
                <w:sz w:val="20"/>
                <w:szCs w:val="20"/>
                <w:color w:val="auto"/>
              </w:rPr>
            </w:pPr>
            <w:r>
              <w:rPr>
                <w:rFonts w:ascii="Arial" w:cs="Arial" w:eastAsia="Arial" w:hAnsi="Arial"/>
                <w:sz w:val="20"/>
                <w:szCs w:val="20"/>
                <w:color w:val="auto"/>
              </w:rPr>
              <w:t>—</w:t>
            </w:r>
          </w:p>
        </w:tc>
      </w:tr>
      <w:tr>
        <w:trPr>
          <w:trHeight w:val="23"/>
        </w:trPr>
        <w:tc>
          <w:tcPr>
            <w:tcW w:w="5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84"/>
        </w:trPr>
        <w:tc>
          <w:tcPr>
            <w:tcW w:w="5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Direct access</w:t>
            </w:r>
          </w:p>
        </w:tc>
        <w:tc>
          <w:tcPr>
            <w:tcW w:w="3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633</w:t>
            </w:r>
          </w:p>
        </w:tc>
        <w:tc>
          <w:tcPr>
            <w:tcW w:w="3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20"/>
                <w:szCs w:val="20"/>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597</w:t>
            </w:r>
          </w:p>
        </w:tc>
        <w:tc>
          <w:tcPr>
            <w:tcW w:w="3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r>
      <w:tr>
        <w:trPr>
          <w:trHeight w:val="272"/>
        </w:trPr>
        <w:tc>
          <w:tcPr>
            <w:tcW w:w="5220" w:type="dxa"/>
            <w:vAlign w:val="bottom"/>
          </w:tcPr>
          <w:p>
            <w:pPr>
              <w:ind w:left="500"/>
              <w:spacing w:after="0"/>
              <w:rPr>
                <w:sz w:val="20"/>
                <w:szCs w:val="20"/>
                <w:color w:val="auto"/>
              </w:rPr>
            </w:pPr>
            <w:r>
              <w:rPr>
                <w:rFonts w:ascii="Arial" w:cs="Arial" w:eastAsia="Arial" w:hAnsi="Arial"/>
                <w:sz w:val="20"/>
                <w:szCs w:val="20"/>
                <w:color w:val="auto"/>
              </w:rPr>
              <w:t>Total</w:t>
            </w:r>
          </w:p>
        </w:tc>
        <w:tc>
          <w:tcPr>
            <w:tcW w:w="320" w:type="dxa"/>
            <w:vAlign w:val="bottom"/>
            <w:tcBorders>
              <w:top w:val="single" w:sz="8" w:color="auto"/>
              <w:bottom w:val="single" w:sz="8" w:color="auto"/>
            </w:tcBorders>
          </w:tcPr>
          <w:p>
            <w:pPr>
              <w:spacing w:after="0"/>
              <w:rPr>
                <w:sz w:val="23"/>
                <w:szCs w:val="23"/>
                <w:color w:val="auto"/>
              </w:rPr>
            </w:pPr>
          </w:p>
        </w:tc>
        <w:tc>
          <w:tcPr>
            <w:tcW w:w="9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rPr>
              <w:t>887,114</w:t>
            </w:r>
          </w:p>
        </w:tc>
        <w:tc>
          <w:tcPr>
            <w:tcW w:w="340" w:type="dxa"/>
            <w:vAlign w:val="bottom"/>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100%</w:t>
            </w:r>
          </w:p>
        </w:tc>
        <w:tc>
          <w:tcPr>
            <w:tcW w:w="340" w:type="dxa"/>
            <w:vAlign w:val="bottom"/>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9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878,884</w:t>
            </w:r>
          </w:p>
        </w:tc>
        <w:tc>
          <w:tcPr>
            <w:tcW w:w="340" w:type="dxa"/>
            <w:vAlign w:val="bottom"/>
          </w:tcPr>
          <w:p>
            <w:pPr>
              <w:spacing w:after="0"/>
              <w:rPr>
                <w:sz w:val="23"/>
                <w:szCs w:val="23"/>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100 %</w:t>
            </w:r>
          </w:p>
        </w:tc>
      </w:tr>
      <w:tr>
        <w:trPr>
          <w:trHeight w:val="20"/>
        </w:trPr>
        <w:tc>
          <w:tcPr>
            <w:tcW w:w="5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ind w:right="440"/>
        <w:spacing w:after="0" w:line="287" w:lineRule="auto"/>
        <w:rPr>
          <w:sz w:val="20"/>
          <w:szCs w:val="20"/>
          <w:color w:val="auto"/>
        </w:rPr>
      </w:pPr>
      <w:r>
        <w:rPr>
          <w:rFonts w:ascii="Arial" w:cs="Arial" w:eastAsia="Arial" w:hAnsi="Arial"/>
          <w:sz w:val="19"/>
          <w:szCs w:val="19"/>
          <w:color w:val="auto"/>
        </w:rPr>
        <w:t>Total revenues for the six months ended June 30, 2019 increased $91 million, or 10%, compared with the six months ended June 30, 2018, consisting primarily of a $71 million increase in Total retail revenues and $19 million in Other operating revenues.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22" w:right="239" w:bottom="1440" w:gutter="0" w:footer="0" w:header="0"/>
          <w:type w:val="continuous"/>
        </w:sectPr>
      </w:pPr>
    </w:p>
    <w:bookmarkStart w:id="53" w:name="page54"/>
    <w:bookmarkEnd w:id="53"/>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color w:val="auto"/>
        </w:rPr>
        <w:t>The increase in Total retail revenues consisted primarily of the following factors:</w:t>
      </w:r>
    </w:p>
    <w:p>
      <w:pPr>
        <w:spacing w:after="0" w:line="121" w:lineRule="exact"/>
        <w:rPr>
          <w:sz w:val="20"/>
          <w:szCs w:val="20"/>
          <w:color w:val="auto"/>
        </w:rPr>
      </w:pPr>
    </w:p>
    <w:p>
      <w:pPr>
        <w:ind w:left="660" w:right="20" w:hanging="328"/>
        <w:spacing w:after="0" w:line="260" w:lineRule="auto"/>
        <w:tabs>
          <w:tab w:leader="none" w:pos="6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$21 million resulted from higher retail energy deliveries as residential, commercial, and industrial classes all produced higher deliveries for the six months ended June 30, 2019 compared with the same period of 2018;</w:t>
      </w:r>
    </w:p>
    <w:p>
      <w:pPr>
        <w:spacing w:after="0" w:line="82" w:lineRule="exact"/>
        <w:rPr>
          <w:rFonts w:ascii="Arial" w:cs="Arial" w:eastAsia="Arial" w:hAnsi="Arial"/>
          <w:sz w:val="20"/>
          <w:szCs w:val="20"/>
          <w:color w:val="auto"/>
        </w:rPr>
      </w:pPr>
    </w:p>
    <w:p>
      <w:pPr>
        <w:ind w:left="660" w:right="140" w:hanging="328"/>
        <w:spacing w:after="0" w:line="250" w:lineRule="auto"/>
        <w:tabs>
          <w:tab w:leader="none" w:pos="6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$26 million due to recording during 2018 of the deferral of revenues for estimated refund to customers as a result of TCJA, which is reflected in the Other accrued (deferred) revenues, net line in the table above. The reduction in revenues was offset with lower income tax expense, resulting in no overall net income impact; and</w:t>
      </w:r>
    </w:p>
    <w:p>
      <w:pPr>
        <w:spacing w:after="0" w:line="78" w:lineRule="exact"/>
        <w:rPr>
          <w:rFonts w:ascii="Arial" w:cs="Arial" w:eastAsia="Arial" w:hAnsi="Arial"/>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$11 million increase in revenues as a result of price changes due primarily to the annual AUT update and the decoupling mechanism.</w:t>
      </w:r>
    </w:p>
    <w:p>
      <w:pPr>
        <w:spacing w:after="0" w:line="252"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Total heating degree-days for the six months ended June 30, 2019 were 10% above those for the six months ended June 30, 2018 and 1% above average, while cooling degree-days, which usually begin during the second calendar quarters, were 12% below the prior year levels, although 16% above average. The following table indicates the number of heating and cooling degree-days for the six months ended June 30, 2019 and 2018, along with 15-year averages based on weather data provided by the National Weather Service, as measured at Portland International Airport: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340" w:type="dxa"/>
            <w:vAlign w:val="bottom"/>
          </w:tcPr>
          <w:p>
            <w:pPr>
              <w:spacing w:after="0"/>
              <w:rPr>
                <w:sz w:val="22"/>
                <w:szCs w:val="22"/>
                <w:color w:val="auto"/>
              </w:rPr>
            </w:pPr>
          </w:p>
        </w:tc>
        <w:tc>
          <w:tcPr>
            <w:tcW w:w="2900" w:type="dxa"/>
            <w:vAlign w:val="bottom"/>
            <w:gridSpan w:val="5"/>
          </w:tcPr>
          <w:p>
            <w:pPr>
              <w:ind w:left="1000"/>
              <w:spacing w:after="0"/>
              <w:rPr>
                <w:sz w:val="20"/>
                <w:szCs w:val="20"/>
                <w:color w:val="auto"/>
              </w:rPr>
            </w:pPr>
            <w:r>
              <w:rPr>
                <w:rFonts w:ascii="Arial" w:cs="Arial" w:eastAsia="Arial" w:hAnsi="Arial"/>
                <w:sz w:val="20"/>
                <w:szCs w:val="20"/>
                <w:b w:val="1"/>
                <w:bCs w:val="1"/>
                <w:color w:val="auto"/>
                <w:w w:val="94"/>
              </w:rPr>
              <w:t>Heating Degree-days</w:t>
            </w: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360" w:type="dxa"/>
            <w:vAlign w:val="bottom"/>
            <w:gridSpan w:val="5"/>
          </w:tcPr>
          <w:p>
            <w:pPr>
              <w:ind w:left="620"/>
              <w:spacing w:after="0"/>
              <w:rPr>
                <w:sz w:val="20"/>
                <w:szCs w:val="20"/>
                <w:color w:val="auto"/>
              </w:rPr>
            </w:pPr>
            <w:r>
              <w:rPr>
                <w:rFonts w:ascii="Arial" w:cs="Arial" w:eastAsia="Arial" w:hAnsi="Arial"/>
                <w:sz w:val="20"/>
                <w:szCs w:val="20"/>
                <w:b w:val="1"/>
                <w:bCs w:val="1"/>
                <w:color w:val="auto"/>
                <w:w w:val="85"/>
              </w:rPr>
              <w:t>Cooling Degree-days</w:t>
            </w:r>
          </w:p>
        </w:tc>
        <w:tc>
          <w:tcPr>
            <w:tcW w:w="580" w:type="dxa"/>
            <w:vAlign w:val="bottom"/>
          </w:tcPr>
          <w:p>
            <w:pPr>
              <w:spacing w:after="0"/>
              <w:rPr>
                <w:sz w:val="22"/>
                <w:szCs w:val="22"/>
                <w:color w:val="auto"/>
              </w:rPr>
            </w:pPr>
          </w:p>
        </w:tc>
      </w:tr>
      <w:tr>
        <w:trPr>
          <w:trHeight w:val="23"/>
        </w:trPr>
        <w:tc>
          <w:tcPr>
            <w:tcW w:w="4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4"/>
        </w:trPr>
        <w:tc>
          <w:tcPr>
            <w:tcW w:w="4340" w:type="dxa"/>
            <w:vAlign w:val="bottom"/>
          </w:tcPr>
          <w:p>
            <w:pPr>
              <w:spacing w:after="0"/>
              <w:rPr>
                <w:sz w:val="22"/>
                <w:szCs w:val="22"/>
                <w:color w:val="auto"/>
              </w:rPr>
            </w:pPr>
          </w:p>
        </w:tc>
        <w:tc>
          <w:tcPr>
            <w:tcW w:w="1160" w:type="dxa"/>
            <w:vAlign w:val="bottom"/>
          </w:tcPr>
          <w:p>
            <w:pPr>
              <w:jc w:val="right"/>
              <w:ind w:right="281"/>
              <w:spacing w:after="0"/>
              <w:rPr>
                <w:sz w:val="20"/>
                <w:szCs w:val="20"/>
                <w:color w:val="auto"/>
              </w:rPr>
            </w:pPr>
            <w:r>
              <w:rPr>
                <w:rFonts w:ascii="Arial" w:cs="Arial" w:eastAsia="Arial" w:hAnsi="Arial"/>
                <w:sz w:val="20"/>
                <w:szCs w:val="20"/>
                <w:b w:val="1"/>
                <w:bCs w:val="1"/>
                <w:color w:val="auto"/>
              </w:rPr>
              <w:t>2019</w:t>
            </w:r>
          </w:p>
        </w:tc>
        <w:tc>
          <w:tcPr>
            <w:tcW w:w="200" w:type="dxa"/>
            <w:vAlign w:val="bottom"/>
          </w:tcPr>
          <w:p>
            <w:pPr>
              <w:spacing w:after="0"/>
              <w:rPr>
                <w:sz w:val="22"/>
                <w:szCs w:val="22"/>
                <w:color w:val="auto"/>
              </w:rPr>
            </w:pPr>
          </w:p>
        </w:tc>
        <w:tc>
          <w:tcPr>
            <w:tcW w:w="1160" w:type="dxa"/>
            <w:vAlign w:val="bottom"/>
          </w:tcPr>
          <w:p>
            <w:pPr>
              <w:jc w:val="right"/>
              <w:ind w:right="281"/>
              <w:spacing w:after="0"/>
              <w:rPr>
                <w:sz w:val="20"/>
                <w:szCs w:val="20"/>
                <w:color w:val="auto"/>
              </w:rPr>
            </w:pPr>
            <w:r>
              <w:rPr>
                <w:rFonts w:ascii="Arial" w:cs="Arial" w:eastAsia="Arial" w:hAnsi="Arial"/>
                <w:sz w:val="20"/>
                <w:szCs w:val="20"/>
                <w:b w:val="1"/>
                <w:bCs w:val="1"/>
                <w:color w:val="auto"/>
              </w:rPr>
              <w:t>2018</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ind w:left="140"/>
              <w:spacing w:after="0"/>
              <w:rPr>
                <w:sz w:val="20"/>
                <w:szCs w:val="20"/>
                <w:color w:val="auto"/>
              </w:rPr>
            </w:pPr>
            <w:r>
              <w:rPr>
                <w:rFonts w:ascii="Arial" w:cs="Arial" w:eastAsia="Arial" w:hAnsi="Arial"/>
                <w:sz w:val="20"/>
                <w:szCs w:val="20"/>
                <w:b w:val="1"/>
                <w:bCs w:val="1"/>
                <w:color w:val="auto"/>
              </w:rPr>
              <w:t>Avg.</w:t>
            </w:r>
          </w:p>
        </w:tc>
        <w:tc>
          <w:tcPr>
            <w:tcW w:w="880" w:type="dxa"/>
            <w:vAlign w:val="bottom"/>
          </w:tcPr>
          <w:p>
            <w:pPr>
              <w:jc w:val="right"/>
              <w:ind w:right="141"/>
              <w:spacing w:after="0"/>
              <w:rPr>
                <w:sz w:val="20"/>
                <w:szCs w:val="20"/>
                <w:color w:val="auto"/>
              </w:rPr>
            </w:pPr>
            <w:r>
              <w:rPr>
                <w:rFonts w:ascii="Arial" w:cs="Arial" w:eastAsia="Arial" w:hAnsi="Arial"/>
                <w:sz w:val="20"/>
                <w:szCs w:val="20"/>
                <w:b w:val="1"/>
                <w:bCs w:val="1"/>
                <w:color w:val="auto"/>
              </w:rPr>
              <w:t>2019</w:t>
            </w:r>
          </w:p>
        </w:tc>
        <w:tc>
          <w:tcPr>
            <w:tcW w:w="200" w:type="dxa"/>
            <w:vAlign w:val="bottom"/>
          </w:tcPr>
          <w:p>
            <w:pPr>
              <w:spacing w:after="0"/>
              <w:rPr>
                <w:sz w:val="22"/>
                <w:szCs w:val="22"/>
                <w:color w:val="auto"/>
              </w:rPr>
            </w:pPr>
          </w:p>
        </w:tc>
        <w:tc>
          <w:tcPr>
            <w:tcW w:w="880" w:type="dxa"/>
            <w:vAlign w:val="bottom"/>
          </w:tcPr>
          <w:p>
            <w:pPr>
              <w:jc w:val="right"/>
              <w:ind w:right="141"/>
              <w:spacing w:after="0"/>
              <w:rPr>
                <w:sz w:val="20"/>
                <w:szCs w:val="20"/>
                <w:color w:val="auto"/>
              </w:rPr>
            </w:pPr>
            <w:r>
              <w:rPr>
                <w:rFonts w:ascii="Arial" w:cs="Arial" w:eastAsia="Arial" w:hAnsi="Arial"/>
                <w:sz w:val="20"/>
                <w:szCs w:val="20"/>
                <w:b w:val="1"/>
                <w:bCs w:val="1"/>
                <w:color w:val="auto"/>
              </w:rPr>
              <w:t>2018</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0"/>
                <w:szCs w:val="20"/>
                <w:color w:val="auto"/>
              </w:rPr>
            </w:pPr>
            <w:r>
              <w:rPr>
                <w:rFonts w:ascii="Arial" w:cs="Arial" w:eastAsia="Arial" w:hAnsi="Arial"/>
                <w:sz w:val="20"/>
                <w:szCs w:val="20"/>
                <w:b w:val="1"/>
                <w:bCs w:val="1"/>
                <w:color w:val="auto"/>
              </w:rPr>
              <w:t>Avg.</w:t>
            </w:r>
          </w:p>
        </w:tc>
      </w:tr>
      <w:tr>
        <w:trPr>
          <w:trHeight w:val="23"/>
        </w:trPr>
        <w:tc>
          <w:tcPr>
            <w:tcW w:w="4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7"/>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First Quarter</w:t>
            </w:r>
          </w:p>
        </w:tc>
        <w:tc>
          <w:tcPr>
            <w:tcW w:w="116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20"/>
                <w:szCs w:val="20"/>
                <w:color w:val="auto"/>
              </w:rPr>
              <w:t>1,992</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20"/>
                <w:szCs w:val="20"/>
                <w:color w:val="auto"/>
              </w:rPr>
              <w:t>1,766</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1,830</w:t>
            </w:r>
          </w:p>
        </w:tc>
        <w:tc>
          <w:tcPr>
            <w:tcW w:w="4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20"/>
                <w:szCs w:val="20"/>
                <w:color w:val="auto"/>
              </w:rPr>
              <w:t>—</w:t>
            </w:r>
          </w:p>
        </w:tc>
        <w:tc>
          <w:tcPr>
            <w:tcW w:w="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w:t>
            </w:r>
          </w:p>
        </w:tc>
      </w:tr>
      <w:tr>
        <w:trPr>
          <w:trHeight w:val="261"/>
        </w:trPr>
        <w:tc>
          <w:tcPr>
            <w:tcW w:w="4340" w:type="dxa"/>
            <w:vAlign w:val="bottom"/>
          </w:tcPr>
          <w:p>
            <w:pPr>
              <w:ind w:left="40"/>
              <w:spacing w:after="0"/>
              <w:rPr>
                <w:sz w:val="20"/>
                <w:szCs w:val="20"/>
                <w:color w:val="auto"/>
              </w:rPr>
            </w:pPr>
            <w:r>
              <w:rPr>
                <w:rFonts w:ascii="Arial" w:cs="Arial" w:eastAsia="Arial" w:hAnsi="Arial"/>
                <w:sz w:val="20"/>
                <w:szCs w:val="20"/>
                <w:color w:val="auto"/>
              </w:rPr>
              <w:t>Second Quarter</w:t>
            </w:r>
          </w:p>
        </w:tc>
        <w:tc>
          <w:tcPr>
            <w:tcW w:w="1160" w:type="dxa"/>
            <w:vAlign w:val="bottom"/>
          </w:tcPr>
          <w:p>
            <w:pPr>
              <w:jc w:val="right"/>
              <w:ind w:right="181"/>
              <w:spacing w:after="0"/>
              <w:rPr>
                <w:sz w:val="20"/>
                <w:szCs w:val="20"/>
                <w:color w:val="auto"/>
              </w:rPr>
            </w:pPr>
            <w:r>
              <w:rPr>
                <w:rFonts w:ascii="Arial" w:cs="Arial" w:eastAsia="Arial" w:hAnsi="Arial"/>
                <w:sz w:val="20"/>
                <w:szCs w:val="20"/>
                <w:color w:val="auto"/>
              </w:rPr>
              <w:t>467</w:t>
            </w:r>
          </w:p>
        </w:tc>
        <w:tc>
          <w:tcPr>
            <w:tcW w:w="200" w:type="dxa"/>
            <w:vAlign w:val="bottom"/>
          </w:tcPr>
          <w:p>
            <w:pPr>
              <w:spacing w:after="0"/>
              <w:rPr>
                <w:sz w:val="22"/>
                <w:szCs w:val="22"/>
                <w:color w:val="auto"/>
              </w:rPr>
            </w:pPr>
          </w:p>
        </w:tc>
        <w:tc>
          <w:tcPr>
            <w:tcW w:w="1160" w:type="dxa"/>
            <w:vAlign w:val="bottom"/>
          </w:tcPr>
          <w:p>
            <w:pPr>
              <w:jc w:val="right"/>
              <w:ind w:right="181"/>
              <w:spacing w:after="0"/>
              <w:rPr>
                <w:sz w:val="20"/>
                <w:szCs w:val="20"/>
                <w:color w:val="auto"/>
              </w:rPr>
            </w:pPr>
            <w:r>
              <w:rPr>
                <w:rFonts w:ascii="Arial" w:cs="Arial" w:eastAsia="Arial" w:hAnsi="Arial"/>
                <w:sz w:val="20"/>
                <w:szCs w:val="20"/>
                <w:color w:val="auto"/>
              </w:rPr>
              <w:t>471</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ind w:right="21"/>
              <w:spacing w:after="0"/>
              <w:rPr>
                <w:sz w:val="20"/>
                <w:szCs w:val="20"/>
                <w:color w:val="auto"/>
              </w:rPr>
            </w:pPr>
            <w:r>
              <w:rPr>
                <w:rFonts w:ascii="Arial" w:cs="Arial" w:eastAsia="Arial" w:hAnsi="Arial"/>
                <w:sz w:val="20"/>
                <w:szCs w:val="20"/>
                <w:color w:val="auto"/>
              </w:rPr>
              <w:t>653</w:t>
            </w:r>
          </w:p>
        </w:tc>
        <w:tc>
          <w:tcPr>
            <w:tcW w:w="420" w:type="dxa"/>
            <w:vAlign w:val="bottom"/>
          </w:tcPr>
          <w:p>
            <w:pPr>
              <w:spacing w:after="0"/>
              <w:rPr>
                <w:sz w:val="22"/>
                <w:szCs w:val="22"/>
                <w:color w:val="auto"/>
              </w:rPr>
            </w:pPr>
          </w:p>
        </w:tc>
        <w:tc>
          <w:tcPr>
            <w:tcW w:w="880" w:type="dxa"/>
            <w:vAlign w:val="bottom"/>
          </w:tcPr>
          <w:p>
            <w:pPr>
              <w:jc w:val="right"/>
              <w:ind w:right="101"/>
              <w:spacing w:after="0"/>
              <w:rPr>
                <w:sz w:val="20"/>
                <w:szCs w:val="20"/>
                <w:color w:val="auto"/>
              </w:rPr>
            </w:pPr>
            <w:r>
              <w:rPr>
                <w:rFonts w:ascii="Arial" w:cs="Arial" w:eastAsia="Arial" w:hAnsi="Arial"/>
                <w:sz w:val="20"/>
                <w:szCs w:val="20"/>
                <w:color w:val="auto"/>
              </w:rPr>
              <w:t>102</w:t>
            </w:r>
          </w:p>
        </w:tc>
        <w:tc>
          <w:tcPr>
            <w:tcW w:w="200" w:type="dxa"/>
            <w:vAlign w:val="bottom"/>
          </w:tcPr>
          <w:p>
            <w:pPr>
              <w:spacing w:after="0"/>
              <w:rPr>
                <w:sz w:val="22"/>
                <w:szCs w:val="22"/>
                <w:color w:val="auto"/>
              </w:rPr>
            </w:pPr>
          </w:p>
        </w:tc>
        <w:tc>
          <w:tcPr>
            <w:tcW w:w="880" w:type="dxa"/>
            <w:vAlign w:val="bottom"/>
          </w:tcPr>
          <w:p>
            <w:pPr>
              <w:jc w:val="right"/>
              <w:ind w:right="101"/>
              <w:spacing w:after="0"/>
              <w:rPr>
                <w:sz w:val="20"/>
                <w:szCs w:val="20"/>
                <w:color w:val="auto"/>
              </w:rPr>
            </w:pPr>
            <w:r>
              <w:rPr>
                <w:rFonts w:ascii="Arial" w:cs="Arial" w:eastAsia="Arial" w:hAnsi="Arial"/>
                <w:sz w:val="20"/>
                <w:szCs w:val="20"/>
                <w:color w:val="auto"/>
              </w:rPr>
              <w:t>116</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ind w:left="280"/>
              <w:spacing w:after="0"/>
              <w:rPr>
                <w:sz w:val="20"/>
                <w:szCs w:val="20"/>
                <w:color w:val="auto"/>
              </w:rPr>
            </w:pPr>
            <w:r>
              <w:rPr>
                <w:rFonts w:ascii="Arial" w:cs="Arial" w:eastAsia="Arial" w:hAnsi="Arial"/>
                <w:sz w:val="20"/>
                <w:szCs w:val="20"/>
                <w:color w:val="auto"/>
              </w:rPr>
              <w:t>88</w:t>
            </w:r>
          </w:p>
        </w:tc>
      </w:tr>
      <w:tr>
        <w:trPr>
          <w:trHeight w:val="23"/>
        </w:trPr>
        <w:tc>
          <w:tcPr>
            <w:tcW w:w="4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72"/>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20"/>
                <w:szCs w:val="20"/>
                <w:color w:val="auto"/>
              </w:rPr>
              <w:t>Year-to-date</w:t>
            </w:r>
          </w:p>
        </w:tc>
        <w:tc>
          <w:tcPr>
            <w:tcW w:w="11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rPr>
              <w:t>2,459</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rPr>
              <w:t>2,237</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2,483</w:t>
            </w:r>
          </w:p>
        </w:tc>
        <w:tc>
          <w:tcPr>
            <w:tcW w:w="4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rPr>
              <w:t>102</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rPr>
              <w:t>116</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20"/>
                <w:szCs w:val="20"/>
                <w:color w:val="auto"/>
              </w:rPr>
              <w:t>88</w:t>
            </w:r>
          </w:p>
        </w:tc>
      </w:tr>
      <w:tr>
        <w:trPr>
          <w:trHeight w:val="20"/>
        </w:trPr>
        <w:tc>
          <w:tcPr>
            <w:tcW w:w="4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64"/>
        </w:trPr>
        <w:tc>
          <w:tcPr>
            <w:tcW w:w="4340" w:type="dxa"/>
            <w:vAlign w:val="bottom"/>
          </w:tcPr>
          <w:p>
            <w:pPr>
              <w:ind w:left="380"/>
              <w:spacing w:after="0"/>
              <w:rPr>
                <w:sz w:val="20"/>
                <w:szCs w:val="20"/>
                <w:color w:val="auto"/>
              </w:rPr>
            </w:pPr>
            <w:r>
              <w:rPr>
                <w:rFonts w:ascii="Arial" w:cs="Arial" w:eastAsia="Arial" w:hAnsi="Arial"/>
                <w:sz w:val="20"/>
                <w:szCs w:val="20"/>
                <w:color w:val="auto"/>
                <w:w w:val="96"/>
              </w:rPr>
              <w:t>Increase/(decrease) from the 15-year average</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200" w:type="dxa"/>
            <w:vAlign w:val="bottom"/>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w:t>
            </w:r>
          </w:p>
        </w:tc>
        <w:tc>
          <w:tcPr>
            <w:tcW w:w="20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20"/>
        </w:trPr>
        <w:tc>
          <w:tcPr>
            <w:tcW w:w="4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13"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i w:val="1"/>
          <w:iCs w:val="1"/>
          <w:color w:val="auto"/>
        </w:rPr>
        <w:t xml:space="preserve">Wholesale revenues </w:t>
      </w:r>
      <w:r>
        <w:rPr>
          <w:rFonts w:ascii="Arial" w:cs="Arial" w:eastAsia="Arial" w:hAnsi="Arial"/>
          <w:sz w:val="20"/>
          <w:szCs w:val="20"/>
          <w:color w:val="auto"/>
        </w:rPr>
        <w:t>for the six months ended June 30, 2019 increased $1 million, or 2%, from the six months ended June 30, 2018, with the</w:t>
      </w:r>
      <w:r>
        <w:rPr>
          <w:rFonts w:ascii="Arial" w:cs="Arial" w:eastAsia="Arial" w:hAnsi="Arial"/>
          <w:sz w:val="20"/>
          <w:szCs w:val="20"/>
          <w:i w:val="1"/>
          <w:iCs w:val="1"/>
          <w:color w:val="auto"/>
        </w:rPr>
        <w:t xml:space="preserve"> </w:t>
      </w:r>
      <w:r>
        <w:rPr>
          <w:rFonts w:ascii="Arial" w:cs="Arial" w:eastAsia="Arial" w:hAnsi="Arial"/>
          <w:sz w:val="20"/>
          <w:szCs w:val="20"/>
          <w:color w:val="auto"/>
        </w:rPr>
        <w:t>increase comprised largely of $14 million related to a 33% increase in average wholesale sales prices partially offset by $10 million related to a 24% decrease in wholesale sales volumes. Higher, and considerably more volatile, wholesale power prices resulted from the high retail demand and natural gas supply constraints in the region.</w:t>
      </w:r>
    </w:p>
    <w:p>
      <w:pPr>
        <w:spacing w:after="0" w:line="205"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i w:val="1"/>
          <w:iCs w:val="1"/>
          <w:color w:val="auto"/>
        </w:rPr>
        <w:t xml:space="preserve">Other operating revenues </w:t>
      </w:r>
      <w:r>
        <w:rPr>
          <w:rFonts w:ascii="Arial" w:cs="Arial" w:eastAsia="Arial" w:hAnsi="Arial"/>
          <w:sz w:val="20"/>
          <w:szCs w:val="20"/>
          <w:color w:val="auto"/>
        </w:rPr>
        <w:t>for the six months ended June 30, 2019 increased $19 million from the six months ended June 30, 2018 driven</w:t>
      </w:r>
      <w:r>
        <w:rPr>
          <w:rFonts w:ascii="Arial" w:cs="Arial" w:eastAsia="Arial" w:hAnsi="Arial"/>
          <w:sz w:val="20"/>
          <w:szCs w:val="20"/>
          <w:i w:val="1"/>
          <w:iCs w:val="1"/>
          <w:color w:val="auto"/>
        </w:rPr>
        <w:t xml:space="preserve"> </w:t>
      </w:r>
      <w:r>
        <w:rPr>
          <w:rFonts w:ascii="Arial" w:cs="Arial" w:eastAsia="Arial" w:hAnsi="Arial"/>
          <w:sz w:val="20"/>
          <w:szCs w:val="20"/>
          <w:color w:val="auto"/>
        </w:rPr>
        <w:t>primarily by the sale of natural gas in excess of amounts needed for the Company’s generation portfolio back into the wholesale market during periods of high gas prices.</w:t>
      </w:r>
    </w:p>
    <w:p>
      <w:pPr>
        <w:spacing w:after="0" w:line="180" w:lineRule="exact"/>
        <w:rPr>
          <w:sz w:val="20"/>
          <w:szCs w:val="20"/>
          <w:color w:val="auto"/>
        </w:rPr>
      </w:pPr>
    </w:p>
    <w:p>
      <w:pPr>
        <w:jc w:val="both"/>
        <w:ind w:right="400"/>
        <w:spacing w:after="0" w:line="253" w:lineRule="auto"/>
        <w:rPr>
          <w:sz w:val="20"/>
          <w:szCs w:val="20"/>
          <w:color w:val="auto"/>
        </w:rPr>
      </w:pPr>
      <w:r>
        <w:rPr>
          <w:rFonts w:ascii="Arial" w:cs="Arial" w:eastAsia="Arial" w:hAnsi="Arial"/>
          <w:sz w:val="20"/>
          <w:szCs w:val="20"/>
          <w:b w:val="1"/>
          <w:bCs w:val="1"/>
          <w:color w:val="auto"/>
        </w:rPr>
        <w:t xml:space="preserve">Purchased power and fuel </w:t>
      </w:r>
      <w:r>
        <w:rPr>
          <w:rFonts w:ascii="Arial" w:cs="Arial" w:eastAsia="Arial" w:hAnsi="Arial"/>
          <w:sz w:val="20"/>
          <w:szCs w:val="20"/>
          <w:color w:val="auto"/>
        </w:rPr>
        <w:t>expense increased $50 million, or 21%, for the six months ended June 30, 2019 compared with the six months</w:t>
      </w:r>
      <w:r>
        <w:rPr>
          <w:rFonts w:ascii="Arial" w:cs="Arial" w:eastAsia="Arial" w:hAnsi="Arial"/>
          <w:sz w:val="20"/>
          <w:szCs w:val="20"/>
          <w:b w:val="1"/>
          <w:bCs w:val="1"/>
          <w:color w:val="auto"/>
        </w:rPr>
        <w:t xml:space="preserve"> </w:t>
      </w:r>
      <w:r>
        <w:rPr>
          <w:rFonts w:ascii="Arial" w:cs="Arial" w:eastAsia="Arial" w:hAnsi="Arial"/>
          <w:sz w:val="20"/>
          <w:szCs w:val="20"/>
          <w:color w:val="auto"/>
        </w:rPr>
        <w:t>ended June 30, 2018. This change consisted of $69 million increase related to the average variable power cost per MWh, and a $19 million decrease related to total system load.</w:t>
      </w:r>
    </w:p>
    <w:p>
      <w:pPr>
        <w:spacing w:after="0" w:line="197"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color w:val="auto"/>
        </w:rPr>
        <w:t>The $69 million increase due to a change in the average variable power cost to $26.92 per MWh in the six months ended June 30, 2019 from $21.51 per MWh in the six months ended June 30, 2018, was driven primarily by a 66% increase in the average variable power cost per MWh for purchased power. For the six months ended June 30, 2019, the region faced a variety of factors that increased both the demand and the price per MWh for the period, including: colder temperatures; lower hydro and wind production; and limited natural gas supply due to pipeline maintenance. This was partially offset as the Company effectively dispatched PGE-owned generating facilities at lower than market prices.</w:t>
      </w:r>
    </w:p>
    <w:p>
      <w:pPr>
        <w:spacing w:after="0" w:line="179" w:lineRule="exact"/>
        <w:rPr>
          <w:sz w:val="20"/>
          <w:szCs w:val="20"/>
          <w:color w:val="auto"/>
        </w:rPr>
      </w:pPr>
    </w:p>
    <w:p>
      <w:pPr>
        <w:ind w:right="500"/>
        <w:spacing w:after="0" w:line="260" w:lineRule="auto"/>
        <w:rPr>
          <w:sz w:val="20"/>
          <w:szCs w:val="20"/>
          <w:color w:val="auto"/>
        </w:rPr>
      </w:pPr>
      <w:r>
        <w:rPr>
          <w:rFonts w:ascii="Arial" w:cs="Arial" w:eastAsia="Arial" w:hAnsi="Arial"/>
          <w:sz w:val="20"/>
          <w:szCs w:val="20"/>
          <w:color w:val="auto"/>
        </w:rPr>
        <w:t>The $19 million decrease related to total system load was driven primarily by a 27% decrease in purchased power, partially offset by 19% higher generation.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color w:val="auto"/>
        </w:rPr>
        <w:t>The sources of energy for PGE’s total system load, as well as its retail load requirement,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6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540" w:type="dxa"/>
            <w:vAlign w:val="bottom"/>
            <w:gridSpan w:val="3"/>
          </w:tcPr>
          <w:p>
            <w:pPr>
              <w:jc w:val="right"/>
              <w:ind w:right="41"/>
              <w:spacing w:after="0"/>
              <w:rPr>
                <w:sz w:val="20"/>
                <w:szCs w:val="20"/>
                <w:color w:val="auto"/>
              </w:rPr>
            </w:pPr>
            <w:r>
              <w:rPr>
                <w:rFonts w:ascii="Arial" w:cs="Arial" w:eastAsia="Arial" w:hAnsi="Arial"/>
                <w:sz w:val="20"/>
                <w:szCs w:val="20"/>
                <w:b w:val="1"/>
                <w:bCs w:val="1"/>
                <w:color w:val="auto"/>
                <w:w w:val="91"/>
              </w:rPr>
              <w:t>Six Months Ended June 30,</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3"/>
        </w:trPr>
        <w:tc>
          <w:tcPr>
            <w:tcW w:w="5620" w:type="dxa"/>
            <w:vAlign w:val="bottom"/>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r>
      <w:tr>
        <w:trPr>
          <w:trHeight w:val="254"/>
        </w:trPr>
        <w:tc>
          <w:tcPr>
            <w:tcW w:w="5620" w:type="dxa"/>
            <w:vAlign w:val="bottom"/>
          </w:tcPr>
          <w:p>
            <w:pPr>
              <w:spacing w:after="0"/>
              <w:rPr>
                <w:sz w:val="22"/>
                <w:szCs w:val="22"/>
                <w:color w:val="auto"/>
              </w:rPr>
            </w:pPr>
          </w:p>
        </w:tc>
        <w:tc>
          <w:tcPr>
            <w:tcW w:w="1680" w:type="dxa"/>
            <w:vAlign w:val="bottom"/>
            <w:gridSpan w:val="3"/>
          </w:tcPr>
          <w:p>
            <w:pPr>
              <w:jc w:val="right"/>
              <w:ind w:right="80"/>
              <w:spacing w:after="0"/>
              <w:rPr>
                <w:sz w:val="20"/>
                <w:szCs w:val="20"/>
                <w:color w:val="auto"/>
              </w:rPr>
            </w:pPr>
            <w:r>
              <w:rPr>
                <w:rFonts w:ascii="Arial" w:cs="Arial" w:eastAsia="Arial" w:hAnsi="Arial"/>
                <w:sz w:val="20"/>
                <w:szCs w:val="20"/>
                <w:b w:val="1"/>
                <w:bCs w:val="1"/>
                <w:color w:val="auto"/>
              </w:rPr>
              <w:t>2019</w:t>
            </w: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80" w:type="dxa"/>
            <w:vAlign w:val="bottom"/>
            <w:gridSpan w:val="3"/>
          </w:tcPr>
          <w:p>
            <w:pPr>
              <w:jc w:val="right"/>
              <w:ind w:right="1081"/>
              <w:spacing w:after="0"/>
              <w:rPr>
                <w:sz w:val="20"/>
                <w:szCs w:val="20"/>
                <w:color w:val="auto"/>
              </w:rPr>
            </w:pPr>
            <w:r>
              <w:rPr>
                <w:rFonts w:ascii="Arial" w:cs="Arial" w:eastAsia="Arial" w:hAnsi="Arial"/>
                <w:sz w:val="20"/>
                <w:szCs w:val="20"/>
                <w:b w:val="1"/>
                <w:bCs w:val="1"/>
                <w:color w:val="auto"/>
                <w:w w:val="85"/>
              </w:rPr>
              <w:t>2018</w:t>
            </w:r>
          </w:p>
        </w:tc>
      </w:tr>
      <w:tr>
        <w:trPr>
          <w:trHeight w:val="23"/>
        </w:trPr>
        <w:tc>
          <w:tcPr>
            <w:tcW w:w="56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b w:val="1"/>
                <w:bCs w:val="1"/>
                <w:color w:val="auto"/>
              </w:rPr>
              <w:t>Sources of energy (MWh in thousands):</w:t>
            </w: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61"/>
        </w:trPr>
        <w:tc>
          <w:tcPr>
            <w:tcW w:w="5620" w:type="dxa"/>
            <w:vAlign w:val="bottom"/>
          </w:tcPr>
          <w:p>
            <w:pPr>
              <w:ind w:left="40"/>
              <w:spacing w:after="0"/>
              <w:rPr>
                <w:sz w:val="20"/>
                <w:szCs w:val="20"/>
                <w:color w:val="auto"/>
              </w:rPr>
            </w:pPr>
            <w:r>
              <w:rPr>
                <w:rFonts w:ascii="Arial" w:cs="Arial" w:eastAsia="Arial" w:hAnsi="Arial"/>
                <w:sz w:val="20"/>
                <w:szCs w:val="20"/>
                <w:color w:val="auto"/>
              </w:rPr>
              <w:t>Generation:</w:t>
            </w: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3"/>
        </w:trPr>
        <w:tc>
          <w:tcPr>
            <w:tcW w:w="5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Thermal:</w:t>
            </w:r>
          </w:p>
        </w:tc>
        <w:tc>
          <w:tcPr>
            <w:tcW w:w="1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61"/>
        </w:trPr>
        <w:tc>
          <w:tcPr>
            <w:tcW w:w="5620" w:type="dxa"/>
            <w:vAlign w:val="bottom"/>
          </w:tcPr>
          <w:p>
            <w:pPr>
              <w:ind w:left="500"/>
              <w:spacing w:after="0"/>
              <w:rPr>
                <w:sz w:val="20"/>
                <w:szCs w:val="20"/>
                <w:color w:val="auto"/>
              </w:rPr>
            </w:pPr>
            <w:r>
              <w:rPr>
                <w:rFonts w:ascii="Arial" w:cs="Arial" w:eastAsia="Arial" w:hAnsi="Arial"/>
                <w:sz w:val="20"/>
                <w:szCs w:val="20"/>
                <w:color w:val="auto"/>
              </w:rPr>
              <w:t>Natural gas</w:t>
            </w: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3,318</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31%</w:t>
            </w:r>
          </w:p>
        </w:tc>
        <w:tc>
          <w:tcPr>
            <w:tcW w:w="2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2,691</w:t>
            </w:r>
          </w:p>
        </w:tc>
        <w:tc>
          <w:tcPr>
            <w:tcW w:w="1580" w:type="dxa"/>
            <w:vAlign w:val="bottom"/>
            <w:gridSpan w:val="3"/>
          </w:tcPr>
          <w:p>
            <w:pPr>
              <w:jc w:val="right"/>
              <w:spacing w:after="0"/>
              <w:rPr>
                <w:sz w:val="20"/>
                <w:szCs w:val="20"/>
                <w:color w:val="auto"/>
              </w:rPr>
            </w:pPr>
            <w:r>
              <w:rPr>
                <w:rFonts w:ascii="Arial" w:cs="Arial" w:eastAsia="Arial" w:hAnsi="Arial"/>
                <w:sz w:val="20"/>
                <w:szCs w:val="20"/>
                <w:color w:val="auto"/>
              </w:rPr>
              <w:t>24%</w:t>
            </w:r>
          </w:p>
        </w:tc>
      </w:tr>
      <w:tr>
        <w:trPr>
          <w:trHeight w:val="23"/>
        </w:trPr>
        <w:tc>
          <w:tcPr>
            <w:tcW w:w="5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84"/>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20"/>
                <w:szCs w:val="20"/>
                <w:color w:val="auto"/>
              </w:rPr>
              <w:t>Coal</w:t>
            </w:r>
          </w:p>
        </w:tc>
        <w:tc>
          <w:tcPr>
            <w:tcW w:w="12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1,713</w:t>
            </w:r>
          </w:p>
        </w:tc>
        <w:tc>
          <w:tcPr>
            <w:tcW w:w="2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rPr>
              <w:t>16</w:t>
            </w:r>
          </w:p>
        </w:tc>
        <w:tc>
          <w:tcPr>
            <w:tcW w:w="2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966</w:t>
            </w:r>
          </w:p>
        </w:tc>
        <w:tc>
          <w:tcPr>
            <w:tcW w:w="1580" w:type="dxa"/>
            <w:vAlign w:val="bottom"/>
            <w:tcBorders>
              <w:bottom w:val="single" w:sz="8" w:color="CCEEFF"/>
            </w:tcBorders>
            <w:gridSpan w:val="3"/>
            <w:shd w:val="clear" w:color="auto" w:fill="CCEEFF"/>
          </w:tcPr>
          <w:p>
            <w:pPr>
              <w:jc w:val="right"/>
              <w:ind w:right="101"/>
              <w:spacing w:after="0"/>
              <w:rPr>
                <w:sz w:val="20"/>
                <w:szCs w:val="20"/>
                <w:color w:val="auto"/>
              </w:rPr>
            </w:pPr>
            <w:r>
              <w:rPr>
                <w:rFonts w:ascii="Arial" w:cs="Arial" w:eastAsia="Arial" w:hAnsi="Arial"/>
                <w:sz w:val="20"/>
                <w:szCs w:val="20"/>
                <w:color w:val="auto"/>
              </w:rPr>
              <w:t>9</w:t>
            </w:r>
          </w:p>
        </w:tc>
      </w:tr>
      <w:tr>
        <w:trPr>
          <w:trHeight w:val="254"/>
        </w:trPr>
        <w:tc>
          <w:tcPr>
            <w:tcW w:w="5620" w:type="dxa"/>
            <w:vAlign w:val="bottom"/>
          </w:tcPr>
          <w:p>
            <w:pPr>
              <w:ind w:left="720"/>
              <w:spacing w:after="0"/>
              <w:rPr>
                <w:sz w:val="20"/>
                <w:szCs w:val="20"/>
                <w:color w:val="auto"/>
              </w:rPr>
            </w:pPr>
            <w:r>
              <w:rPr>
                <w:rFonts w:ascii="Arial" w:cs="Arial" w:eastAsia="Arial" w:hAnsi="Arial"/>
                <w:sz w:val="20"/>
                <w:szCs w:val="20"/>
                <w:color w:val="auto"/>
              </w:rPr>
              <w:t>Total thermal</w:t>
            </w:r>
          </w:p>
        </w:tc>
        <w:tc>
          <w:tcPr>
            <w:tcW w:w="124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5,031</w:t>
            </w:r>
          </w:p>
        </w:tc>
        <w:tc>
          <w:tcPr>
            <w:tcW w:w="2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101"/>
              <w:spacing w:after="0"/>
              <w:rPr>
                <w:sz w:val="20"/>
                <w:szCs w:val="20"/>
                <w:color w:val="auto"/>
              </w:rPr>
            </w:pPr>
            <w:r>
              <w:rPr>
                <w:rFonts w:ascii="Arial" w:cs="Arial" w:eastAsia="Arial" w:hAnsi="Arial"/>
                <w:sz w:val="20"/>
                <w:szCs w:val="20"/>
                <w:color w:val="auto"/>
              </w:rPr>
              <w:t>47</w:t>
            </w:r>
          </w:p>
        </w:tc>
        <w:tc>
          <w:tcPr>
            <w:tcW w:w="220" w:type="dxa"/>
            <w:vAlign w:val="bottom"/>
          </w:tcPr>
          <w:p>
            <w:pPr>
              <w:spacing w:after="0"/>
              <w:rPr>
                <w:sz w:val="22"/>
                <w:szCs w:val="22"/>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3,657</w:t>
            </w:r>
          </w:p>
        </w:tc>
        <w:tc>
          <w:tcPr>
            <w:tcW w:w="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Borders>
              <w:top w:val="single" w:sz="8" w:color="auto"/>
            </w:tcBorders>
          </w:tcPr>
          <w:p>
            <w:pPr>
              <w:jc w:val="right"/>
              <w:ind w:right="101"/>
              <w:spacing w:after="0"/>
              <w:rPr>
                <w:sz w:val="20"/>
                <w:szCs w:val="20"/>
                <w:color w:val="auto"/>
              </w:rPr>
            </w:pPr>
            <w:r>
              <w:rPr>
                <w:rFonts w:ascii="Arial" w:cs="Arial" w:eastAsia="Arial" w:hAnsi="Arial"/>
                <w:sz w:val="20"/>
                <w:szCs w:val="20"/>
                <w:color w:val="auto"/>
              </w:rPr>
              <w:t>33</w:t>
            </w:r>
          </w:p>
        </w:tc>
      </w:tr>
      <w:tr>
        <w:trPr>
          <w:trHeight w:val="23"/>
        </w:trPr>
        <w:tc>
          <w:tcPr>
            <w:tcW w:w="5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Hydro</w:t>
            </w:r>
          </w:p>
        </w:tc>
        <w:tc>
          <w:tcPr>
            <w:tcW w:w="12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837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rPr>
              <w:t>8</w:t>
            </w: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867</w:t>
            </w:r>
          </w:p>
        </w:tc>
        <w:tc>
          <w:tcPr>
            <w:tcW w:w="1580" w:type="dxa"/>
            <w:vAlign w:val="bottom"/>
            <w:tcBorders>
              <w:bottom w:val="single" w:sz="8" w:color="CCEEFF"/>
            </w:tcBorders>
            <w:gridSpan w:val="3"/>
            <w:shd w:val="clear" w:color="auto" w:fill="CCEEFF"/>
          </w:tcPr>
          <w:p>
            <w:pPr>
              <w:jc w:val="right"/>
              <w:ind w:right="101"/>
              <w:spacing w:after="0"/>
              <w:rPr>
                <w:sz w:val="20"/>
                <w:szCs w:val="20"/>
                <w:color w:val="auto"/>
              </w:rPr>
            </w:pPr>
            <w:r>
              <w:rPr>
                <w:rFonts w:ascii="Arial" w:cs="Arial" w:eastAsia="Arial" w:hAnsi="Arial"/>
                <w:sz w:val="20"/>
                <w:szCs w:val="20"/>
                <w:color w:val="auto"/>
              </w:rPr>
              <w:t>8</w:t>
            </w:r>
          </w:p>
        </w:tc>
      </w:tr>
      <w:tr>
        <w:trPr>
          <w:trHeight w:val="261"/>
        </w:trPr>
        <w:tc>
          <w:tcPr>
            <w:tcW w:w="5620" w:type="dxa"/>
            <w:vAlign w:val="bottom"/>
          </w:tcPr>
          <w:p>
            <w:pPr>
              <w:ind w:left="280"/>
              <w:spacing w:after="0"/>
              <w:rPr>
                <w:sz w:val="20"/>
                <w:szCs w:val="20"/>
                <w:color w:val="auto"/>
              </w:rPr>
            </w:pPr>
            <w:r>
              <w:rPr>
                <w:rFonts w:ascii="Arial" w:cs="Arial" w:eastAsia="Arial" w:hAnsi="Arial"/>
                <w:sz w:val="20"/>
                <w:szCs w:val="20"/>
                <w:color w:val="auto"/>
              </w:rPr>
              <w:t>Wind</w:t>
            </w: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820</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ind w:right="101"/>
              <w:spacing w:after="0"/>
              <w:rPr>
                <w:sz w:val="20"/>
                <w:szCs w:val="20"/>
                <w:color w:val="auto"/>
              </w:rPr>
            </w:pPr>
            <w:r>
              <w:rPr>
                <w:rFonts w:ascii="Arial" w:cs="Arial" w:eastAsia="Arial" w:hAnsi="Arial"/>
                <w:sz w:val="20"/>
                <w:szCs w:val="20"/>
                <w:color w:val="auto"/>
              </w:rPr>
              <w:t>8</w:t>
            </w:r>
          </w:p>
        </w:tc>
        <w:tc>
          <w:tcPr>
            <w:tcW w:w="2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1,088</w:t>
            </w:r>
          </w:p>
        </w:tc>
        <w:tc>
          <w:tcPr>
            <w:tcW w:w="1580" w:type="dxa"/>
            <w:vAlign w:val="bottom"/>
            <w:gridSpan w:val="3"/>
          </w:tcPr>
          <w:p>
            <w:pPr>
              <w:jc w:val="right"/>
              <w:ind w:right="101"/>
              <w:spacing w:after="0"/>
              <w:rPr>
                <w:sz w:val="20"/>
                <w:szCs w:val="20"/>
                <w:color w:val="auto"/>
              </w:rPr>
            </w:pPr>
            <w:r>
              <w:rPr>
                <w:rFonts w:ascii="Arial" w:cs="Arial" w:eastAsia="Arial" w:hAnsi="Arial"/>
                <w:sz w:val="20"/>
                <w:szCs w:val="20"/>
                <w:color w:val="auto"/>
              </w:rPr>
              <w:t>10</w:t>
            </w:r>
          </w:p>
        </w:tc>
      </w:tr>
      <w:tr>
        <w:trPr>
          <w:trHeight w:val="23"/>
        </w:trPr>
        <w:tc>
          <w:tcPr>
            <w:tcW w:w="56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7"/>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Total generation</w:t>
            </w:r>
          </w:p>
        </w:tc>
        <w:tc>
          <w:tcPr>
            <w:tcW w:w="12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6,688</w:t>
            </w:r>
          </w:p>
        </w:tc>
        <w:tc>
          <w:tcPr>
            <w:tcW w:w="2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rPr>
              <w:t>63</w:t>
            </w:r>
          </w:p>
        </w:tc>
        <w:tc>
          <w:tcPr>
            <w:tcW w:w="2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5,612</w:t>
            </w:r>
          </w:p>
        </w:tc>
        <w:tc>
          <w:tcPr>
            <w:tcW w:w="1580" w:type="dxa"/>
            <w:vAlign w:val="bottom"/>
            <w:tcBorders>
              <w:bottom w:val="single" w:sz="8" w:color="CCEEFF"/>
            </w:tcBorders>
            <w:gridSpan w:val="3"/>
            <w:shd w:val="clear" w:color="auto" w:fill="CCEEFF"/>
          </w:tcPr>
          <w:p>
            <w:pPr>
              <w:jc w:val="right"/>
              <w:ind w:right="101"/>
              <w:spacing w:after="0"/>
              <w:rPr>
                <w:sz w:val="20"/>
                <w:szCs w:val="20"/>
                <w:color w:val="auto"/>
              </w:rPr>
            </w:pPr>
            <w:r>
              <w:rPr>
                <w:rFonts w:ascii="Arial" w:cs="Arial" w:eastAsia="Arial" w:hAnsi="Arial"/>
                <w:sz w:val="20"/>
                <w:szCs w:val="20"/>
                <w:color w:val="auto"/>
              </w:rPr>
              <w:t>51</w:t>
            </w:r>
          </w:p>
        </w:tc>
      </w:tr>
      <w:tr>
        <w:trPr>
          <w:trHeight w:val="254"/>
        </w:trPr>
        <w:tc>
          <w:tcPr>
            <w:tcW w:w="5620" w:type="dxa"/>
            <w:vAlign w:val="bottom"/>
          </w:tcPr>
          <w:p>
            <w:pPr>
              <w:ind w:left="40"/>
              <w:spacing w:after="0"/>
              <w:rPr>
                <w:sz w:val="20"/>
                <w:szCs w:val="20"/>
                <w:color w:val="auto"/>
              </w:rPr>
            </w:pPr>
            <w:r>
              <w:rPr>
                <w:rFonts w:ascii="Arial" w:cs="Arial" w:eastAsia="Arial" w:hAnsi="Arial"/>
                <w:sz w:val="20"/>
                <w:szCs w:val="20"/>
                <w:color w:val="auto"/>
              </w:rPr>
              <w:t>Purchased power:</w:t>
            </w:r>
          </w:p>
        </w:tc>
        <w:tc>
          <w:tcPr>
            <w:tcW w:w="124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r>
      <w:tr>
        <w:trPr>
          <w:trHeight w:val="23"/>
        </w:trPr>
        <w:tc>
          <w:tcPr>
            <w:tcW w:w="5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Term</w:t>
            </w:r>
          </w:p>
        </w:tc>
        <w:tc>
          <w:tcPr>
            <w:tcW w:w="12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3,177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rPr>
              <w:t>30</w:t>
            </w: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4,131</w:t>
            </w:r>
          </w:p>
        </w:tc>
        <w:tc>
          <w:tcPr>
            <w:tcW w:w="1580" w:type="dxa"/>
            <w:vAlign w:val="bottom"/>
            <w:tcBorders>
              <w:bottom w:val="single" w:sz="8" w:color="CCEEFF"/>
            </w:tcBorders>
            <w:gridSpan w:val="3"/>
            <w:shd w:val="clear" w:color="auto" w:fill="CCEEFF"/>
          </w:tcPr>
          <w:p>
            <w:pPr>
              <w:jc w:val="right"/>
              <w:ind w:right="101"/>
              <w:spacing w:after="0"/>
              <w:rPr>
                <w:sz w:val="20"/>
                <w:szCs w:val="20"/>
                <w:color w:val="auto"/>
              </w:rPr>
            </w:pPr>
            <w:r>
              <w:rPr>
                <w:rFonts w:ascii="Arial" w:cs="Arial" w:eastAsia="Arial" w:hAnsi="Arial"/>
                <w:sz w:val="20"/>
                <w:szCs w:val="20"/>
                <w:color w:val="auto"/>
              </w:rPr>
              <w:t>38</w:t>
            </w:r>
          </w:p>
        </w:tc>
      </w:tr>
      <w:tr>
        <w:trPr>
          <w:trHeight w:val="261"/>
        </w:trPr>
        <w:tc>
          <w:tcPr>
            <w:tcW w:w="5620" w:type="dxa"/>
            <w:vAlign w:val="bottom"/>
          </w:tcPr>
          <w:p>
            <w:pPr>
              <w:ind w:left="280"/>
              <w:spacing w:after="0"/>
              <w:rPr>
                <w:sz w:val="20"/>
                <w:szCs w:val="20"/>
                <w:color w:val="auto"/>
              </w:rPr>
            </w:pPr>
            <w:r>
              <w:rPr>
                <w:rFonts w:ascii="Arial" w:cs="Arial" w:eastAsia="Arial" w:hAnsi="Arial"/>
                <w:sz w:val="20"/>
                <w:szCs w:val="20"/>
                <w:color w:val="auto"/>
              </w:rPr>
              <w:t>Hydro</w:t>
            </w: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566</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ind w:right="101"/>
              <w:spacing w:after="0"/>
              <w:rPr>
                <w:sz w:val="20"/>
                <w:szCs w:val="20"/>
                <w:color w:val="auto"/>
              </w:rPr>
            </w:pPr>
            <w:r>
              <w:rPr>
                <w:rFonts w:ascii="Arial" w:cs="Arial" w:eastAsia="Arial" w:hAnsi="Arial"/>
                <w:sz w:val="20"/>
                <w:szCs w:val="20"/>
                <w:color w:val="auto"/>
              </w:rPr>
              <w:t>6</w:t>
            </w:r>
          </w:p>
        </w:tc>
        <w:tc>
          <w:tcPr>
            <w:tcW w:w="2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1,006</w:t>
            </w:r>
          </w:p>
        </w:tc>
        <w:tc>
          <w:tcPr>
            <w:tcW w:w="1580" w:type="dxa"/>
            <w:vAlign w:val="bottom"/>
            <w:gridSpan w:val="3"/>
          </w:tcPr>
          <w:p>
            <w:pPr>
              <w:jc w:val="right"/>
              <w:ind w:right="101"/>
              <w:spacing w:after="0"/>
              <w:rPr>
                <w:sz w:val="20"/>
                <w:szCs w:val="20"/>
                <w:color w:val="auto"/>
              </w:rPr>
            </w:pPr>
            <w:r>
              <w:rPr>
                <w:rFonts w:ascii="Arial" w:cs="Arial" w:eastAsia="Arial" w:hAnsi="Arial"/>
                <w:sz w:val="20"/>
                <w:szCs w:val="20"/>
                <w:color w:val="auto"/>
              </w:rPr>
              <w:t>9</w:t>
            </w:r>
          </w:p>
        </w:tc>
      </w:tr>
      <w:tr>
        <w:trPr>
          <w:trHeight w:val="23"/>
        </w:trPr>
        <w:tc>
          <w:tcPr>
            <w:tcW w:w="5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8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Wind</w:t>
            </w:r>
          </w:p>
        </w:tc>
        <w:tc>
          <w:tcPr>
            <w:tcW w:w="12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123</w:t>
            </w:r>
          </w:p>
        </w:tc>
        <w:tc>
          <w:tcPr>
            <w:tcW w:w="2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rPr>
              <w:t>1</w:t>
            </w:r>
          </w:p>
        </w:tc>
        <w:tc>
          <w:tcPr>
            <w:tcW w:w="2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152</w:t>
            </w:r>
          </w:p>
        </w:tc>
        <w:tc>
          <w:tcPr>
            <w:tcW w:w="1580" w:type="dxa"/>
            <w:vAlign w:val="bottom"/>
            <w:tcBorders>
              <w:bottom w:val="single" w:sz="8" w:color="CCEEFF"/>
            </w:tcBorders>
            <w:gridSpan w:val="3"/>
            <w:shd w:val="clear" w:color="auto" w:fill="CCEEFF"/>
          </w:tcPr>
          <w:p>
            <w:pPr>
              <w:jc w:val="right"/>
              <w:ind w:right="101"/>
              <w:spacing w:after="0"/>
              <w:rPr>
                <w:sz w:val="20"/>
                <w:szCs w:val="20"/>
                <w:color w:val="auto"/>
              </w:rPr>
            </w:pPr>
            <w:r>
              <w:rPr>
                <w:rFonts w:ascii="Arial" w:cs="Arial" w:eastAsia="Arial" w:hAnsi="Arial"/>
                <w:sz w:val="20"/>
                <w:szCs w:val="20"/>
                <w:color w:val="auto"/>
              </w:rPr>
              <w:t>2</w:t>
            </w:r>
          </w:p>
        </w:tc>
      </w:tr>
      <w:tr>
        <w:trPr>
          <w:trHeight w:val="254"/>
        </w:trPr>
        <w:tc>
          <w:tcPr>
            <w:tcW w:w="5620" w:type="dxa"/>
            <w:vAlign w:val="bottom"/>
          </w:tcPr>
          <w:p>
            <w:pPr>
              <w:ind w:left="720"/>
              <w:spacing w:after="0"/>
              <w:rPr>
                <w:sz w:val="20"/>
                <w:szCs w:val="20"/>
                <w:color w:val="auto"/>
              </w:rPr>
            </w:pPr>
            <w:r>
              <w:rPr>
                <w:rFonts w:ascii="Arial" w:cs="Arial" w:eastAsia="Arial" w:hAnsi="Arial"/>
                <w:sz w:val="20"/>
                <w:szCs w:val="20"/>
                <w:color w:val="auto"/>
              </w:rPr>
              <w:t>Total purchased power</w:t>
            </w:r>
          </w:p>
        </w:tc>
        <w:tc>
          <w:tcPr>
            <w:tcW w:w="124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3,866</w:t>
            </w:r>
          </w:p>
        </w:tc>
        <w:tc>
          <w:tcPr>
            <w:tcW w:w="2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101"/>
              <w:spacing w:after="0"/>
              <w:rPr>
                <w:sz w:val="20"/>
                <w:szCs w:val="20"/>
                <w:color w:val="auto"/>
              </w:rPr>
            </w:pPr>
            <w:r>
              <w:rPr>
                <w:rFonts w:ascii="Arial" w:cs="Arial" w:eastAsia="Arial" w:hAnsi="Arial"/>
                <w:sz w:val="20"/>
                <w:szCs w:val="20"/>
                <w:color w:val="auto"/>
              </w:rPr>
              <w:t>37</w:t>
            </w:r>
          </w:p>
        </w:tc>
        <w:tc>
          <w:tcPr>
            <w:tcW w:w="220" w:type="dxa"/>
            <w:vAlign w:val="bottom"/>
          </w:tcPr>
          <w:p>
            <w:pPr>
              <w:spacing w:after="0"/>
              <w:rPr>
                <w:sz w:val="22"/>
                <w:szCs w:val="22"/>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5,289</w:t>
            </w:r>
          </w:p>
        </w:tc>
        <w:tc>
          <w:tcPr>
            <w:tcW w:w="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Borders>
              <w:top w:val="single" w:sz="8" w:color="auto"/>
            </w:tcBorders>
          </w:tcPr>
          <w:p>
            <w:pPr>
              <w:jc w:val="right"/>
              <w:ind w:right="101"/>
              <w:spacing w:after="0"/>
              <w:rPr>
                <w:sz w:val="20"/>
                <w:szCs w:val="20"/>
                <w:color w:val="auto"/>
              </w:rPr>
            </w:pPr>
            <w:r>
              <w:rPr>
                <w:rFonts w:ascii="Arial" w:cs="Arial" w:eastAsia="Arial" w:hAnsi="Arial"/>
                <w:sz w:val="20"/>
                <w:szCs w:val="20"/>
                <w:color w:val="auto"/>
              </w:rPr>
              <w:t>49</w:t>
            </w:r>
          </w:p>
        </w:tc>
      </w:tr>
      <w:tr>
        <w:trPr>
          <w:trHeight w:val="23"/>
        </w:trPr>
        <w:tc>
          <w:tcPr>
            <w:tcW w:w="56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312"/>
        </w:trPr>
        <w:tc>
          <w:tcPr>
            <w:tcW w:w="5620" w:type="dxa"/>
            <w:vAlign w:val="bottom"/>
            <w:shd w:val="clear" w:color="auto" w:fill="CCEEFF"/>
          </w:tcPr>
          <w:p>
            <w:pPr>
              <w:ind w:left="720"/>
              <w:spacing w:after="0"/>
              <w:rPr>
                <w:sz w:val="20"/>
                <w:szCs w:val="20"/>
                <w:color w:val="auto"/>
              </w:rPr>
            </w:pPr>
            <w:r>
              <w:rPr>
                <w:rFonts w:ascii="Arial" w:cs="Arial" w:eastAsia="Arial" w:hAnsi="Arial"/>
                <w:sz w:val="20"/>
                <w:szCs w:val="20"/>
                <w:color w:val="auto"/>
              </w:rPr>
              <w:t>Total system load</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10,554</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10,901</w:t>
            </w: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20"/>
                <w:szCs w:val="20"/>
                <w:color w:val="auto"/>
              </w:rPr>
              <w:t>100%</w:t>
            </w:r>
          </w:p>
        </w:tc>
      </w:tr>
      <w:tr>
        <w:trPr>
          <w:trHeight w:val="232"/>
        </w:trPr>
        <w:tc>
          <w:tcPr>
            <w:tcW w:w="5620" w:type="dxa"/>
            <w:vAlign w:val="bottom"/>
            <w:tcBorders>
              <w:top w:val="single" w:sz="8" w:color="CCEEFF"/>
            </w:tcBorders>
          </w:tcPr>
          <w:p>
            <w:pPr>
              <w:ind w:left="40"/>
              <w:spacing w:after="0"/>
              <w:rPr>
                <w:sz w:val="20"/>
                <w:szCs w:val="20"/>
                <w:color w:val="auto"/>
              </w:rPr>
            </w:pPr>
            <w:r>
              <w:rPr>
                <w:rFonts w:ascii="Arial" w:cs="Arial" w:eastAsia="Arial" w:hAnsi="Arial"/>
                <w:sz w:val="20"/>
                <w:szCs w:val="20"/>
                <w:color w:val="auto"/>
              </w:rPr>
              <w:t>Less: wholesale sales</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(1,459)</w:t>
            </w:r>
          </w:p>
        </w:tc>
        <w:tc>
          <w:tcPr>
            <w:tcW w:w="22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(1,915)</w:t>
            </w: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r>
      <w:tr>
        <w:trPr>
          <w:trHeight w:val="23"/>
        </w:trPr>
        <w:tc>
          <w:tcPr>
            <w:tcW w:w="56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72"/>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Retail load requirement</w:t>
            </w: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9,095</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8,986</w:t>
            </w:r>
          </w:p>
        </w:tc>
        <w:tc>
          <w:tcPr>
            <w:tcW w:w="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r>
      <w:tr>
        <w:trPr>
          <w:trHeight w:val="20"/>
        </w:trPr>
        <w:tc>
          <w:tcPr>
            <w:tcW w:w="56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13" w:lineRule="exact"/>
        <w:rPr>
          <w:sz w:val="20"/>
          <w:szCs w:val="20"/>
          <w:color w:val="auto"/>
        </w:rPr>
      </w:pPr>
    </w:p>
    <w:p>
      <w:pPr>
        <w:ind w:right="80"/>
        <w:spacing w:after="0" w:line="269" w:lineRule="auto"/>
        <w:rPr>
          <w:sz w:val="20"/>
          <w:szCs w:val="20"/>
          <w:color w:val="auto"/>
        </w:rPr>
      </w:pPr>
      <w:r>
        <w:rPr>
          <w:rFonts w:ascii="Arial" w:cs="Arial" w:eastAsia="Arial" w:hAnsi="Arial"/>
          <w:sz w:val="19"/>
          <w:szCs w:val="19"/>
          <w:color w:val="auto"/>
        </w:rPr>
        <w:t>Energy received from PGE-owned wind generating resources decreased 25% in the six months ended June 30, 2019 compared with the same period of 2018 as a result of less favorable wind conditions. Energy received from these wind generating resources represented 9% and 12% of the Company’s retail load requirements for the six months ended June 30, 2019 and 2018, respectively.</w:t>
      </w:r>
    </w:p>
    <w:p>
      <w:pPr>
        <w:spacing w:after="0" w:line="184" w:lineRule="exact"/>
        <w:rPr>
          <w:sz w:val="20"/>
          <w:szCs w:val="20"/>
          <w:color w:val="auto"/>
        </w:rPr>
      </w:pPr>
    </w:p>
    <w:p>
      <w:pPr>
        <w:ind w:right="340"/>
        <w:spacing w:after="0" w:line="291" w:lineRule="auto"/>
        <w:rPr>
          <w:sz w:val="20"/>
          <w:szCs w:val="20"/>
          <w:color w:val="auto"/>
        </w:rPr>
      </w:pPr>
      <w:r>
        <w:rPr>
          <w:rFonts w:ascii="Arial" w:cs="Arial" w:eastAsia="Arial" w:hAnsi="Arial"/>
          <w:sz w:val="18"/>
          <w:szCs w:val="18"/>
          <w:color w:val="auto"/>
        </w:rPr>
        <w:t>Due to less favorable hydroelectric conditions, energy received from hydro resources during the six months ended June 30, 2019, from both PGE-owned generating plants and purchased from mid-Columbia projects, decreased 25% compared with the same period of 2018, and represented 15% and 21% of the Company’s retail load requirement for the six months ended June 30, 2019, and 2018, respectively.</w:t>
      </w:r>
    </w:p>
    <w:p>
      <w:pPr>
        <w:spacing w:after="0" w:line="146" w:lineRule="exact"/>
        <w:rPr>
          <w:sz w:val="20"/>
          <w:szCs w:val="20"/>
          <w:color w:val="auto"/>
        </w:rPr>
      </w:pPr>
    </w:p>
    <w:p>
      <w:pPr>
        <w:ind w:right="280"/>
        <w:spacing w:after="0" w:line="285" w:lineRule="auto"/>
        <w:rPr>
          <w:sz w:val="20"/>
          <w:szCs w:val="20"/>
          <w:color w:val="auto"/>
        </w:rPr>
      </w:pPr>
      <w:r>
        <w:rPr>
          <w:rFonts w:ascii="Arial" w:cs="Arial" w:eastAsia="Arial" w:hAnsi="Arial"/>
          <w:sz w:val="18"/>
          <w:szCs w:val="18"/>
          <w:b w:val="1"/>
          <w:bCs w:val="1"/>
          <w:color w:val="auto"/>
        </w:rPr>
        <w:t xml:space="preserve">Actual NVPC </w:t>
      </w:r>
      <w:r>
        <w:rPr>
          <w:rFonts w:ascii="Arial" w:cs="Arial" w:eastAsia="Arial" w:hAnsi="Arial"/>
          <w:sz w:val="18"/>
          <w:szCs w:val="18"/>
          <w:color w:val="auto"/>
        </w:rPr>
        <w:t>for the six months ended June 30, 2019 increased $49 million when compared with the six months ended June 30, 2018. The</w:t>
      </w:r>
      <w:r>
        <w:rPr>
          <w:rFonts w:ascii="Arial" w:cs="Arial" w:eastAsia="Arial" w:hAnsi="Arial"/>
          <w:sz w:val="18"/>
          <w:szCs w:val="18"/>
          <w:b w:val="1"/>
          <w:bCs w:val="1"/>
          <w:color w:val="auto"/>
        </w:rPr>
        <w:t xml:space="preserve"> </w:t>
      </w:r>
      <w:r>
        <w:rPr>
          <w:rFonts w:ascii="Arial" w:cs="Arial" w:eastAsia="Arial" w:hAnsi="Arial"/>
          <w:sz w:val="18"/>
          <w:szCs w:val="18"/>
          <w:color w:val="auto"/>
        </w:rPr>
        <w:t>overall increase was driven by the $50 million increase in purchased power and fuel, which was the result of a 25% increase in the average variable power cost per MWh. For the six months ended June 30, 2019 and 2018, actual NVPC was $6 million above and $27 million below baseline NVPC, respectively. For additional information, see “</w:t>
      </w:r>
      <w:r>
        <w:rPr>
          <w:rFonts w:ascii="Arial" w:cs="Arial" w:eastAsia="Arial" w:hAnsi="Arial"/>
          <w:sz w:val="18"/>
          <w:szCs w:val="18"/>
          <w:i w:val="1"/>
          <w:iCs w:val="1"/>
          <w:color w:val="auto"/>
        </w:rPr>
        <w:t>Purchased power and fuel”</w:t>
      </w:r>
      <w:r>
        <w:rPr>
          <w:rFonts w:ascii="Arial" w:cs="Arial" w:eastAsia="Arial" w:hAnsi="Arial"/>
          <w:sz w:val="18"/>
          <w:szCs w:val="18"/>
          <w:color w:val="auto"/>
        </w:rPr>
        <w:t xml:space="preserve"> section of this Item 2.</w:t>
      </w:r>
    </w:p>
    <w:p>
      <w:pPr>
        <w:spacing w:after="0" w:line="165"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b w:val="1"/>
          <w:bCs w:val="1"/>
          <w:color w:val="auto"/>
        </w:rPr>
        <w:t xml:space="preserve">Generation, transmission and distribution </w:t>
      </w:r>
      <w:r>
        <w:rPr>
          <w:rFonts w:ascii="Arial" w:cs="Arial" w:eastAsia="Arial" w:hAnsi="Arial"/>
          <w:sz w:val="18"/>
          <w:szCs w:val="18"/>
          <w:color w:val="auto"/>
        </w:rPr>
        <w:t>expense increased $23 million, or 16%, in the six months ended June 30, 2019 compared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six months ended June 30, 2018 primarily due to $9 million higher distribution expenses for vegetation management and preventative maintenance, $6 million higher maintenance costs across all PGE plants, $3 million higher expense due to early termination of a long-term services agreement (offset in revenues), $2 million higher storm restoration costs and $2 million higher miscellaneous expenses.</w:t>
      </w:r>
    </w:p>
    <w:p>
      <w:pPr>
        <w:spacing w:after="0" w:line="151" w:lineRule="exact"/>
        <w:rPr>
          <w:sz w:val="20"/>
          <w:szCs w:val="20"/>
          <w:color w:val="auto"/>
        </w:rPr>
      </w:pPr>
    </w:p>
    <w:p>
      <w:pPr>
        <w:ind w:right="140"/>
        <w:spacing w:after="0" w:line="248" w:lineRule="auto"/>
        <w:rPr>
          <w:sz w:val="20"/>
          <w:szCs w:val="20"/>
          <w:color w:val="auto"/>
        </w:rPr>
      </w:pPr>
      <w:r>
        <w:rPr>
          <w:rFonts w:ascii="Arial" w:cs="Arial" w:eastAsia="Arial" w:hAnsi="Arial"/>
          <w:sz w:val="20"/>
          <w:szCs w:val="20"/>
          <w:b w:val="1"/>
          <w:bCs w:val="1"/>
          <w:color w:val="auto"/>
        </w:rPr>
        <w:t xml:space="preserve">Administrative and other </w:t>
      </w:r>
      <w:r>
        <w:rPr>
          <w:rFonts w:ascii="Arial" w:cs="Arial" w:eastAsia="Arial" w:hAnsi="Arial"/>
          <w:sz w:val="20"/>
          <w:szCs w:val="20"/>
          <w:color w:val="auto"/>
        </w:rPr>
        <w:t>expense increased $10 million, or 7%, in the six months ended June 30, 2019 compared with the six months ended</w:t>
      </w:r>
      <w:r>
        <w:rPr>
          <w:rFonts w:ascii="Arial" w:cs="Arial" w:eastAsia="Arial" w:hAnsi="Arial"/>
          <w:sz w:val="20"/>
          <w:szCs w:val="20"/>
          <w:b w:val="1"/>
          <w:bCs w:val="1"/>
          <w:color w:val="auto"/>
        </w:rPr>
        <w:t xml:space="preserve"> </w:t>
      </w:r>
      <w:r>
        <w:rPr>
          <w:rFonts w:ascii="Arial" w:cs="Arial" w:eastAsia="Arial" w:hAnsi="Arial"/>
          <w:sz w:val="20"/>
          <w:szCs w:val="20"/>
          <w:color w:val="auto"/>
        </w:rPr>
        <w:t>June 30, 2018. The increase was primarily due to $7 million higher labor and employee benefit expenses driven by increased headcount and higher medical premiums, $3 million higher information technology expenses, $5 million miscellaneous expenses, offset by $5 million lower legal fees due to the settlement of litigation in 2018.</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right="120"/>
        <w:spacing w:after="0" w:line="253" w:lineRule="auto"/>
        <w:rPr>
          <w:sz w:val="20"/>
          <w:szCs w:val="20"/>
          <w:color w:val="auto"/>
        </w:rPr>
      </w:pPr>
      <w:r>
        <w:rPr>
          <w:rFonts w:ascii="Arial" w:cs="Arial" w:eastAsia="Arial" w:hAnsi="Arial"/>
          <w:sz w:val="20"/>
          <w:szCs w:val="20"/>
          <w:b w:val="1"/>
          <w:bCs w:val="1"/>
          <w:color w:val="auto"/>
        </w:rPr>
        <w:t xml:space="preserve">Depreciation and amortization </w:t>
      </w:r>
      <w:r>
        <w:rPr>
          <w:rFonts w:ascii="Arial" w:cs="Arial" w:eastAsia="Arial" w:hAnsi="Arial"/>
          <w:sz w:val="20"/>
          <w:szCs w:val="20"/>
          <w:color w:val="auto"/>
        </w:rPr>
        <w:t>expense increased $17 million in the six months ended June 30, 2019 compared with the six months ended</w:t>
      </w:r>
      <w:r>
        <w:rPr>
          <w:rFonts w:ascii="Arial" w:cs="Arial" w:eastAsia="Arial" w:hAnsi="Arial"/>
          <w:sz w:val="20"/>
          <w:szCs w:val="20"/>
          <w:b w:val="1"/>
          <w:bCs w:val="1"/>
          <w:color w:val="auto"/>
        </w:rPr>
        <w:t xml:space="preserve"> </w:t>
      </w:r>
      <w:r>
        <w:rPr>
          <w:rFonts w:ascii="Arial" w:cs="Arial" w:eastAsia="Arial" w:hAnsi="Arial"/>
          <w:sz w:val="20"/>
          <w:szCs w:val="20"/>
          <w:color w:val="auto"/>
        </w:rPr>
        <w:t>June 30, 2018. The increase was primarily driven by higher depreciation and amortization expense of $13 million from capital additions, and a $4 million increase to amortization of regulatory deferrals, which is offset in revenues.</w:t>
      </w:r>
    </w:p>
    <w:p>
      <w:pPr>
        <w:spacing w:after="0" w:line="178" w:lineRule="exact"/>
        <w:rPr>
          <w:sz w:val="20"/>
          <w:szCs w:val="20"/>
          <w:color w:val="auto"/>
        </w:rPr>
      </w:pPr>
    </w:p>
    <w:p>
      <w:pPr>
        <w:ind w:right="20"/>
        <w:spacing w:after="0" w:line="267" w:lineRule="auto"/>
        <w:rPr>
          <w:sz w:val="20"/>
          <w:szCs w:val="20"/>
          <w:color w:val="auto"/>
        </w:rPr>
      </w:pPr>
      <w:r>
        <w:rPr>
          <w:rFonts w:ascii="Arial" w:cs="Arial" w:eastAsia="Arial" w:hAnsi="Arial"/>
          <w:sz w:val="20"/>
          <w:szCs w:val="20"/>
          <w:b w:val="1"/>
          <w:bCs w:val="1"/>
          <w:color w:val="auto"/>
        </w:rPr>
        <w:t xml:space="preserve">Taxes other than income taxes </w:t>
      </w:r>
      <w:r>
        <w:rPr>
          <w:rFonts w:ascii="Arial" w:cs="Arial" w:eastAsia="Arial" w:hAnsi="Arial"/>
          <w:sz w:val="20"/>
          <w:szCs w:val="20"/>
          <w:color w:val="auto"/>
        </w:rPr>
        <w:t>increased $3 million, or 5%, in the six months ended June 30, 2019 compared to the six months ended June 30,</w:t>
      </w:r>
      <w:r>
        <w:rPr>
          <w:rFonts w:ascii="Arial" w:cs="Arial" w:eastAsia="Arial" w:hAnsi="Arial"/>
          <w:sz w:val="20"/>
          <w:szCs w:val="20"/>
          <w:b w:val="1"/>
          <w:bCs w:val="1"/>
          <w:color w:val="auto"/>
        </w:rPr>
        <w:t xml:space="preserve"> </w:t>
      </w:r>
      <w:r>
        <w:rPr>
          <w:rFonts w:ascii="Arial" w:cs="Arial" w:eastAsia="Arial" w:hAnsi="Arial"/>
          <w:sz w:val="20"/>
          <w:szCs w:val="20"/>
          <w:color w:val="auto"/>
        </w:rPr>
        <w:t>2018, driven by higher property taxes.</w:t>
      </w:r>
    </w:p>
    <w:p>
      <w:pPr>
        <w:spacing w:after="0" w:line="164" w:lineRule="exact"/>
        <w:rPr>
          <w:sz w:val="20"/>
          <w:szCs w:val="20"/>
          <w:color w:val="auto"/>
        </w:rPr>
      </w:pPr>
    </w:p>
    <w:p>
      <w:pPr>
        <w:ind w:right="140"/>
        <w:spacing w:after="0" w:line="267" w:lineRule="auto"/>
        <w:rPr>
          <w:sz w:val="20"/>
          <w:szCs w:val="20"/>
          <w:color w:val="auto"/>
        </w:rPr>
      </w:pPr>
      <w:r>
        <w:rPr>
          <w:rFonts w:ascii="Arial" w:cs="Arial" w:eastAsia="Arial" w:hAnsi="Arial"/>
          <w:sz w:val="20"/>
          <w:szCs w:val="20"/>
          <w:b w:val="1"/>
          <w:bCs w:val="1"/>
          <w:color w:val="auto"/>
        </w:rPr>
        <w:t xml:space="preserve">Income tax expense </w:t>
      </w:r>
      <w:r>
        <w:rPr>
          <w:rFonts w:ascii="Arial" w:cs="Arial" w:eastAsia="Arial" w:hAnsi="Arial"/>
          <w:sz w:val="20"/>
          <w:szCs w:val="20"/>
          <w:color w:val="auto"/>
        </w:rPr>
        <w:t>was the same in the six months ended June 30, 2019 compared with the six months ended June 30, 2018 primarily due to</w:t>
      </w:r>
      <w:r>
        <w:rPr>
          <w:rFonts w:ascii="Arial" w:cs="Arial" w:eastAsia="Arial" w:hAnsi="Arial"/>
          <w:sz w:val="20"/>
          <w:szCs w:val="20"/>
          <w:b w:val="1"/>
          <w:bCs w:val="1"/>
          <w:color w:val="auto"/>
        </w:rPr>
        <w:t xml:space="preserve"> </w:t>
      </w:r>
      <w:r>
        <w:rPr>
          <w:rFonts w:ascii="Arial" w:cs="Arial" w:eastAsia="Arial" w:hAnsi="Arial"/>
          <w:sz w:val="20"/>
          <w:szCs w:val="20"/>
          <w:color w:val="auto"/>
        </w:rPr>
        <w:t>lower pre-tax income, offset by a decrease in PTC.</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Capital Requirements</w:t>
      </w:r>
    </w:p>
    <w:p>
      <w:pPr>
        <w:spacing w:after="0" w:line="229" w:lineRule="exact"/>
        <w:rPr>
          <w:sz w:val="20"/>
          <w:szCs w:val="20"/>
          <w:color w:val="auto"/>
        </w:rPr>
      </w:pPr>
    </w:p>
    <w:p>
      <w:pPr>
        <w:ind w:right="520"/>
        <w:spacing w:after="0" w:line="260" w:lineRule="auto"/>
        <w:rPr>
          <w:sz w:val="20"/>
          <w:szCs w:val="20"/>
          <w:color w:val="auto"/>
        </w:rPr>
      </w:pPr>
      <w:r>
        <w:rPr>
          <w:rFonts w:ascii="Arial" w:cs="Arial" w:eastAsia="Arial" w:hAnsi="Arial"/>
          <w:sz w:val="20"/>
          <w:szCs w:val="20"/>
          <w:color w:val="auto"/>
        </w:rPr>
        <w:t>The following table presents PGE’s estimated capital expenditures and contractual maturities of long-term debt for 2019 through 2023 (in millions, excluding AFDC):</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281"/>
              <w:spacing w:after="0"/>
              <w:rPr>
                <w:sz w:val="20"/>
                <w:szCs w:val="20"/>
                <w:color w:val="auto"/>
              </w:rPr>
            </w:pPr>
            <w:r>
              <w:rPr>
                <w:rFonts w:ascii="Arial" w:cs="Arial" w:eastAsia="Arial" w:hAnsi="Arial"/>
                <w:sz w:val="20"/>
                <w:szCs w:val="20"/>
                <w:b w:val="1"/>
                <w:bCs w:val="1"/>
                <w:color w:val="auto"/>
              </w:rPr>
              <w:t>2019</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281"/>
              <w:spacing w:after="0"/>
              <w:rPr>
                <w:sz w:val="20"/>
                <w:szCs w:val="20"/>
                <w:color w:val="auto"/>
              </w:rPr>
            </w:pPr>
            <w:r>
              <w:rPr>
                <w:rFonts w:ascii="Arial" w:cs="Arial" w:eastAsia="Arial" w:hAnsi="Arial"/>
                <w:sz w:val="20"/>
                <w:szCs w:val="20"/>
                <w:b w:val="1"/>
                <w:bCs w:val="1"/>
                <w:color w:val="auto"/>
              </w:rPr>
              <w:t>2020</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261"/>
              <w:spacing w:after="0"/>
              <w:rPr>
                <w:sz w:val="20"/>
                <w:szCs w:val="20"/>
                <w:color w:val="auto"/>
              </w:rPr>
            </w:pPr>
            <w:r>
              <w:rPr>
                <w:rFonts w:ascii="Arial" w:cs="Arial" w:eastAsia="Arial" w:hAnsi="Arial"/>
                <w:sz w:val="20"/>
                <w:szCs w:val="20"/>
                <w:b w:val="1"/>
                <w:bCs w:val="1"/>
                <w:color w:val="auto"/>
              </w:rPr>
              <w:t>2021</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281"/>
              <w:spacing w:after="0"/>
              <w:rPr>
                <w:sz w:val="20"/>
                <w:szCs w:val="20"/>
                <w:color w:val="auto"/>
              </w:rPr>
            </w:pPr>
            <w:r>
              <w:rPr>
                <w:rFonts w:ascii="Arial" w:cs="Arial" w:eastAsia="Arial" w:hAnsi="Arial"/>
                <w:sz w:val="20"/>
                <w:szCs w:val="20"/>
                <w:b w:val="1"/>
                <w:bCs w:val="1"/>
                <w:color w:val="auto"/>
              </w:rPr>
              <w:t>2022</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281"/>
              <w:spacing w:after="0"/>
              <w:rPr>
                <w:sz w:val="20"/>
                <w:szCs w:val="20"/>
                <w:color w:val="auto"/>
              </w:rPr>
            </w:pPr>
            <w:r>
              <w:rPr>
                <w:rFonts w:ascii="Arial" w:cs="Arial" w:eastAsia="Arial" w:hAnsi="Arial"/>
                <w:sz w:val="20"/>
                <w:szCs w:val="20"/>
                <w:b w:val="1"/>
                <w:bCs w:val="1"/>
                <w:color w:val="auto"/>
              </w:rPr>
              <w:t>2023</w:t>
            </w:r>
          </w:p>
        </w:tc>
      </w:tr>
      <w:tr>
        <w:trPr>
          <w:trHeight w:val="23"/>
        </w:trPr>
        <w:tc>
          <w:tcPr>
            <w:tcW w:w="4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Ongoing capital expenditures*</w:t>
            </w:r>
          </w:p>
        </w:tc>
        <w:tc>
          <w:tcPr>
            <w:tcW w:w="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580</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500</w:t>
            </w:r>
          </w:p>
        </w:tc>
        <w:tc>
          <w:tcPr>
            <w:tcW w:w="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500</w:t>
            </w:r>
          </w:p>
        </w:tc>
        <w:tc>
          <w:tcPr>
            <w:tcW w:w="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500</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500</w:t>
            </w:r>
          </w:p>
        </w:tc>
      </w:tr>
      <w:tr>
        <w:trPr>
          <w:trHeight w:val="261"/>
        </w:trPr>
        <w:tc>
          <w:tcPr>
            <w:tcW w:w="4320" w:type="dxa"/>
            <w:vAlign w:val="bottom"/>
          </w:tcPr>
          <w:p>
            <w:pPr>
              <w:ind w:left="40"/>
              <w:spacing w:after="0"/>
              <w:rPr>
                <w:sz w:val="20"/>
                <w:szCs w:val="20"/>
                <w:color w:val="auto"/>
              </w:rPr>
            </w:pPr>
            <w:r>
              <w:rPr>
                <w:rFonts w:ascii="Arial" w:cs="Arial" w:eastAsia="Arial" w:hAnsi="Arial"/>
                <w:sz w:val="20"/>
                <w:szCs w:val="20"/>
                <w:color w:val="auto"/>
              </w:rPr>
              <w:t>Wheatridge Renewable Energy Facility</w:t>
            </w:r>
          </w:p>
        </w:tc>
        <w:tc>
          <w:tcPr>
            <w:tcW w:w="26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Arial" w:cs="Arial" w:eastAsia="Arial" w:hAnsi="Arial"/>
                <w:sz w:val="20"/>
                <w:szCs w:val="20"/>
                <w:color w:val="auto"/>
              </w:rPr>
              <w:t>5</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135</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15</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2"/>
                <w:szCs w:val="22"/>
                <w:color w:val="auto"/>
              </w:rPr>
            </w:pP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w:t>
            </w:r>
          </w:p>
        </w:tc>
      </w:tr>
      <w:tr>
        <w:trPr>
          <w:trHeight w:val="23"/>
        </w:trPr>
        <w:tc>
          <w:tcPr>
            <w:tcW w:w="4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Integrated Operations Center</w:t>
            </w: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35</w:t>
            </w:r>
          </w:p>
        </w:tc>
        <w:tc>
          <w:tcPr>
            <w:tcW w:w="3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90</w:t>
            </w:r>
          </w:p>
        </w:tc>
        <w:tc>
          <w:tcPr>
            <w:tcW w:w="3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70</w:t>
            </w:r>
          </w:p>
        </w:tc>
        <w:tc>
          <w:tcPr>
            <w:tcW w:w="3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5</w:t>
            </w:r>
          </w:p>
        </w:tc>
        <w:tc>
          <w:tcPr>
            <w:tcW w:w="3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r>
      <w:tr>
        <w:trPr>
          <w:trHeight w:val="312"/>
        </w:trPr>
        <w:tc>
          <w:tcPr>
            <w:tcW w:w="4320" w:type="dxa"/>
            <w:vAlign w:val="bottom"/>
            <w:tcBorders>
              <w:bottom w:val="single" w:sz="8" w:color="CCEEFF"/>
            </w:tcBorders>
          </w:tcPr>
          <w:p>
            <w:pPr>
              <w:ind w:left="280"/>
              <w:spacing w:after="0"/>
              <w:rPr>
                <w:sz w:val="20"/>
                <w:szCs w:val="20"/>
                <w:color w:val="auto"/>
              </w:rPr>
            </w:pPr>
            <w:r>
              <w:rPr>
                <w:rFonts w:ascii="Arial" w:cs="Arial" w:eastAsia="Arial" w:hAnsi="Arial"/>
                <w:sz w:val="20"/>
                <w:szCs w:val="20"/>
                <w:color w:val="auto"/>
              </w:rPr>
              <w:t>Total capital expenditures</w:t>
            </w:r>
          </w:p>
        </w:tc>
        <w:tc>
          <w:tcPr>
            <w:tcW w:w="2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9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rPr>
              <w:t>620</w:t>
            </w:r>
          </w:p>
        </w:tc>
        <w:tc>
          <w:tcPr>
            <w:tcW w:w="34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w w:val="8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725</w:t>
            </w:r>
          </w:p>
        </w:tc>
        <w:tc>
          <w:tcPr>
            <w:tcW w:w="34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20"/>
                <w:szCs w:val="20"/>
                <w:color w:val="auto"/>
                <w:w w:val="89"/>
              </w:rPr>
              <w:t>$</w:t>
            </w:r>
          </w:p>
        </w:tc>
        <w:tc>
          <w:tcPr>
            <w:tcW w:w="8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585</w:t>
            </w:r>
          </w:p>
        </w:tc>
        <w:tc>
          <w:tcPr>
            <w:tcW w:w="340" w:type="dxa"/>
            <w:vAlign w:val="bottom"/>
            <w:tcBorders>
              <w:top w:val="single" w:sz="8" w:color="auto"/>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9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rPr>
              <w:t>505</w:t>
            </w:r>
          </w:p>
        </w:tc>
        <w:tc>
          <w:tcPr>
            <w:tcW w:w="34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w w:val="8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500</w:t>
            </w:r>
          </w:p>
        </w:tc>
      </w:tr>
      <w:tr>
        <w:trPr>
          <w:trHeight w:val="264"/>
        </w:trPr>
        <w:tc>
          <w:tcPr>
            <w:tcW w:w="4320" w:type="dxa"/>
            <w:vAlign w:val="bottom"/>
            <w:shd w:val="clear" w:color="auto" w:fill="CCEEFF"/>
          </w:tcPr>
          <w:p>
            <w:pPr>
              <w:ind w:left="40"/>
              <w:spacing w:after="0"/>
              <w:rPr>
                <w:sz w:val="20"/>
                <w:szCs w:val="20"/>
                <w:color w:val="auto"/>
              </w:rPr>
            </w:pPr>
            <w:r>
              <w:rPr>
                <w:rFonts w:ascii="Arial" w:cs="Arial" w:eastAsia="Arial" w:hAnsi="Arial"/>
                <w:sz w:val="20"/>
                <w:szCs w:val="20"/>
                <w:color w:val="auto"/>
              </w:rPr>
              <w:t>Long-term debt maturities</w:t>
            </w:r>
          </w:p>
        </w:tc>
        <w:tc>
          <w:tcPr>
            <w:tcW w:w="2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20"/>
                <w:szCs w:val="20"/>
                <w:color w:val="auto"/>
              </w:rPr>
              <w:t>—</w:t>
            </w:r>
          </w:p>
        </w:tc>
        <w:tc>
          <w:tcPr>
            <w:tcW w:w="2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160</w:t>
            </w:r>
          </w:p>
        </w:tc>
        <w:tc>
          <w:tcPr>
            <w:tcW w:w="34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20"/>
                <w:szCs w:val="20"/>
                <w:color w:val="auto"/>
              </w:rPr>
              <w:t>—</w:t>
            </w:r>
          </w:p>
        </w:tc>
        <w:tc>
          <w:tcPr>
            <w:tcW w:w="2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20" w:firstLine="8"/>
        <w:spacing w:after="0" w:line="277" w:lineRule="auto"/>
        <w:tabs>
          <w:tab w:leader="none" w:pos="1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Consists primarily of upgrades to, and replacement of, generation, transmission, and distribution infrastructure, as well as new customer connections. Includes preliminary engineering and removal costs.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a discussion concerning PGE’s ability to fund its future capital requirements, see </w:t>
      </w:r>
      <w:r>
        <w:rPr>
          <w:rFonts w:ascii="Arial" w:cs="Arial" w:eastAsia="Arial" w:hAnsi="Arial"/>
          <w:sz w:val="20"/>
          <w:szCs w:val="20"/>
          <w:i w:val="1"/>
          <w:iCs w:val="1"/>
          <w:color w:val="auto"/>
        </w:rPr>
        <w:t>“Debt and Equity Financings”</w:t>
      </w:r>
      <w:r>
        <w:rPr>
          <w:rFonts w:ascii="Arial" w:cs="Arial" w:eastAsia="Arial" w:hAnsi="Arial"/>
          <w:sz w:val="20"/>
          <w:szCs w:val="20"/>
          <w:color w:val="auto"/>
        </w:rPr>
        <w:t xml:space="preserve"> in this Item 2.</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Liquidity</w:t>
      </w:r>
    </w:p>
    <w:p>
      <w:pPr>
        <w:spacing w:after="0" w:line="229"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PGE’s access to short-term debt markets, including revolving credit from banks, helps provide necessary liquidity to support the Company’s current operating activities, including the purchase of power and fuel. Long-term capital requirements are driven largely by capital expenditures for distribution, transmission, and generation facilities to support both new and existing customers, information technology systems, and debt refinancing activities. PGE’s liquidity and capital requirements can also be significantly affected by other working capital needs, including margin deposit requirements related to wholesale market activities, which can vary depending upon the Company’s forward positions and the corresponding price curves.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0"/>
        </w:trPr>
        <w:tc>
          <w:tcPr>
            <w:tcW w:w="1420" w:type="dxa"/>
            <w:vAlign w:val="bottom"/>
            <w:tcBorders>
              <w:bottom w:val="single" w:sz="8" w:color="0000EE"/>
            </w:tcBorders>
          </w:tcPr>
          <w:p>
            <w:pPr>
              <w:spacing w:after="0"/>
              <w:rPr>
                <w:rFonts w:ascii="Arial" w:cs="Arial" w:eastAsia="Arial" w:hAnsi="Arial"/>
                <w:sz w:val="20"/>
                <w:szCs w:val="20"/>
                <w:color w:val="0000EE"/>
                <w:w w:val="88"/>
              </w:rPr>
            </w:pPr>
            <w:hyperlink w:anchor="page3">
              <w:r>
                <w:rPr>
                  <w:rFonts w:ascii="Arial" w:cs="Arial" w:eastAsia="Arial" w:hAnsi="Arial"/>
                  <w:sz w:val="20"/>
                  <w:szCs w:val="20"/>
                  <w:color w:val="0000EE"/>
                  <w:w w:val="88"/>
                </w:rPr>
                <w:t>Table of Contents</w:t>
              </w:r>
            </w:hyperlink>
          </w:p>
        </w:tc>
        <w:tc>
          <w:tcPr>
            <w:tcW w:w="60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754"/>
        </w:trPr>
        <w:tc>
          <w:tcPr>
            <w:tcW w:w="7500" w:type="dxa"/>
            <w:vAlign w:val="bottom"/>
            <w:gridSpan w:val="2"/>
          </w:tcPr>
          <w:p>
            <w:pPr>
              <w:spacing w:after="0"/>
              <w:rPr>
                <w:sz w:val="20"/>
                <w:szCs w:val="20"/>
                <w:color w:val="auto"/>
              </w:rPr>
            </w:pPr>
            <w:r>
              <w:rPr>
                <w:rFonts w:ascii="Arial" w:cs="Arial" w:eastAsia="Arial" w:hAnsi="Arial"/>
                <w:sz w:val="20"/>
                <w:szCs w:val="20"/>
                <w:color w:val="auto"/>
              </w:rPr>
              <w:t>The following summarizes PGE’s cash flows for the periods presented (in millions):</w:t>
            </w: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92"/>
        </w:trPr>
        <w:tc>
          <w:tcPr>
            <w:tcW w:w="14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3300" w:type="dxa"/>
            <w:vAlign w:val="bottom"/>
            <w:gridSpan w:val="4"/>
          </w:tcPr>
          <w:p>
            <w:pPr>
              <w:jc w:val="right"/>
              <w:ind w:right="81"/>
              <w:spacing w:after="0"/>
              <w:rPr>
                <w:sz w:val="20"/>
                <w:szCs w:val="20"/>
                <w:color w:val="auto"/>
              </w:rPr>
            </w:pPr>
            <w:r>
              <w:rPr>
                <w:rFonts w:ascii="Arial" w:cs="Arial" w:eastAsia="Arial" w:hAnsi="Arial"/>
                <w:sz w:val="20"/>
                <w:szCs w:val="20"/>
                <w:b w:val="1"/>
                <w:bCs w:val="1"/>
                <w:color w:val="auto"/>
              </w:rPr>
              <w:t>Six Months Ended June 30,</w:t>
            </w:r>
          </w:p>
        </w:tc>
        <w:tc>
          <w:tcPr>
            <w:tcW w:w="600" w:type="dxa"/>
            <w:vAlign w:val="bottom"/>
          </w:tcPr>
          <w:p>
            <w:pPr>
              <w:spacing w:after="0"/>
              <w:rPr>
                <w:sz w:val="24"/>
                <w:szCs w:val="24"/>
                <w:color w:val="auto"/>
              </w:rPr>
            </w:pPr>
          </w:p>
        </w:tc>
      </w:tr>
      <w:tr>
        <w:trPr>
          <w:trHeight w:val="23"/>
        </w:trPr>
        <w:tc>
          <w:tcPr>
            <w:tcW w:w="14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4"/>
        </w:trPr>
        <w:tc>
          <w:tcPr>
            <w:tcW w:w="1420" w:type="dxa"/>
            <w:vAlign w:val="bottom"/>
          </w:tcPr>
          <w:p>
            <w:pPr>
              <w:spacing w:after="0"/>
              <w:rPr>
                <w:sz w:val="22"/>
                <w:szCs w:val="22"/>
                <w:color w:val="auto"/>
              </w:rPr>
            </w:pPr>
          </w:p>
        </w:tc>
        <w:tc>
          <w:tcPr>
            <w:tcW w:w="608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b w:val="1"/>
                <w:bCs w:val="1"/>
                <w:color w:val="auto"/>
              </w:rPr>
              <w:t>2019</w:t>
            </w: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b w:val="1"/>
                <w:bCs w:val="1"/>
                <w:color w:val="auto"/>
              </w:rPr>
              <w:t>2018</w:t>
            </w:r>
          </w:p>
        </w:tc>
        <w:tc>
          <w:tcPr>
            <w:tcW w:w="600" w:type="dxa"/>
            <w:vAlign w:val="bottom"/>
          </w:tcPr>
          <w:p>
            <w:pPr>
              <w:spacing w:after="0"/>
              <w:rPr>
                <w:sz w:val="22"/>
                <w:szCs w:val="22"/>
                <w:color w:val="auto"/>
              </w:rPr>
            </w:pPr>
          </w:p>
        </w:tc>
      </w:tr>
      <w:tr>
        <w:trPr>
          <w:trHeight w:val="23"/>
        </w:trPr>
        <w:tc>
          <w:tcPr>
            <w:tcW w:w="1420" w:type="dxa"/>
            <w:vAlign w:val="bottom"/>
            <w:tcBorders>
              <w:bottom w:val="single" w:sz="8" w:color="CCEEFF"/>
            </w:tcBorders>
          </w:tcPr>
          <w:p>
            <w:pPr>
              <w:spacing w:after="0"/>
              <w:rPr>
                <w:sz w:val="2"/>
                <w:szCs w:val="2"/>
                <w:color w:val="auto"/>
              </w:rPr>
            </w:pPr>
          </w:p>
        </w:tc>
        <w:tc>
          <w:tcPr>
            <w:tcW w:w="60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7"/>
        </w:trPr>
        <w:tc>
          <w:tcPr>
            <w:tcW w:w="7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color w:val="auto"/>
              </w:rPr>
              <w:t>Cash and cash equivalents, beginning of period</w:t>
            </w:r>
          </w:p>
        </w:tc>
        <w:tc>
          <w:tcPr>
            <w:tcW w:w="1240" w:type="dxa"/>
            <w:vAlign w:val="bottom"/>
            <w:tcBorders>
              <w:bottom w:val="single" w:sz="8" w:color="CCEEFF"/>
            </w:tcBorders>
            <w:shd w:val="clear" w:color="auto" w:fill="CCEEFF"/>
          </w:tcPr>
          <w:p>
            <w:pPr>
              <w:jc w:val="right"/>
              <w:ind w:right="1021"/>
              <w:spacing w:after="0"/>
              <w:rPr>
                <w:sz w:val="20"/>
                <w:szCs w:val="20"/>
                <w:color w:val="auto"/>
              </w:rPr>
            </w:pPr>
            <w:r>
              <w:rPr>
                <w:rFonts w:ascii="Arial" w:cs="Arial" w:eastAsia="Arial" w:hAnsi="Arial"/>
                <w:sz w:val="20"/>
                <w:szCs w:val="20"/>
                <w:color w:val="auto"/>
                <w:w w:val="89"/>
              </w:rPr>
              <w:t>$</w:t>
            </w:r>
          </w:p>
        </w:tc>
        <w:tc>
          <w:tcPr>
            <w:tcW w:w="6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119</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21"/>
              <w:spacing w:after="0"/>
              <w:rPr>
                <w:sz w:val="20"/>
                <w:szCs w:val="20"/>
                <w:color w:val="auto"/>
              </w:rPr>
            </w:pPr>
            <w:r>
              <w:rPr>
                <w:rFonts w:ascii="Arial" w:cs="Arial" w:eastAsia="Arial" w:hAnsi="Arial"/>
                <w:sz w:val="20"/>
                <w:szCs w:val="20"/>
                <w:color w:val="auto"/>
                <w:w w:val="89"/>
              </w:rPr>
              <w:t>$</w:t>
            </w:r>
          </w:p>
        </w:tc>
        <w:tc>
          <w:tcPr>
            <w:tcW w:w="6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39</w:t>
            </w:r>
          </w:p>
        </w:tc>
      </w:tr>
      <w:tr>
        <w:trPr>
          <w:trHeight w:val="261"/>
        </w:trPr>
        <w:tc>
          <w:tcPr>
            <w:tcW w:w="7500" w:type="dxa"/>
            <w:vAlign w:val="bottom"/>
            <w:gridSpan w:val="2"/>
          </w:tcPr>
          <w:p>
            <w:pPr>
              <w:ind w:left="40"/>
              <w:spacing w:after="0"/>
              <w:rPr>
                <w:sz w:val="20"/>
                <w:szCs w:val="20"/>
                <w:color w:val="auto"/>
              </w:rPr>
            </w:pPr>
            <w:r>
              <w:rPr>
                <w:rFonts w:ascii="Arial" w:cs="Arial" w:eastAsia="Arial" w:hAnsi="Arial"/>
                <w:sz w:val="20"/>
                <w:szCs w:val="20"/>
                <w:color w:val="auto"/>
              </w:rPr>
              <w:t>Net cash provided by (used in):</w:t>
            </w:r>
          </w:p>
        </w:tc>
        <w:tc>
          <w:tcPr>
            <w:tcW w:w="1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3"/>
        </w:trPr>
        <w:tc>
          <w:tcPr>
            <w:tcW w:w="14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64"/>
        </w:trPr>
        <w:tc>
          <w:tcPr>
            <w:tcW w:w="7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20"/>
                <w:szCs w:val="20"/>
                <w:color w:val="auto"/>
              </w:rPr>
              <w:t>Operating activities</w:t>
            </w:r>
          </w:p>
        </w:tc>
        <w:tc>
          <w:tcPr>
            <w:tcW w:w="12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314</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338</w:t>
            </w:r>
          </w:p>
        </w:tc>
      </w:tr>
      <w:tr>
        <w:trPr>
          <w:trHeight w:val="261"/>
        </w:trPr>
        <w:tc>
          <w:tcPr>
            <w:tcW w:w="7500" w:type="dxa"/>
            <w:vAlign w:val="bottom"/>
            <w:gridSpan w:val="2"/>
          </w:tcPr>
          <w:p>
            <w:pPr>
              <w:ind w:left="280"/>
              <w:spacing w:after="0"/>
              <w:rPr>
                <w:sz w:val="20"/>
                <w:szCs w:val="20"/>
                <w:color w:val="auto"/>
              </w:rPr>
            </w:pPr>
            <w:r>
              <w:rPr>
                <w:rFonts w:ascii="Arial" w:cs="Arial" w:eastAsia="Arial" w:hAnsi="Arial"/>
                <w:sz w:val="20"/>
                <w:szCs w:val="20"/>
                <w:color w:val="auto"/>
              </w:rPr>
              <w:t>Investing activities</w:t>
            </w:r>
          </w:p>
        </w:tc>
        <w:tc>
          <w:tcPr>
            <w:tcW w:w="12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(271)</w:t>
            </w: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(265)</w:t>
            </w:r>
          </w:p>
        </w:tc>
      </w:tr>
      <w:tr>
        <w:trPr>
          <w:trHeight w:val="23"/>
        </w:trPr>
        <w:tc>
          <w:tcPr>
            <w:tcW w:w="14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84"/>
        </w:trPr>
        <w:tc>
          <w:tcPr>
            <w:tcW w:w="7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20"/>
                <w:szCs w:val="20"/>
                <w:color w:val="auto"/>
              </w:rPr>
              <w:t>Financing activities</w:t>
            </w:r>
          </w:p>
        </w:tc>
        <w:tc>
          <w:tcPr>
            <w:tcW w:w="12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(151)</w:t>
            </w:r>
          </w:p>
        </w:tc>
        <w:tc>
          <w:tcPr>
            <w:tcW w:w="2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(64)</w:t>
            </w:r>
          </w:p>
        </w:tc>
      </w:tr>
      <w:tr>
        <w:trPr>
          <w:trHeight w:val="254"/>
        </w:trPr>
        <w:tc>
          <w:tcPr>
            <w:tcW w:w="7500" w:type="dxa"/>
            <w:vAlign w:val="bottom"/>
            <w:gridSpan w:val="2"/>
          </w:tcPr>
          <w:p>
            <w:pPr>
              <w:ind w:left="40"/>
              <w:spacing w:after="0"/>
              <w:rPr>
                <w:sz w:val="20"/>
                <w:szCs w:val="20"/>
                <w:color w:val="auto"/>
              </w:rPr>
            </w:pPr>
            <w:r>
              <w:rPr>
                <w:rFonts w:ascii="Arial" w:cs="Arial" w:eastAsia="Arial" w:hAnsi="Arial"/>
                <w:sz w:val="20"/>
                <w:szCs w:val="20"/>
                <w:color w:val="auto"/>
              </w:rPr>
              <w:t>(Decrease) increase in cash and cash equivalents</w:t>
            </w:r>
          </w:p>
        </w:tc>
        <w:tc>
          <w:tcPr>
            <w:tcW w:w="124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(108)</w:t>
            </w:r>
          </w:p>
        </w:tc>
        <w:tc>
          <w:tcPr>
            <w:tcW w:w="22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9</w:t>
            </w:r>
          </w:p>
        </w:tc>
      </w:tr>
      <w:tr>
        <w:trPr>
          <w:trHeight w:val="23"/>
        </w:trPr>
        <w:tc>
          <w:tcPr>
            <w:tcW w:w="1420" w:type="dxa"/>
            <w:vAlign w:val="bottom"/>
            <w:tcBorders>
              <w:bottom w:val="single" w:sz="8" w:color="CCEEFF"/>
            </w:tcBorders>
          </w:tcPr>
          <w:p>
            <w:pPr>
              <w:spacing w:after="0"/>
              <w:rPr>
                <w:sz w:val="2"/>
                <w:szCs w:val="2"/>
                <w:color w:val="auto"/>
              </w:rPr>
            </w:pPr>
          </w:p>
        </w:tc>
        <w:tc>
          <w:tcPr>
            <w:tcW w:w="60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72"/>
        </w:trPr>
        <w:tc>
          <w:tcPr>
            <w:tcW w:w="7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color w:val="auto"/>
              </w:rPr>
              <w:t>Cash and cash equivalents, end of period</w:t>
            </w:r>
          </w:p>
        </w:tc>
        <w:tc>
          <w:tcPr>
            <w:tcW w:w="1240" w:type="dxa"/>
            <w:vAlign w:val="bottom"/>
            <w:tcBorders>
              <w:bottom w:val="single" w:sz="8" w:color="auto"/>
            </w:tcBorders>
            <w:shd w:val="clear" w:color="auto" w:fill="CCEEFF"/>
          </w:tcPr>
          <w:p>
            <w:pPr>
              <w:jc w:val="right"/>
              <w:ind w:right="1021"/>
              <w:spacing w:after="0"/>
              <w:rPr>
                <w:sz w:val="20"/>
                <w:szCs w:val="20"/>
                <w:color w:val="auto"/>
              </w:rPr>
            </w:pPr>
            <w:r>
              <w:rPr>
                <w:rFonts w:ascii="Arial" w:cs="Arial" w:eastAsia="Arial" w:hAnsi="Arial"/>
                <w:sz w:val="20"/>
                <w:szCs w:val="20"/>
                <w:color w:val="auto"/>
                <w:w w:val="89"/>
              </w:rPr>
              <w:t>$</w:t>
            </w: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11</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21"/>
              <w:spacing w:after="0"/>
              <w:rPr>
                <w:sz w:val="20"/>
                <w:szCs w:val="20"/>
                <w:color w:val="auto"/>
              </w:rPr>
            </w:pPr>
            <w:r>
              <w:rPr>
                <w:rFonts w:ascii="Arial" w:cs="Arial" w:eastAsia="Arial" w:hAnsi="Arial"/>
                <w:sz w:val="20"/>
                <w:szCs w:val="20"/>
                <w:color w:val="auto"/>
                <w:w w:val="89"/>
              </w:rPr>
              <w:t>$</w:t>
            </w:r>
          </w:p>
        </w:tc>
        <w:tc>
          <w:tcPr>
            <w:tcW w:w="6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48</w:t>
            </w:r>
          </w:p>
        </w:tc>
      </w:tr>
      <w:tr>
        <w:trPr>
          <w:trHeight w:val="20"/>
        </w:trPr>
        <w:tc>
          <w:tcPr>
            <w:tcW w:w="14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ind w:right="260"/>
        <w:spacing w:after="0" w:line="262" w:lineRule="auto"/>
        <w:rPr>
          <w:sz w:val="20"/>
          <w:szCs w:val="20"/>
          <w:color w:val="auto"/>
        </w:rPr>
      </w:pPr>
      <w:r>
        <w:rPr>
          <w:rFonts w:ascii="Arial" w:cs="Arial" w:eastAsia="Arial" w:hAnsi="Arial"/>
          <w:sz w:val="19"/>
          <w:szCs w:val="19"/>
          <w:b w:val="1"/>
          <w:bCs w:val="1"/>
          <w:color w:val="auto"/>
        </w:rPr>
        <w:t xml:space="preserve">Cash Flows from Operating Activities — </w:t>
      </w:r>
      <w:r>
        <w:rPr>
          <w:rFonts w:ascii="Arial" w:cs="Arial" w:eastAsia="Arial" w:hAnsi="Arial"/>
          <w:sz w:val="19"/>
          <w:szCs w:val="19"/>
          <w:color w:val="auto"/>
        </w:rPr>
        <w:t>Cash flows from operating activities are generally determined by the amount and timing of cash</w:t>
      </w:r>
      <w:r>
        <w:rPr>
          <w:rFonts w:ascii="Arial" w:cs="Arial" w:eastAsia="Arial" w:hAnsi="Arial"/>
          <w:sz w:val="19"/>
          <w:szCs w:val="19"/>
          <w:b w:val="1"/>
          <w:bCs w:val="1"/>
          <w:color w:val="auto"/>
        </w:rPr>
        <w:t xml:space="preserve"> </w:t>
      </w:r>
      <w:r>
        <w:rPr>
          <w:rFonts w:ascii="Arial" w:cs="Arial" w:eastAsia="Arial" w:hAnsi="Arial"/>
          <w:sz w:val="19"/>
          <w:szCs w:val="19"/>
          <w:color w:val="auto"/>
        </w:rPr>
        <w:t>received from customers and payments made to vendors, with adjustments for certain non-cash items, such as depreciation and amortization, deferred income taxes, and pension and other postretirement benefit costs included in net income during a given period. Net cash flows from operating activities for the six months ended June 30, 2019 decreased $24 million when compared with the six months ended June 30, 2018. Included in the change were a number of somewhat offsetting components as follows:</w:t>
      </w:r>
    </w:p>
    <w:p>
      <w:pPr>
        <w:spacing w:after="0" w:line="69"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$45 million decrease resulting from changes in Accounts payable and other accrued liabilities;</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$36 million decrease relating to TCJA as a deferral occurred in 2018 with amortization recorded in 2019; and</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$12 million decrease in Net income; partially offset by</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$37 million increase from changes in Accounts receivable and unbilled revenues;</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$17 million increase in Other non-cash income and expenses, net; and</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$17 million increase resulting from Depreciation and amortization.</w:t>
      </w:r>
    </w:p>
    <w:p>
      <w:pPr>
        <w:spacing w:after="0" w:line="229" w:lineRule="exact"/>
        <w:rPr>
          <w:sz w:val="20"/>
          <w:szCs w:val="20"/>
          <w:color w:val="auto"/>
        </w:rPr>
      </w:pPr>
    </w:p>
    <w:p>
      <w:pPr>
        <w:jc w:val="both"/>
        <w:ind w:right="320"/>
        <w:spacing w:after="0" w:line="250" w:lineRule="auto"/>
        <w:rPr>
          <w:sz w:val="20"/>
          <w:szCs w:val="20"/>
          <w:color w:val="auto"/>
        </w:rPr>
      </w:pPr>
      <w:r>
        <w:rPr>
          <w:rFonts w:ascii="Arial" w:cs="Arial" w:eastAsia="Arial" w:hAnsi="Arial"/>
          <w:sz w:val="20"/>
          <w:szCs w:val="20"/>
          <w:color w:val="auto"/>
        </w:rPr>
        <w:t>Cash provided by operations includes the recovery in customer prices of non-cash charges for depreciation and amortization. PGE estimates that such charges in 2019 will range from $400 million to $420 million. Combined with other sources, total cash expected to be provided by operations is estimated to range from $550 million to $600 million.</w:t>
      </w:r>
    </w:p>
    <w:p>
      <w:pPr>
        <w:spacing w:after="0" w:line="194" w:lineRule="exact"/>
        <w:rPr>
          <w:sz w:val="20"/>
          <w:szCs w:val="20"/>
          <w:color w:val="auto"/>
        </w:rPr>
      </w:pPr>
    </w:p>
    <w:p>
      <w:pPr>
        <w:ind w:right="240"/>
        <w:spacing w:after="0" w:line="248" w:lineRule="auto"/>
        <w:rPr>
          <w:sz w:val="20"/>
          <w:szCs w:val="20"/>
          <w:color w:val="auto"/>
        </w:rPr>
      </w:pPr>
      <w:r>
        <w:rPr>
          <w:rFonts w:ascii="Arial" w:cs="Arial" w:eastAsia="Arial" w:hAnsi="Arial"/>
          <w:sz w:val="20"/>
          <w:szCs w:val="20"/>
          <w:b w:val="1"/>
          <w:bCs w:val="1"/>
          <w:color w:val="auto"/>
        </w:rPr>
        <w:t>Cash Flows from Investing Activities—</w:t>
      </w:r>
      <w:r>
        <w:rPr>
          <w:rFonts w:ascii="Arial" w:cs="Arial" w:eastAsia="Arial" w:hAnsi="Arial"/>
          <w:sz w:val="20"/>
          <w:szCs w:val="20"/>
          <w:color w:val="auto"/>
        </w:rPr>
        <w:t>Cash flows used in investing activities consist primarily of capital expenditures related to new</w:t>
      </w:r>
      <w:r>
        <w:rPr>
          <w:rFonts w:ascii="Arial" w:cs="Arial" w:eastAsia="Arial" w:hAnsi="Arial"/>
          <w:sz w:val="20"/>
          <w:szCs w:val="20"/>
          <w:b w:val="1"/>
          <w:bCs w:val="1"/>
          <w:color w:val="auto"/>
        </w:rPr>
        <w:t xml:space="preserve"> </w:t>
      </w:r>
      <w:r>
        <w:rPr>
          <w:rFonts w:ascii="Arial" w:cs="Arial" w:eastAsia="Arial" w:hAnsi="Arial"/>
          <w:sz w:val="20"/>
          <w:szCs w:val="20"/>
          <w:color w:val="auto"/>
        </w:rPr>
        <w:t>construction and improvements to PGE’s generation facilities and transmission and distribution systems. Net cash used in investing activities for the six months ended June 30, 2019 increased $6 million when compared with the six months ended June 30, 2018, as capital project activity was $4 million higher.</w:t>
      </w:r>
    </w:p>
    <w:p>
      <w:pPr>
        <w:spacing w:after="0" w:line="203"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 xml:space="preserve">The Company plans to make capital expenditures of $620 million, excluding AFDC, in 2019, which it expects to fund with cash to be generated from operations during 2019, as discussed above, and the issuance of debt securities. For additional information, see </w:t>
      </w:r>
      <w:r>
        <w:rPr>
          <w:rFonts w:ascii="Arial" w:cs="Arial" w:eastAsia="Arial" w:hAnsi="Arial"/>
          <w:sz w:val="20"/>
          <w:szCs w:val="20"/>
          <w:i w:val="1"/>
          <w:iCs w:val="1"/>
          <w:color w:val="auto"/>
        </w:rPr>
        <w:t>“Debt and Equity</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Financings” </w:t>
      </w:r>
      <w:r>
        <w:rPr>
          <w:rFonts w:ascii="Arial" w:cs="Arial" w:eastAsia="Arial" w:hAnsi="Arial"/>
          <w:sz w:val="20"/>
          <w:szCs w:val="20"/>
          <w:color w:val="auto"/>
        </w:rPr>
        <w:t>in this Liquidity and Capital Resources section of Item 2.</w:t>
      </w:r>
    </w:p>
    <w:p>
      <w:pPr>
        <w:spacing w:after="0" w:line="194" w:lineRule="exact"/>
        <w:rPr>
          <w:sz w:val="20"/>
          <w:szCs w:val="20"/>
          <w:color w:val="auto"/>
        </w:rPr>
      </w:pPr>
    </w:p>
    <w:p>
      <w:pPr>
        <w:ind w:right="140"/>
        <w:spacing w:after="0" w:line="280" w:lineRule="auto"/>
        <w:rPr>
          <w:sz w:val="20"/>
          <w:szCs w:val="20"/>
          <w:color w:val="auto"/>
        </w:rPr>
      </w:pPr>
      <w:r>
        <w:rPr>
          <w:rFonts w:ascii="Arial" w:cs="Arial" w:eastAsia="Arial" w:hAnsi="Arial"/>
          <w:sz w:val="18"/>
          <w:szCs w:val="18"/>
          <w:b w:val="1"/>
          <w:bCs w:val="1"/>
          <w:color w:val="auto"/>
        </w:rPr>
        <w:t>Cash Flows from Financing Activities—</w:t>
      </w:r>
      <w:r>
        <w:rPr>
          <w:rFonts w:ascii="Arial" w:cs="Arial" w:eastAsia="Arial" w:hAnsi="Arial"/>
          <w:sz w:val="18"/>
          <w:szCs w:val="18"/>
          <w:color w:val="auto"/>
        </w:rPr>
        <w:t>Financing activities provide supplemental cash for both day-to-day operations and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as needed. During the six months ended June 30, 2019, a net use of cash resulted from the payment of $300 million of long-term debt that was funded through the issuance of $200 million of FMBs and available cash on hand. During the six months ended June 30, 2019, the Company paid dividends of $65 million and had net borrowing of $17 million under its commercial paper program. During the six months ended June 30, 2018, net cash used in financing activities consisted primarily of the payment of dividends of $61 million.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99" w:right="239" w:bottom="1440" w:gutter="0" w:footer="0" w:header="0"/>
        </w:sectPr>
      </w:pPr>
    </w:p>
    <w:bookmarkStart w:id="57" w:name="page58"/>
    <w:bookmarkEnd w:id="57"/>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Dividends on Common Stock</w:t>
      </w:r>
    </w:p>
    <w:p>
      <w:pPr>
        <w:spacing w:after="0" w:line="229" w:lineRule="exact"/>
        <w:rPr>
          <w:sz w:val="20"/>
          <w:szCs w:val="20"/>
          <w:color w:val="auto"/>
        </w:rPr>
      </w:pPr>
    </w:p>
    <w:p>
      <w:pPr>
        <w:ind w:right="220"/>
        <w:spacing w:after="0" w:line="246" w:lineRule="auto"/>
        <w:rPr>
          <w:sz w:val="20"/>
          <w:szCs w:val="20"/>
          <w:color w:val="auto"/>
        </w:rPr>
      </w:pPr>
      <w:r>
        <w:rPr>
          <w:rFonts w:ascii="Arial" w:cs="Arial" w:eastAsia="Arial" w:hAnsi="Arial"/>
          <w:sz w:val="20"/>
          <w:szCs w:val="20"/>
          <w:color w:val="auto"/>
        </w:rPr>
        <w:t>While PGE expects to pay regular quarterly dividends on its common stock, the declaration of any dividends remains at the discretion of the Company’s Board of Directors. The amount of any dividend declaration depends upon factors that the Board of Directors deems relevant, which may include, among other things, PGE’s results of operations and financial condition, future capital expenditures and investments, and applicable regulatory and contractual restrictions.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Common stock dividends declared during 2019 consist of the following: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Arial" w:cs="Arial" w:eastAsia="Arial" w:hAnsi="Arial"/>
                <w:sz w:val="20"/>
                <w:szCs w:val="20"/>
                <w:b w:val="1"/>
                <w:bCs w:val="1"/>
                <w:color w:val="auto"/>
                <w:w w:val="87"/>
              </w:rPr>
              <w:t>Dividends</w:t>
            </w:r>
          </w:p>
        </w:tc>
      </w:tr>
      <w:tr>
        <w:trPr>
          <w:trHeight w:val="284"/>
        </w:trPr>
        <w:tc>
          <w:tcPr>
            <w:tcW w:w="3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20"/>
                <w:szCs w:val="20"/>
                <w:b w:val="1"/>
                <w:bCs w:val="1"/>
                <w:color w:val="auto"/>
                <w:w w:val="91"/>
              </w:rPr>
              <w:t>Declared Per</w:t>
            </w:r>
          </w:p>
        </w:tc>
      </w:tr>
      <w:tr>
        <w:trPr>
          <w:trHeight w:val="284"/>
        </w:trPr>
        <w:tc>
          <w:tcPr>
            <w:tcW w:w="334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91"/>
              </w:rPr>
              <w:t>Declaration Date</w:t>
            </w:r>
          </w:p>
        </w:tc>
        <w:tc>
          <w:tcPr>
            <w:tcW w:w="296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89"/>
              </w:rPr>
              <w:t>Record Date</w:t>
            </w:r>
          </w:p>
        </w:tc>
        <w:tc>
          <w:tcPr>
            <w:tcW w:w="296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89"/>
              </w:rPr>
              <w:t>Payment Date</w:t>
            </w:r>
          </w:p>
        </w:tc>
        <w:tc>
          <w:tcPr>
            <w:tcW w:w="2160" w:type="dxa"/>
            <w:vAlign w:val="bottom"/>
          </w:tcPr>
          <w:p>
            <w:pPr>
              <w:jc w:val="center"/>
              <w:spacing w:after="0"/>
              <w:rPr>
                <w:sz w:val="20"/>
                <w:szCs w:val="20"/>
                <w:color w:val="auto"/>
              </w:rPr>
            </w:pPr>
            <w:r>
              <w:rPr>
                <w:rFonts w:ascii="Arial" w:cs="Arial" w:eastAsia="Arial" w:hAnsi="Arial"/>
                <w:sz w:val="20"/>
                <w:szCs w:val="20"/>
                <w:b w:val="1"/>
                <w:bCs w:val="1"/>
                <w:color w:val="auto"/>
                <w:w w:val="89"/>
              </w:rPr>
              <w:t>Common Share</w:t>
            </w:r>
          </w:p>
        </w:tc>
      </w:tr>
      <w:tr>
        <w:trPr>
          <w:trHeight w:val="23"/>
        </w:trPr>
        <w:tc>
          <w:tcPr>
            <w:tcW w:w="31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57"/>
        </w:trPr>
        <w:tc>
          <w:tcPr>
            <w:tcW w:w="334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89"/>
              </w:rPr>
              <w:t>February 13, 2019</w:t>
            </w:r>
          </w:p>
        </w:tc>
        <w:tc>
          <w:tcPr>
            <w:tcW w:w="296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20"/>
                <w:szCs w:val="20"/>
                <w:color w:val="auto"/>
                <w:w w:val="90"/>
              </w:rPr>
              <w:t>March 25, 2019</w:t>
            </w:r>
          </w:p>
        </w:tc>
        <w:tc>
          <w:tcPr>
            <w:tcW w:w="296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20"/>
                <w:szCs w:val="20"/>
                <w:color w:val="auto"/>
                <w:w w:val="93"/>
              </w:rPr>
              <w:t>April 15, 2019</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$0.3625</w:t>
            </w:r>
          </w:p>
        </w:tc>
      </w:tr>
      <w:tr>
        <w:trPr>
          <w:trHeight w:val="261"/>
        </w:trPr>
        <w:tc>
          <w:tcPr>
            <w:tcW w:w="3340" w:type="dxa"/>
            <w:vAlign w:val="bottom"/>
            <w:gridSpan w:val="2"/>
          </w:tcPr>
          <w:p>
            <w:pPr>
              <w:jc w:val="center"/>
              <w:ind w:right="220"/>
              <w:spacing w:after="0"/>
              <w:rPr>
                <w:sz w:val="20"/>
                <w:szCs w:val="20"/>
                <w:color w:val="auto"/>
              </w:rPr>
            </w:pPr>
            <w:r>
              <w:rPr>
                <w:rFonts w:ascii="Arial" w:cs="Arial" w:eastAsia="Arial" w:hAnsi="Arial"/>
                <w:sz w:val="20"/>
                <w:szCs w:val="20"/>
                <w:color w:val="auto"/>
                <w:w w:val="93"/>
              </w:rPr>
              <w:t>April 24, 2019</w:t>
            </w:r>
          </w:p>
        </w:tc>
        <w:tc>
          <w:tcPr>
            <w:tcW w:w="2960" w:type="dxa"/>
            <w:vAlign w:val="bottom"/>
            <w:gridSpan w:val="2"/>
          </w:tcPr>
          <w:p>
            <w:pPr>
              <w:jc w:val="center"/>
              <w:ind w:right="240"/>
              <w:spacing w:after="0"/>
              <w:rPr>
                <w:sz w:val="20"/>
                <w:szCs w:val="20"/>
                <w:color w:val="auto"/>
              </w:rPr>
            </w:pPr>
            <w:r>
              <w:rPr>
                <w:rFonts w:ascii="Arial" w:cs="Arial" w:eastAsia="Arial" w:hAnsi="Arial"/>
                <w:sz w:val="20"/>
                <w:szCs w:val="20"/>
                <w:color w:val="auto"/>
                <w:w w:val="88"/>
              </w:rPr>
              <w:t>June 25, 2019</w:t>
            </w:r>
          </w:p>
        </w:tc>
        <w:tc>
          <w:tcPr>
            <w:tcW w:w="2960" w:type="dxa"/>
            <w:vAlign w:val="bottom"/>
            <w:gridSpan w:val="2"/>
          </w:tcPr>
          <w:p>
            <w:pPr>
              <w:jc w:val="center"/>
              <w:ind w:right="220"/>
              <w:spacing w:after="0"/>
              <w:rPr>
                <w:sz w:val="20"/>
                <w:szCs w:val="20"/>
                <w:color w:val="auto"/>
              </w:rPr>
            </w:pPr>
            <w:r>
              <w:rPr>
                <w:rFonts w:ascii="Arial" w:cs="Arial" w:eastAsia="Arial" w:hAnsi="Arial"/>
                <w:sz w:val="20"/>
                <w:szCs w:val="20"/>
                <w:color w:val="auto"/>
                <w:w w:val="89"/>
              </w:rPr>
              <w:t>July 15, 2019</w:t>
            </w:r>
          </w:p>
        </w:tc>
        <w:tc>
          <w:tcPr>
            <w:tcW w:w="2160" w:type="dxa"/>
            <w:vAlign w:val="bottom"/>
          </w:tcPr>
          <w:p>
            <w:pPr>
              <w:jc w:val="center"/>
              <w:spacing w:after="0"/>
              <w:rPr>
                <w:sz w:val="20"/>
                <w:szCs w:val="20"/>
                <w:color w:val="auto"/>
              </w:rPr>
            </w:pPr>
            <w:r>
              <w:rPr>
                <w:rFonts w:ascii="Arial" w:cs="Arial" w:eastAsia="Arial" w:hAnsi="Arial"/>
                <w:sz w:val="20"/>
                <w:szCs w:val="20"/>
                <w:color w:val="auto"/>
                <w:w w:val="91"/>
              </w:rPr>
              <w:t>0.3850</w:t>
            </w:r>
          </w:p>
        </w:tc>
      </w:tr>
      <w:tr>
        <w:trPr>
          <w:trHeight w:val="2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61"/>
        </w:trPr>
        <w:tc>
          <w:tcPr>
            <w:tcW w:w="3340" w:type="dxa"/>
            <w:vAlign w:val="bottom"/>
            <w:gridSpan w:val="2"/>
            <w:shd w:val="clear" w:color="auto" w:fill="CCEEFF"/>
          </w:tcPr>
          <w:p>
            <w:pPr>
              <w:jc w:val="center"/>
              <w:ind w:right="220"/>
              <w:spacing w:after="0"/>
              <w:rPr>
                <w:sz w:val="20"/>
                <w:szCs w:val="20"/>
                <w:color w:val="auto"/>
              </w:rPr>
            </w:pPr>
            <w:r>
              <w:rPr>
                <w:rFonts w:ascii="Arial" w:cs="Arial" w:eastAsia="Arial" w:hAnsi="Arial"/>
                <w:sz w:val="20"/>
                <w:szCs w:val="20"/>
                <w:color w:val="auto"/>
                <w:w w:val="90"/>
              </w:rPr>
              <w:t>July 31, 2019</w:t>
            </w:r>
          </w:p>
        </w:tc>
        <w:tc>
          <w:tcPr>
            <w:tcW w:w="296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88"/>
              </w:rPr>
              <w:t>September 25, 2019</w:t>
            </w:r>
          </w:p>
        </w:tc>
        <w:tc>
          <w:tcPr>
            <w:tcW w:w="2960" w:type="dxa"/>
            <w:vAlign w:val="bottom"/>
            <w:gridSpan w:val="2"/>
            <w:shd w:val="clear" w:color="auto" w:fill="CCEEFF"/>
          </w:tcPr>
          <w:p>
            <w:pPr>
              <w:jc w:val="center"/>
              <w:ind w:right="220"/>
              <w:spacing w:after="0"/>
              <w:rPr>
                <w:sz w:val="20"/>
                <w:szCs w:val="20"/>
                <w:color w:val="auto"/>
              </w:rPr>
            </w:pPr>
            <w:r>
              <w:rPr>
                <w:rFonts w:ascii="Arial" w:cs="Arial" w:eastAsia="Arial" w:hAnsi="Arial"/>
                <w:sz w:val="20"/>
                <w:szCs w:val="20"/>
                <w:color w:val="auto"/>
                <w:w w:val="89"/>
              </w:rPr>
              <w:t>October 15, 2019</w:t>
            </w:r>
          </w:p>
        </w:tc>
        <w:tc>
          <w:tcPr>
            <w:tcW w:w="21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1"/>
              </w:rPr>
              <w:t>0.3850</w:t>
            </w:r>
          </w:p>
        </w:tc>
      </w:tr>
      <w:tr>
        <w:trPr>
          <w:trHeight w:val="23"/>
        </w:trPr>
        <w:tc>
          <w:tcPr>
            <w:tcW w:w="3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Debt and Equity Financings</w:t>
      </w:r>
    </w:p>
    <w:p>
      <w:pPr>
        <w:spacing w:after="0" w:line="229"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PGE’s ability to secure sufficient long-term capital at a reasonable cost is determined by its financial performance and outlook, its credit ratings, its capital expenditure requirements, alternatives available to investors, market conditions, and other factors. Management believes that the availability of its revolving credit facility, the expected ability to issue long-term debt and equity securities, and cash expected to be generated from operations provide sufficient cash flow and liquidity to meet the Company’s anticipated capital and operating requirements for the foreseeable future.</w:t>
      </w:r>
    </w:p>
    <w:p>
      <w:pPr>
        <w:spacing w:after="0" w:line="208" w:lineRule="exact"/>
        <w:rPr>
          <w:sz w:val="20"/>
          <w:szCs w:val="20"/>
          <w:color w:val="auto"/>
        </w:rPr>
      </w:pPr>
    </w:p>
    <w:p>
      <w:pPr>
        <w:ind w:right="20"/>
        <w:spacing w:after="0" w:line="291" w:lineRule="auto"/>
        <w:rPr>
          <w:sz w:val="20"/>
          <w:szCs w:val="20"/>
          <w:color w:val="auto"/>
        </w:rPr>
      </w:pPr>
      <w:r>
        <w:rPr>
          <w:rFonts w:ascii="Arial" w:cs="Arial" w:eastAsia="Arial" w:hAnsi="Arial"/>
          <w:sz w:val="18"/>
          <w:szCs w:val="18"/>
          <w:color w:val="auto"/>
        </w:rPr>
        <w:t>For 2019, PGE expects to fund estimated capital requirements with cash from operations, which is expected to range from $550 million to $600 million, issuances of debt securities of up to $430 million, and the issuance of commercial paper, as needed. The actual timing and amount of any such issuances of debt and commercial paper will be dependent upon the timing and amount of capital expenditures.</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Short-term Debt. </w:t>
      </w:r>
      <w:r>
        <w:rPr>
          <w:rFonts w:ascii="Arial" w:cs="Arial" w:eastAsia="Arial" w:hAnsi="Arial"/>
          <w:sz w:val="19"/>
          <w:szCs w:val="19"/>
          <w:color w:val="auto"/>
        </w:rPr>
        <w:t>PGE has approval from the FERC to issue short-term debt up to a total of $900 million through February 6, 2020.</w:t>
      </w:r>
    </w:p>
    <w:p>
      <w:pPr>
        <w:spacing w:after="0" w:line="241" w:lineRule="exact"/>
        <w:rPr>
          <w:sz w:val="20"/>
          <w:szCs w:val="20"/>
          <w:color w:val="auto"/>
        </w:rPr>
      </w:pPr>
    </w:p>
    <w:p>
      <w:pPr>
        <w:ind w:right="100"/>
        <w:spacing w:after="0" w:line="260" w:lineRule="auto"/>
        <w:rPr>
          <w:sz w:val="20"/>
          <w:szCs w:val="20"/>
          <w:color w:val="auto"/>
        </w:rPr>
      </w:pPr>
      <w:r>
        <w:rPr>
          <w:rFonts w:ascii="Arial" w:cs="Arial" w:eastAsia="Arial" w:hAnsi="Arial"/>
          <w:sz w:val="19"/>
          <w:szCs w:val="19"/>
          <w:color w:val="auto"/>
        </w:rPr>
        <w:t>As of June 30, 2019, PGE had a $500 million revolving credit facility scheduled to expire in November 2022. The revolving credit facility supplements operating cash flows and provides a primary source of liquidity. Pursuant to the terms of the agreement, the revolving credit facility may be used as backup for commercial paper borrowings, to permit the issuance of standby letters of credit, and to provide cash for general corporate purposes. PGE may borrow for one, two, three, or six months at a fixed interest rate established at the time of the borrowing, or at a variable interest rate for any period up to the then remaining term of the credit facility.</w:t>
      </w:r>
    </w:p>
    <w:p>
      <w:pPr>
        <w:spacing w:after="0" w:line="194" w:lineRule="exact"/>
        <w:rPr>
          <w:sz w:val="20"/>
          <w:szCs w:val="20"/>
          <w:color w:val="auto"/>
        </w:rPr>
      </w:pPr>
    </w:p>
    <w:p>
      <w:pPr>
        <w:jc w:val="both"/>
        <w:ind w:right="180"/>
        <w:spacing w:after="0" w:line="260" w:lineRule="auto"/>
        <w:rPr>
          <w:sz w:val="20"/>
          <w:szCs w:val="20"/>
          <w:color w:val="auto"/>
        </w:rPr>
      </w:pPr>
      <w:r>
        <w:rPr>
          <w:rFonts w:ascii="Arial" w:cs="Arial" w:eastAsia="Arial" w:hAnsi="Arial"/>
          <w:sz w:val="20"/>
          <w:szCs w:val="20"/>
          <w:color w:val="auto"/>
        </w:rPr>
        <w:t>The Company has a commercial paper program under which it may issue commercial paper for terms of up to 270 days, limited to the unused amount of credit under the revolving credit facility.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Under the revolving credit facility, as of June 30, 2019, PGE had no borrowings outstanding, and $17 million of commercial paper outstanding.</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As a result, the aggregate, unused available credit capacity was $483 million.</w:t>
      </w:r>
    </w:p>
    <w:p>
      <w:pPr>
        <w:spacing w:after="0" w:line="213" w:lineRule="exact"/>
        <w:rPr>
          <w:sz w:val="20"/>
          <w:szCs w:val="20"/>
          <w:color w:val="auto"/>
        </w:rPr>
      </w:pPr>
    </w:p>
    <w:p>
      <w:pPr>
        <w:jc w:val="both"/>
        <w:ind w:right="180"/>
        <w:spacing w:after="0" w:line="291" w:lineRule="auto"/>
        <w:rPr>
          <w:sz w:val="20"/>
          <w:szCs w:val="20"/>
          <w:color w:val="auto"/>
        </w:rPr>
      </w:pPr>
      <w:r>
        <w:rPr>
          <w:rFonts w:ascii="Arial" w:cs="Arial" w:eastAsia="Arial" w:hAnsi="Arial"/>
          <w:sz w:val="18"/>
          <w:szCs w:val="18"/>
          <w:color w:val="auto"/>
        </w:rPr>
        <w:t>In addition, PGE has four letter of credit facilities under which the Company can request letters of credit for original terms not to exceed one year. These facilities provide for a total capacity of $220 million. The issuance of such letters of credit is subject to the approval of the issuing institution. Under these facilities, letters of credit for a total of $60 million were outstanding as of June 30, 2019.</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300" w:lineRule="exact"/>
        <w:rPr>
          <w:sz w:val="20"/>
          <w:szCs w:val="20"/>
          <w:color w:val="auto"/>
        </w:rPr>
      </w:pPr>
    </w:p>
    <w:p>
      <w:pPr>
        <w:jc w:val="both"/>
        <w:ind w:right="220"/>
        <w:spacing w:after="0" w:line="250" w:lineRule="auto"/>
        <w:rPr>
          <w:sz w:val="20"/>
          <w:szCs w:val="20"/>
          <w:color w:val="auto"/>
        </w:rPr>
      </w:pPr>
      <w:r>
        <w:rPr>
          <w:rFonts w:ascii="Arial" w:cs="Arial" w:eastAsia="Arial" w:hAnsi="Arial"/>
          <w:sz w:val="20"/>
          <w:szCs w:val="20"/>
          <w:i w:val="1"/>
          <w:iCs w:val="1"/>
          <w:color w:val="auto"/>
        </w:rPr>
        <w:t xml:space="preserve">Long-term Debt. </w:t>
      </w:r>
      <w:r>
        <w:rPr>
          <w:rFonts w:ascii="Arial" w:cs="Arial" w:eastAsia="Arial" w:hAnsi="Arial"/>
          <w:sz w:val="20"/>
          <w:szCs w:val="20"/>
          <w:color w:val="auto"/>
        </w:rPr>
        <w:t>As of June 30, 2019, total long-term debt outstanding, net of $10 million of unamortized debt expense, was $2,377 million.</w:t>
      </w:r>
      <w:r>
        <w:rPr>
          <w:rFonts w:ascii="Arial" w:cs="Arial" w:eastAsia="Arial" w:hAnsi="Arial"/>
          <w:sz w:val="20"/>
          <w:szCs w:val="20"/>
          <w:i w:val="1"/>
          <w:iCs w:val="1"/>
          <w:color w:val="auto"/>
        </w:rPr>
        <w:t xml:space="preserve"> </w:t>
      </w:r>
      <w:r>
        <w:rPr>
          <w:rFonts w:ascii="Arial" w:cs="Arial" w:eastAsia="Arial" w:hAnsi="Arial"/>
          <w:sz w:val="20"/>
          <w:szCs w:val="20"/>
          <w:color w:val="auto"/>
        </w:rPr>
        <w:t>On April 12, 2019, PGE issued $200 million FMBs at an interest rate of 4.30%, due in 2049. Proceeds from the transaction were used toward repayment of the $300 million current portion of long-term debt that came due April 15, 2019.</w:t>
      </w:r>
    </w:p>
    <w:p>
      <w:pPr>
        <w:spacing w:after="0" w:line="200"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i w:val="1"/>
          <w:iCs w:val="1"/>
          <w:color w:val="auto"/>
        </w:rPr>
        <w:t xml:space="preserve">Capital Structure. </w:t>
      </w:r>
      <w:r>
        <w:rPr>
          <w:rFonts w:ascii="Arial" w:cs="Arial" w:eastAsia="Arial" w:hAnsi="Arial"/>
          <w:sz w:val="20"/>
          <w:szCs w:val="20"/>
          <w:color w:val="auto"/>
        </w:rPr>
        <w:t>PGE’s financial objectives include maintaining a common equity ratio (common equity to total consolidated capitalization,</w:t>
      </w:r>
      <w:r>
        <w:rPr>
          <w:rFonts w:ascii="Arial" w:cs="Arial" w:eastAsia="Arial" w:hAnsi="Arial"/>
          <w:sz w:val="20"/>
          <w:szCs w:val="20"/>
          <w:i w:val="1"/>
          <w:iCs w:val="1"/>
          <w:color w:val="auto"/>
        </w:rPr>
        <w:t xml:space="preserve"> </w:t>
      </w:r>
      <w:r>
        <w:rPr>
          <w:rFonts w:ascii="Arial" w:cs="Arial" w:eastAsia="Arial" w:hAnsi="Arial"/>
          <w:sz w:val="20"/>
          <w:szCs w:val="20"/>
          <w:color w:val="auto"/>
        </w:rPr>
        <w:t>including any current debt maturities) of approximately 50%, over time. Achievement of this objective helps the Company maintain investment grade credit ratings and facilitates access to long-term capital at favorable interest rates. The Company’s common equity ratio was 49.9% and 49.8% as of June 30, 2019 and December 31, 2018,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Credit Ratings and Debt Covenants</w:t>
      </w:r>
    </w:p>
    <w:p>
      <w:pPr>
        <w:spacing w:after="0" w:line="229"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PGE’s secured and unsecured debt is rated investment grade by Moody’s Investors Service (Moody’s) and S&amp;P Global Ratings (S&amp;P), with current credit ratings and outlook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540" w:type="dxa"/>
            <w:vAlign w:val="bottom"/>
          </w:tcPr>
          <w:p>
            <w:pPr>
              <w:spacing w:after="0"/>
              <w:rPr>
                <w:sz w:val="22"/>
                <w:szCs w:val="22"/>
                <w:color w:val="auto"/>
              </w:rPr>
            </w:pPr>
          </w:p>
        </w:tc>
        <w:tc>
          <w:tcPr>
            <w:tcW w:w="206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88"/>
              </w:rPr>
              <w:t>Moody’s</w:t>
            </w:r>
          </w:p>
        </w:tc>
        <w:tc>
          <w:tcPr>
            <w:tcW w:w="1820" w:type="dxa"/>
            <w:vAlign w:val="bottom"/>
          </w:tcPr>
          <w:p>
            <w:pPr>
              <w:jc w:val="center"/>
              <w:spacing w:after="0"/>
              <w:rPr>
                <w:sz w:val="20"/>
                <w:szCs w:val="20"/>
                <w:color w:val="auto"/>
              </w:rPr>
            </w:pPr>
            <w:r>
              <w:rPr>
                <w:rFonts w:ascii="Arial" w:cs="Arial" w:eastAsia="Arial" w:hAnsi="Arial"/>
                <w:sz w:val="20"/>
                <w:szCs w:val="20"/>
                <w:b w:val="1"/>
                <w:bCs w:val="1"/>
                <w:color w:val="auto"/>
                <w:w w:val="92"/>
              </w:rPr>
              <w:t>S&amp;P</w:t>
            </w:r>
          </w:p>
        </w:tc>
      </w:tr>
      <w:tr>
        <w:trPr>
          <w:trHeight w:val="23"/>
        </w:trPr>
        <w:tc>
          <w:tcPr>
            <w:tcW w:w="754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First Mortgage Bonds</w:t>
            </w:r>
          </w:p>
        </w:tc>
        <w:tc>
          <w:tcPr>
            <w:tcW w:w="206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20"/>
                <w:szCs w:val="20"/>
                <w:color w:val="auto"/>
                <w:w w:val="97"/>
              </w:rPr>
              <w:t>A1</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rPr>
              <w:t>A</w:t>
            </w:r>
          </w:p>
        </w:tc>
      </w:tr>
      <w:tr>
        <w:trPr>
          <w:trHeight w:val="261"/>
        </w:trPr>
        <w:tc>
          <w:tcPr>
            <w:tcW w:w="7540" w:type="dxa"/>
            <w:vAlign w:val="bottom"/>
          </w:tcPr>
          <w:p>
            <w:pPr>
              <w:ind w:left="40"/>
              <w:spacing w:after="0"/>
              <w:rPr>
                <w:sz w:val="20"/>
                <w:szCs w:val="20"/>
                <w:color w:val="auto"/>
              </w:rPr>
            </w:pPr>
            <w:r>
              <w:rPr>
                <w:rFonts w:ascii="Arial" w:cs="Arial" w:eastAsia="Arial" w:hAnsi="Arial"/>
                <w:sz w:val="20"/>
                <w:szCs w:val="20"/>
                <w:color w:val="auto"/>
              </w:rPr>
              <w:t>Senior unsecured debt</w:t>
            </w:r>
          </w:p>
        </w:tc>
        <w:tc>
          <w:tcPr>
            <w:tcW w:w="2060" w:type="dxa"/>
            <w:vAlign w:val="bottom"/>
            <w:gridSpan w:val="2"/>
          </w:tcPr>
          <w:p>
            <w:pPr>
              <w:jc w:val="center"/>
              <w:ind w:right="220"/>
              <w:spacing w:after="0"/>
              <w:rPr>
                <w:sz w:val="20"/>
                <w:szCs w:val="20"/>
                <w:color w:val="auto"/>
              </w:rPr>
            </w:pPr>
            <w:r>
              <w:rPr>
                <w:rFonts w:ascii="Arial" w:cs="Arial" w:eastAsia="Arial" w:hAnsi="Arial"/>
                <w:sz w:val="20"/>
                <w:szCs w:val="20"/>
                <w:color w:val="auto"/>
                <w:w w:val="97"/>
              </w:rPr>
              <w:t>A3</w:t>
            </w:r>
          </w:p>
        </w:tc>
        <w:tc>
          <w:tcPr>
            <w:tcW w:w="1820" w:type="dxa"/>
            <w:vAlign w:val="bottom"/>
          </w:tcPr>
          <w:p>
            <w:pPr>
              <w:jc w:val="center"/>
              <w:spacing w:after="0"/>
              <w:rPr>
                <w:sz w:val="20"/>
                <w:szCs w:val="20"/>
                <w:color w:val="auto"/>
              </w:rPr>
            </w:pPr>
            <w:r>
              <w:rPr>
                <w:rFonts w:ascii="Arial" w:cs="Arial" w:eastAsia="Arial" w:hAnsi="Arial"/>
                <w:sz w:val="20"/>
                <w:szCs w:val="20"/>
                <w:color w:val="auto"/>
                <w:w w:val="96"/>
              </w:rPr>
              <w:t>BBB+</w:t>
            </w:r>
          </w:p>
        </w:tc>
      </w:tr>
      <w:tr>
        <w:trPr>
          <w:trHeight w:val="23"/>
        </w:trPr>
        <w:tc>
          <w:tcPr>
            <w:tcW w:w="75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6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Commercial paper</w:t>
            </w:r>
          </w:p>
        </w:tc>
        <w:tc>
          <w:tcPr>
            <w:tcW w:w="206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20"/>
                <w:szCs w:val="20"/>
                <w:color w:val="auto"/>
                <w:w w:val="89"/>
              </w:rPr>
              <w:t>P-2</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96"/>
              </w:rPr>
              <w:t>A-2</w:t>
            </w:r>
          </w:p>
        </w:tc>
      </w:tr>
      <w:tr>
        <w:trPr>
          <w:trHeight w:val="261"/>
        </w:trPr>
        <w:tc>
          <w:tcPr>
            <w:tcW w:w="7540" w:type="dxa"/>
            <w:vAlign w:val="bottom"/>
          </w:tcPr>
          <w:p>
            <w:pPr>
              <w:ind w:left="40"/>
              <w:spacing w:after="0"/>
              <w:rPr>
                <w:sz w:val="20"/>
                <w:szCs w:val="20"/>
                <w:color w:val="auto"/>
              </w:rPr>
            </w:pPr>
            <w:r>
              <w:rPr>
                <w:rFonts w:ascii="Arial" w:cs="Arial" w:eastAsia="Arial" w:hAnsi="Arial"/>
                <w:sz w:val="20"/>
                <w:szCs w:val="20"/>
                <w:color w:val="auto"/>
              </w:rPr>
              <w:t>Outlook</w:t>
            </w:r>
          </w:p>
        </w:tc>
        <w:tc>
          <w:tcPr>
            <w:tcW w:w="2060" w:type="dxa"/>
            <w:vAlign w:val="bottom"/>
            <w:gridSpan w:val="2"/>
          </w:tcPr>
          <w:p>
            <w:pPr>
              <w:jc w:val="center"/>
              <w:ind w:right="220"/>
              <w:spacing w:after="0"/>
              <w:rPr>
                <w:sz w:val="20"/>
                <w:szCs w:val="20"/>
                <w:color w:val="auto"/>
              </w:rPr>
            </w:pPr>
            <w:r>
              <w:rPr>
                <w:rFonts w:ascii="Arial" w:cs="Arial" w:eastAsia="Arial" w:hAnsi="Arial"/>
                <w:sz w:val="20"/>
                <w:szCs w:val="20"/>
                <w:color w:val="auto"/>
                <w:w w:val="84"/>
              </w:rPr>
              <w:t>Stable</w:t>
            </w:r>
          </w:p>
        </w:tc>
        <w:tc>
          <w:tcPr>
            <w:tcW w:w="1820" w:type="dxa"/>
            <w:vAlign w:val="bottom"/>
          </w:tcPr>
          <w:p>
            <w:pPr>
              <w:jc w:val="center"/>
              <w:spacing w:after="0"/>
              <w:rPr>
                <w:sz w:val="20"/>
                <w:szCs w:val="20"/>
                <w:color w:val="auto"/>
              </w:rPr>
            </w:pPr>
            <w:r>
              <w:rPr>
                <w:rFonts w:ascii="Arial" w:cs="Arial" w:eastAsia="Arial" w:hAnsi="Arial"/>
                <w:sz w:val="20"/>
                <w:szCs w:val="20"/>
                <w:color w:val="auto"/>
                <w:w w:val="91"/>
              </w:rPr>
              <w:t>Positive</w:t>
            </w:r>
          </w:p>
        </w:tc>
      </w:tr>
    </w:tbl>
    <w:p>
      <w:pPr>
        <w:spacing w:after="0" w:line="236" w:lineRule="exact"/>
        <w:rPr>
          <w:sz w:val="20"/>
          <w:szCs w:val="20"/>
          <w:color w:val="auto"/>
        </w:rPr>
      </w:pPr>
    </w:p>
    <w:p>
      <w:pPr>
        <w:ind w:right="80"/>
        <w:spacing w:after="0" w:line="316" w:lineRule="auto"/>
        <w:rPr>
          <w:sz w:val="20"/>
          <w:szCs w:val="20"/>
          <w:color w:val="auto"/>
        </w:rPr>
      </w:pPr>
      <w:r>
        <w:rPr>
          <w:rFonts w:ascii="Arial" w:cs="Arial" w:eastAsia="Arial" w:hAnsi="Arial"/>
          <w:sz w:val="16"/>
          <w:szCs w:val="16"/>
          <w:color w:val="auto"/>
        </w:rPr>
        <w:t>Should Moody’s or S&amp;P reduce their credit rating on PGE’s unsecured debt below investment grade, the Company could be subject to requests by certain of its wholesale, commodity, and transmission counterparties to post additional performance assurance collateral in connection with its price risk management activities. The performance assurance collateral can be in the form of cash deposits or letters of credit, depending on the terms of the underlying agreements, are based on the contract terms and commodity prices, and can vary from period to period. Cash deposits that PGE provides as collateral are classified as Margin deposits, which is included in Other current assets on the Company’s condensed consolidated balance sheets, while any letters of credit issued are not reflected on the condensed consolidated balance sheets.</w:t>
      </w:r>
    </w:p>
    <w:p>
      <w:pPr>
        <w:spacing w:after="0" w:line="154" w:lineRule="exact"/>
        <w:rPr>
          <w:sz w:val="20"/>
          <w:szCs w:val="20"/>
          <w:color w:val="auto"/>
        </w:rPr>
      </w:pPr>
    </w:p>
    <w:p>
      <w:pPr>
        <w:ind w:right="120"/>
        <w:spacing w:after="0" w:line="259" w:lineRule="auto"/>
        <w:rPr>
          <w:sz w:val="20"/>
          <w:szCs w:val="20"/>
          <w:color w:val="auto"/>
        </w:rPr>
      </w:pPr>
      <w:r>
        <w:rPr>
          <w:rFonts w:ascii="Arial" w:cs="Arial" w:eastAsia="Arial" w:hAnsi="Arial"/>
          <w:sz w:val="19"/>
          <w:szCs w:val="19"/>
          <w:color w:val="auto"/>
        </w:rPr>
        <w:t>As of June 30, 2019, PGE had $26 million of collateral posted with these counterparties, consisting of $5 million in cash and $21 million in letters of credit. Based on the Company’s energy portfolio, estimates of energy market prices, and the level of collateral outstanding as of June 30, 2019, the amount of additional collateral that could be requested upon a single agency downgrade to below investment grade was $43 million, and decreases to $17 million by December 31, 2019 and to $6 million by December 31, 2020. The amount of additional collateral that could be requested upon a dual agency downgrade to below investment grade was $115 million at June 30, 2019 and decreases to $78 million by December 31, 2019 and to $58 million by December 31, 2020.</w:t>
      </w:r>
    </w:p>
    <w:p>
      <w:pPr>
        <w:spacing w:after="0" w:line="192" w:lineRule="exact"/>
        <w:rPr>
          <w:sz w:val="20"/>
          <w:szCs w:val="20"/>
          <w:color w:val="auto"/>
        </w:rPr>
      </w:pPr>
    </w:p>
    <w:p>
      <w:pPr>
        <w:ind w:right="40"/>
        <w:spacing w:after="0" w:line="316" w:lineRule="auto"/>
        <w:rPr>
          <w:sz w:val="20"/>
          <w:szCs w:val="20"/>
          <w:color w:val="auto"/>
        </w:rPr>
      </w:pPr>
      <w:r>
        <w:rPr>
          <w:rFonts w:ascii="Arial" w:cs="Arial" w:eastAsia="Arial" w:hAnsi="Arial"/>
          <w:sz w:val="18"/>
          <w:szCs w:val="18"/>
          <w:color w:val="auto"/>
        </w:rPr>
        <w:t>PGE’s financing arrangements do not contain ratings triggers that would result in the acceleration of required interest and principal payments in the event of a ratings downgrade. However, the cost of borrowing and issuing letters of credit under the credit facility would increase.</w:t>
      </w:r>
    </w:p>
    <w:p>
      <w:pPr>
        <w:spacing w:after="0" w:line="144" w:lineRule="exact"/>
        <w:rPr>
          <w:sz w:val="20"/>
          <w:szCs w:val="20"/>
          <w:color w:val="auto"/>
        </w:rPr>
      </w:pPr>
    </w:p>
    <w:p>
      <w:pPr>
        <w:ind w:right="120"/>
        <w:spacing w:after="0" w:line="243" w:lineRule="auto"/>
        <w:rPr>
          <w:sz w:val="20"/>
          <w:szCs w:val="20"/>
          <w:color w:val="auto"/>
        </w:rPr>
      </w:pPr>
      <w:r>
        <w:rPr>
          <w:rFonts w:ascii="Arial" w:cs="Arial" w:eastAsia="Arial" w:hAnsi="Arial"/>
          <w:sz w:val="20"/>
          <w:szCs w:val="20"/>
          <w:color w:val="auto"/>
        </w:rPr>
        <w:t>The issuance of FMBs requires that PGE meet earnings coverage and security provisions set forth in the Indenture of Mortgage and Deed of Trust (Indenture) securing the bonds. PGE estimates that on June 30, 2019, under the most restrictive issuance test in the Indenture, the Company could have issued up to $867 million of additional FMBs. Any issuances of FMBs would be subject to market conditions and amounts could be further limited by regulatory authorizations or by covenants and tests contained in other financing agreements. PGE also has the ability to release property from the lien of the Indenture under certain circumstances, including bond credits, deposits of cash, or certain sales, exchanges, or other dispositions of property.</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300"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PGE’s credit facility contains customary covenants and credit provisions, including a requirement that limits consolidated indebtedness, as defined in the credit agreements, to 65.0% of total capitalization (debt-to-total capital ratio). As of June 30, 2019, the Company’s debt-to-total capital ratio, as calculated under the credit agreement, was 50.3%.</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Off-Balance Sheet Arrangements</w:t>
      </w:r>
    </w:p>
    <w:p>
      <w:pPr>
        <w:spacing w:after="0" w:line="229"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PGE has no off-balance sheet arrangements, other than outstanding letters of credit from time to time, that have, or are reasonably likely to have, a material current or future effect on its consolidated financial condition, changes in financial condition, revenues or expenses, results of operations, liquidity, capital expenditures or capital resources.</w:t>
      </w:r>
    </w:p>
    <w:p>
      <w:pPr>
        <w:spacing w:after="0" w:line="200" w:lineRule="exact"/>
        <w:rPr>
          <w:sz w:val="20"/>
          <w:szCs w:val="20"/>
          <w:color w:val="auto"/>
        </w:rPr>
      </w:pPr>
    </w:p>
    <w:p>
      <w:pPr>
        <w:ind w:right="100"/>
        <w:spacing w:after="0" w:line="316" w:lineRule="auto"/>
        <w:rPr>
          <w:sz w:val="20"/>
          <w:szCs w:val="20"/>
          <w:color w:val="auto"/>
        </w:rPr>
      </w:pPr>
      <w:r>
        <w:rPr>
          <w:rFonts w:ascii="Arial" w:cs="Arial" w:eastAsia="Arial" w:hAnsi="Arial"/>
          <w:sz w:val="18"/>
          <w:szCs w:val="18"/>
          <w:color w:val="auto"/>
        </w:rPr>
        <w:t>For such arrangements set forth in Part II, Item 7 of the Company’s Annual Report on Form 10-K for the year ended December 31, 2018, filed with the SEC on February 15, 2019. there have been no material changes outside the ordinary course of business as of June 30, 2019.</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Contractual Obligations</w:t>
      </w:r>
    </w:p>
    <w:p>
      <w:pPr>
        <w:spacing w:after="0" w:line="229"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PGE’s contractual obligations for 2019 and beyond are set forth in Part II, Item 7 of the Company’s Annual Report on Form 10-K for the year ended December 31, 2018, filed with the SEC on February 15, 2019. For such obligations, there have been no material changes outside the ordinary course of business as of June 30, 2019.</w:t>
      </w:r>
    </w:p>
    <w:p>
      <w:pPr>
        <w:spacing w:after="0" w:line="356"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62" w:lineRule="exact"/>
        <w:rPr>
          <w:sz w:val="20"/>
          <w:szCs w:val="20"/>
          <w:color w:val="auto"/>
        </w:rPr>
      </w:pPr>
    </w:p>
    <w:p>
      <w:pPr>
        <w:jc w:val="both"/>
        <w:ind w:right="40"/>
        <w:spacing w:after="0" w:line="291" w:lineRule="auto"/>
        <w:rPr>
          <w:sz w:val="20"/>
          <w:szCs w:val="20"/>
          <w:color w:val="auto"/>
        </w:rPr>
      </w:pPr>
      <w:r>
        <w:rPr>
          <w:rFonts w:ascii="Arial" w:cs="Arial" w:eastAsia="Arial" w:hAnsi="Arial"/>
          <w:sz w:val="18"/>
          <w:szCs w:val="18"/>
          <w:color w:val="auto"/>
        </w:rPr>
        <w:t>PGE is exposed to various forms of market risk, consisting primarily of fluctuations in commodity prices, foreign currency exchange rates, and interest rates, as well as credit risk. There have been no material changes to market risks affecting the Company from those set forth in Part II, Item 7A of the Company’s Annual Report on Form 10-K for the year ended December 31, 2018, filed with the SEC on February 15, 2019.</w:t>
      </w:r>
    </w:p>
    <w:p>
      <w:pPr>
        <w:spacing w:after="0" w:line="322"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Disclosure Controls and Procedures</w:t>
      </w:r>
    </w:p>
    <w:p>
      <w:pPr>
        <w:spacing w:after="0" w:line="229"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PGE’s management, under the supervision and with the participation of its Chief Executive Officer and Chief Financial Officer, has evaluated the effectiveness of the Company’s disclosure controls and procedures as required by Exchange Act Rule 13a-15(b) as of the end of the period covered by this report. Based on that evaluation, PGE’s Chief Executive Officer and Chief Financial Officer have concluded that, as of June 30, 2019, these disclosure controls and procedures were effective.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Changes in Internal Control over Financial Reporting</w:t>
      </w:r>
    </w:p>
    <w:p>
      <w:pPr>
        <w:spacing w:after="0" w:line="229" w:lineRule="exact"/>
        <w:rPr>
          <w:sz w:val="20"/>
          <w:szCs w:val="20"/>
          <w:color w:val="auto"/>
        </w:rPr>
      </w:pPr>
    </w:p>
    <w:p>
      <w:pPr>
        <w:ind w:right="200"/>
        <w:spacing w:after="0" w:line="316" w:lineRule="auto"/>
        <w:rPr>
          <w:sz w:val="20"/>
          <w:szCs w:val="20"/>
          <w:color w:val="auto"/>
        </w:rPr>
      </w:pPr>
      <w:r>
        <w:rPr>
          <w:rFonts w:ascii="Arial" w:cs="Arial" w:eastAsia="Arial" w:hAnsi="Arial"/>
          <w:sz w:val="18"/>
          <w:szCs w:val="18"/>
          <w:color w:val="auto"/>
        </w:rPr>
        <w:t>There were no changes in PGE’s internal control over financial reporting that occurred during the period covered by this quarterly report that have materially affected, or are reasonably likely to materially affect, the Company’s internal control over financial reporting.</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122" w:right="279" w:bottom="1440" w:gutter="0" w:footer="0" w:header="0"/>
        </w:sectPr>
      </w:pPr>
    </w:p>
    <w:bookmarkStart w:id="60" w:name="page61"/>
    <w:bookmarkEnd w:id="60"/>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PART II - OTHER INFORMATION</w:t>
      </w:r>
    </w:p>
    <w:p>
      <w:pPr>
        <w:spacing w:after="0" w:line="162"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62"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See Note 8, Contingencies in the Notes to Condensed Consolidated Financial Statements in Item 1.—“Financial Statements,” for information regarding legal proceedings.</w:t>
      </w:r>
    </w:p>
    <w:p>
      <w:pPr>
        <w:spacing w:after="0" w:line="347"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62"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There have been no material changes to PGE’s risk factors set forth in Part I, Item 1A of the Company’s Annual Report on Form 10-K for the year ended December 31, 2018, filed with the SEC on February 15, 2019.</w:t>
      </w:r>
    </w:p>
    <w:p>
      <w:pPr>
        <w:spacing w:after="0" w:line="347" w:lineRule="exact"/>
        <w:rPr>
          <w:sz w:val="20"/>
          <w:szCs w:val="20"/>
          <w:color w:val="auto"/>
        </w:rPr>
      </w:pPr>
    </w:p>
    <w:p>
      <w:pPr>
        <w:ind w:left="40"/>
        <w:spacing w:after="0"/>
        <w:tabs>
          <w:tab w:leader="none" w:pos="13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Exhibit</w:t>
      </w:r>
    </w:p>
    <w:p>
      <w:pPr>
        <w:spacing w:after="0" w:line="22" w:lineRule="exact"/>
        <w:rPr>
          <w:sz w:val="20"/>
          <w:szCs w:val="20"/>
          <w:color w:val="auto"/>
        </w:rPr>
      </w:pPr>
    </w:p>
    <w:p>
      <w:pPr>
        <w:ind w:left="360"/>
        <w:spacing w:after="0"/>
        <w:tabs>
          <w:tab w:leader="none" w:pos="1400" w:val="left"/>
        </w:tabs>
        <w:rPr>
          <w:sz w:val="20"/>
          <w:szCs w:val="20"/>
          <w:color w:val="auto"/>
        </w:rPr>
      </w:pPr>
      <w:r>
        <w:rPr>
          <w:rFonts w:ascii="Arial" w:cs="Arial" w:eastAsia="Arial" w:hAnsi="Arial"/>
          <w:sz w:val="20"/>
          <w:szCs w:val="20"/>
          <w:b w:val="1"/>
          <w:bCs w:val="1"/>
          <w:u w:val="single" w:color="auto"/>
          <w:color w:val="auto"/>
        </w:rPr>
        <w:t>Number</w:t>
      </w:r>
      <w:r>
        <w:rPr>
          <w:sz w:val="20"/>
          <w:szCs w:val="20"/>
          <w:color w:val="auto"/>
        </w:rPr>
        <w:tab/>
      </w:r>
      <w:r>
        <w:rPr>
          <w:rFonts w:ascii="Arial" w:cs="Arial" w:eastAsia="Arial" w:hAnsi="Arial"/>
          <w:sz w:val="20"/>
          <w:szCs w:val="20"/>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212330" cy="3257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325755"/>
                    </a:xfrm>
                    <a:prstGeom prst="rect">
                      <a:avLst/>
                    </a:prstGeom>
                    <a:noFill/>
                  </pic:spPr>
                </pic:pic>
              </a:graphicData>
            </a:graphic>
          </wp:anchor>
        </w:drawing>
      </w:r>
    </w:p>
    <w:p>
      <w:pPr>
        <w:spacing w:after="0" w:line="18" w:lineRule="exact"/>
        <w:rPr>
          <w:sz w:val="20"/>
          <w:szCs w:val="20"/>
          <w:color w:val="auto"/>
        </w:rPr>
      </w:pPr>
    </w:p>
    <w:p>
      <w:pPr>
        <w:ind w:left="1420" w:right="180" w:hanging="832"/>
        <w:spacing w:after="0" w:line="260" w:lineRule="auto"/>
        <w:tabs>
          <w:tab w:leader="none" w:pos="1400" w:val="left"/>
        </w:tabs>
        <w:rPr>
          <w:rFonts w:ascii="Arial" w:cs="Arial" w:eastAsia="Arial" w:hAnsi="Arial"/>
          <w:sz w:val="20"/>
          <w:szCs w:val="20"/>
          <w:u w:val="single" w:color="auto"/>
          <w:color w:val="0000FF"/>
        </w:rPr>
      </w:pPr>
      <w:r>
        <w:rPr>
          <w:rFonts w:ascii="Arial" w:cs="Arial" w:eastAsia="Arial" w:hAnsi="Arial"/>
          <w:sz w:val="20"/>
          <w:szCs w:val="20"/>
          <w:color w:val="auto"/>
        </w:rPr>
        <w:t>3.1</w:t>
      </w:r>
      <w:r>
        <w:rPr>
          <w:sz w:val="20"/>
          <w:szCs w:val="20"/>
          <w:color w:val="auto"/>
        </w:rPr>
        <w:tab/>
      </w:r>
      <w:hyperlink r:id="rId17">
        <w:r>
          <w:rPr>
            <w:rFonts w:ascii="Arial" w:cs="Arial" w:eastAsia="Arial" w:hAnsi="Arial"/>
            <w:sz w:val="20"/>
            <w:szCs w:val="20"/>
            <w:u w:val="single" w:color="auto"/>
            <w:color w:val="0000FF"/>
          </w:rPr>
          <w:t xml:space="preserve">Third Amended and Restated Articles of Incorporation of Portland General Electric Company </w:t>
        </w:r>
      </w:hyperlink>
      <w:r>
        <w:rPr>
          <w:rFonts w:ascii="Arial" w:cs="Arial" w:eastAsia="Arial" w:hAnsi="Arial"/>
          <w:sz w:val="20"/>
          <w:szCs w:val="20"/>
          <w:color w:val="000000"/>
        </w:rPr>
        <w:t>(incorporated</w:t>
      </w:r>
      <w:r>
        <w:rPr>
          <w:rFonts w:ascii="Arial" w:cs="Arial" w:eastAsia="Arial" w:hAnsi="Arial"/>
          <w:sz w:val="20"/>
          <w:szCs w:val="20"/>
          <w:u w:val="single" w:color="auto"/>
          <w:color w:val="0000FF"/>
        </w:rPr>
        <w:t xml:space="preserve"> </w:t>
      </w:r>
      <w:r>
        <w:rPr>
          <w:rFonts w:ascii="Arial" w:cs="Arial" w:eastAsia="Arial" w:hAnsi="Arial"/>
          <w:sz w:val="20"/>
          <w:szCs w:val="20"/>
          <w:color w:val="000000"/>
        </w:rPr>
        <w:t>by reference to</w:t>
      </w:r>
      <w:r>
        <w:rPr>
          <w:rFonts w:ascii="Arial" w:cs="Arial" w:eastAsia="Arial" w:hAnsi="Arial"/>
          <w:sz w:val="20"/>
          <w:szCs w:val="20"/>
          <w:u w:val="single" w:color="auto"/>
          <w:color w:val="0000FF"/>
        </w:rPr>
        <w:t xml:space="preserve"> </w:t>
      </w:r>
      <w:r>
        <w:rPr>
          <w:rFonts w:ascii="Arial" w:cs="Arial" w:eastAsia="Arial" w:hAnsi="Arial"/>
          <w:sz w:val="20"/>
          <w:szCs w:val="20"/>
          <w:color w:val="000000"/>
        </w:rPr>
        <w:t>Exhibit 3.1 to the Company’s Current Report on Form 8-K filed May 9, 2014).</w:t>
      </w:r>
    </w:p>
    <w:p>
      <w:pPr>
        <w:spacing w:after="0" w:line="15" w:lineRule="exact"/>
        <w:rPr>
          <w:sz w:val="20"/>
          <w:szCs w:val="20"/>
          <w:color w:val="auto"/>
        </w:rPr>
      </w:pPr>
    </w:p>
    <w:p>
      <w:pPr>
        <w:ind w:left="1420" w:right="160" w:hanging="832"/>
        <w:spacing w:after="0" w:line="260" w:lineRule="auto"/>
        <w:tabs>
          <w:tab w:leader="none" w:pos="1400" w:val="left"/>
        </w:tabs>
        <w:rPr>
          <w:rFonts w:ascii="Arial" w:cs="Arial" w:eastAsia="Arial" w:hAnsi="Arial"/>
          <w:sz w:val="20"/>
          <w:szCs w:val="20"/>
          <w:u w:val="single" w:color="auto"/>
          <w:color w:val="0000FF"/>
        </w:rPr>
      </w:pPr>
      <w:r>
        <w:rPr>
          <w:rFonts w:ascii="Arial" w:cs="Arial" w:eastAsia="Arial" w:hAnsi="Arial"/>
          <w:sz w:val="20"/>
          <w:szCs w:val="20"/>
          <w:color w:val="auto"/>
        </w:rPr>
        <w:t>3.2</w:t>
      </w:r>
      <w:r>
        <w:rPr>
          <w:sz w:val="20"/>
          <w:szCs w:val="20"/>
          <w:color w:val="auto"/>
        </w:rPr>
        <w:tab/>
      </w:r>
      <w:hyperlink r:id="rId18">
        <w:r>
          <w:rPr>
            <w:rFonts w:ascii="Arial" w:cs="Arial" w:eastAsia="Arial" w:hAnsi="Arial"/>
            <w:sz w:val="20"/>
            <w:szCs w:val="20"/>
            <w:u w:val="single" w:color="auto"/>
            <w:color w:val="0000FF"/>
          </w:rPr>
          <w:t xml:space="preserve">Eleventh Amended and Restated Bylaws of Portland General Electric Company </w:t>
        </w:r>
      </w:hyperlink>
      <w:r>
        <w:rPr>
          <w:rFonts w:ascii="Arial" w:cs="Arial" w:eastAsia="Arial" w:hAnsi="Arial"/>
          <w:sz w:val="20"/>
          <w:szCs w:val="20"/>
          <w:color w:val="000000"/>
        </w:rPr>
        <w:t>(incorporated</w:t>
      </w:r>
      <w:r>
        <w:rPr>
          <w:rFonts w:ascii="Arial" w:cs="Arial" w:eastAsia="Arial" w:hAnsi="Arial"/>
          <w:sz w:val="20"/>
          <w:szCs w:val="20"/>
          <w:u w:val="single" w:color="auto"/>
          <w:color w:val="0000FF"/>
        </w:rPr>
        <w:t xml:space="preserve"> </w:t>
      </w:r>
      <w:r>
        <w:rPr>
          <w:rFonts w:ascii="Arial" w:cs="Arial" w:eastAsia="Arial" w:hAnsi="Arial"/>
          <w:sz w:val="20"/>
          <w:szCs w:val="20"/>
          <w:color w:val="000000"/>
        </w:rPr>
        <w:t>by reference to Exhibit 3.2 to</w:t>
      </w:r>
      <w:r>
        <w:rPr>
          <w:rFonts w:ascii="Arial" w:cs="Arial" w:eastAsia="Arial" w:hAnsi="Arial"/>
          <w:sz w:val="20"/>
          <w:szCs w:val="20"/>
          <w:u w:val="single" w:color="auto"/>
          <w:color w:val="0000FF"/>
        </w:rPr>
        <w:t xml:space="preserve"> </w:t>
      </w:r>
      <w:r>
        <w:rPr>
          <w:rFonts w:ascii="Arial" w:cs="Arial" w:eastAsia="Arial" w:hAnsi="Arial"/>
          <w:sz w:val="20"/>
          <w:szCs w:val="20"/>
          <w:color w:val="000000"/>
        </w:rPr>
        <w:t>the Company’s Annual Report on Form 10-K filed February 15,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wp:posOffset>
            </wp:positionV>
            <wp:extent cx="721233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ind w:left="540"/>
        <w:spacing w:after="0"/>
        <w:tabs>
          <w:tab w:leader="none" w:pos="1400" w:val="left"/>
        </w:tabs>
        <w:rPr>
          <w:rFonts w:ascii="Arial" w:cs="Arial" w:eastAsia="Arial" w:hAnsi="Arial"/>
          <w:sz w:val="18"/>
          <w:szCs w:val="18"/>
          <w:u w:val="single" w:color="auto"/>
          <w:color w:val="0000FF"/>
        </w:rPr>
      </w:pPr>
      <w:r>
        <w:rPr>
          <w:rFonts w:ascii="Arial" w:cs="Arial" w:eastAsia="Arial" w:hAnsi="Arial"/>
          <w:sz w:val="20"/>
          <w:szCs w:val="20"/>
          <w:color w:val="auto"/>
        </w:rPr>
        <w:t>31.1</w:t>
      </w:r>
      <w:r>
        <w:rPr>
          <w:sz w:val="20"/>
          <w:szCs w:val="20"/>
          <w:color w:val="auto"/>
        </w:rPr>
        <w:tab/>
      </w:r>
      <w:hyperlink w:anchor="page63">
        <w:r>
          <w:rPr>
            <w:rFonts w:ascii="Arial" w:cs="Arial" w:eastAsia="Arial" w:hAnsi="Arial"/>
            <w:sz w:val="18"/>
            <w:szCs w:val="18"/>
            <w:u w:val="single" w:color="auto"/>
            <w:color w:val="0000FF"/>
          </w:rPr>
          <w:t>Certification of Chief Executive Officer</w:t>
        </w:r>
      </w:hyperlink>
      <w:r>
        <w:rPr>
          <w:rFonts w:ascii="Arial" w:cs="Arial" w:eastAsia="Arial" w:hAnsi="Arial"/>
          <w:sz w:val="18"/>
          <w:szCs w:val="18"/>
          <w:color w:val="000000"/>
        </w:rPr>
        <w:t>.</w:t>
      </w:r>
    </w:p>
    <w:p>
      <w:pPr>
        <w:spacing w:after="0" w:line="54" w:lineRule="exact"/>
        <w:rPr>
          <w:sz w:val="20"/>
          <w:szCs w:val="20"/>
          <w:color w:val="auto"/>
        </w:rPr>
      </w:pPr>
    </w:p>
    <w:p>
      <w:pPr>
        <w:ind w:left="540"/>
        <w:spacing w:after="0"/>
        <w:tabs>
          <w:tab w:leader="none" w:pos="1400" w:val="left"/>
        </w:tabs>
        <w:rPr>
          <w:rFonts w:ascii="Arial" w:cs="Arial" w:eastAsia="Arial" w:hAnsi="Arial"/>
          <w:sz w:val="18"/>
          <w:szCs w:val="18"/>
          <w:u w:val="single" w:color="auto"/>
          <w:color w:val="0000FF"/>
        </w:rPr>
      </w:pPr>
      <w:r>
        <w:rPr>
          <w:rFonts w:ascii="Arial" w:cs="Arial" w:eastAsia="Arial" w:hAnsi="Arial"/>
          <w:sz w:val="20"/>
          <w:szCs w:val="20"/>
          <w:color w:val="auto"/>
        </w:rPr>
        <w:t>31.2</w:t>
      </w:r>
      <w:r>
        <w:rPr>
          <w:sz w:val="20"/>
          <w:szCs w:val="20"/>
          <w:color w:val="auto"/>
        </w:rPr>
        <w:tab/>
      </w:r>
      <w:hyperlink w:anchor="page64">
        <w:r>
          <w:rPr>
            <w:rFonts w:ascii="Arial" w:cs="Arial" w:eastAsia="Arial" w:hAnsi="Arial"/>
            <w:sz w:val="18"/>
            <w:szCs w:val="18"/>
            <w:u w:val="single" w:color="auto"/>
            <w:color w:val="0000FF"/>
          </w:rPr>
          <w:t>Certification of Chief Financial Officer.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27305</wp:posOffset>
            </wp:positionV>
            <wp:extent cx="721233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pacing w:after="0" w:line="34" w:lineRule="exact"/>
        <w:rPr>
          <w:sz w:val="20"/>
          <w:szCs w:val="20"/>
          <w:color w:val="auto"/>
        </w:rPr>
      </w:pPr>
    </w:p>
    <w:p>
      <w:pPr>
        <w:ind w:left="1420" w:hanging="802"/>
        <w:spacing w:after="0"/>
        <w:tabs>
          <w:tab w:leader="none" w:pos="1420" w:val="left"/>
        </w:tabs>
        <w:numPr>
          <w:ilvl w:val="0"/>
          <w:numId w:val="22"/>
        </w:numPr>
        <w:rPr>
          <w:rFonts w:ascii="Arial" w:cs="Arial" w:eastAsia="Arial" w:hAnsi="Arial"/>
          <w:sz w:val="20"/>
          <w:szCs w:val="20"/>
          <w:color w:val="0000FF"/>
        </w:rPr>
      </w:pPr>
      <w:hyperlink w:anchor="page65">
        <w:r>
          <w:rPr>
            <w:rFonts w:ascii="Arial" w:cs="Arial" w:eastAsia="Arial" w:hAnsi="Arial"/>
            <w:sz w:val="20"/>
            <w:szCs w:val="20"/>
            <w:u w:val="single" w:color="auto"/>
            <w:color w:val="0000FF"/>
          </w:rPr>
          <w:t>Certifications of Chief Executive Officer and Chief Financial Officer</w:t>
        </w:r>
      </w:hyperlink>
      <w:r>
        <w:rPr>
          <w:rFonts w:ascii="Arial" w:cs="Arial" w:eastAsia="Arial" w:hAnsi="Arial"/>
          <w:sz w:val="20"/>
          <w:szCs w:val="20"/>
          <w:color w:val="000000"/>
        </w:rPr>
        <w:t>.</w:t>
      </w:r>
    </w:p>
    <w:p>
      <w:pPr>
        <w:spacing w:after="0" w:line="5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220" w:type="dxa"/>
            <w:vAlign w:val="bottom"/>
          </w:tcPr>
          <w:p>
            <w:pPr>
              <w:jc w:val="center"/>
              <w:ind w:left="21"/>
              <w:spacing w:after="0"/>
              <w:rPr>
                <w:sz w:val="20"/>
                <w:szCs w:val="20"/>
                <w:color w:val="auto"/>
              </w:rPr>
            </w:pPr>
            <w:r>
              <w:rPr>
                <w:rFonts w:ascii="Arial" w:cs="Arial" w:eastAsia="Arial" w:hAnsi="Arial"/>
                <w:sz w:val="20"/>
                <w:szCs w:val="20"/>
                <w:color w:val="auto"/>
                <w:w w:val="91"/>
              </w:rPr>
              <w:t>101.INS</w:t>
            </w:r>
          </w:p>
        </w:tc>
        <w:tc>
          <w:tcPr>
            <w:tcW w:w="10140" w:type="dxa"/>
            <w:vAlign w:val="bottom"/>
          </w:tcPr>
          <w:p>
            <w:pPr>
              <w:ind w:left="160"/>
              <w:spacing w:after="0"/>
              <w:rPr>
                <w:sz w:val="20"/>
                <w:szCs w:val="20"/>
                <w:color w:val="auto"/>
              </w:rPr>
            </w:pPr>
            <w:r>
              <w:rPr>
                <w:rFonts w:ascii="Arial" w:cs="Arial" w:eastAsia="Arial" w:hAnsi="Arial"/>
                <w:sz w:val="20"/>
                <w:szCs w:val="20"/>
                <w:color w:val="auto"/>
                <w:w w:val="93"/>
              </w:rPr>
              <w:t>XBRL Instance Document. The instance document does not appear in the interactive data file because its XBRL tags are</w:t>
            </w:r>
          </w:p>
        </w:tc>
      </w:tr>
      <w:tr>
        <w:trPr>
          <w:trHeight w:val="250"/>
        </w:trPr>
        <w:tc>
          <w:tcPr>
            <w:tcW w:w="1220" w:type="dxa"/>
            <w:vAlign w:val="bottom"/>
          </w:tcPr>
          <w:p>
            <w:pPr>
              <w:spacing w:after="0"/>
              <w:rPr>
                <w:sz w:val="21"/>
                <w:szCs w:val="21"/>
                <w:color w:val="auto"/>
              </w:rPr>
            </w:pPr>
          </w:p>
        </w:tc>
        <w:tc>
          <w:tcPr>
            <w:tcW w:w="10140" w:type="dxa"/>
            <w:vAlign w:val="bottom"/>
          </w:tcPr>
          <w:p>
            <w:pPr>
              <w:ind w:left="160"/>
              <w:spacing w:after="0"/>
              <w:rPr>
                <w:sz w:val="20"/>
                <w:szCs w:val="20"/>
                <w:color w:val="auto"/>
              </w:rPr>
            </w:pPr>
            <w:r>
              <w:rPr>
                <w:rFonts w:ascii="Arial" w:cs="Arial" w:eastAsia="Arial" w:hAnsi="Arial"/>
                <w:sz w:val="20"/>
                <w:szCs w:val="20"/>
                <w:color w:val="auto"/>
              </w:rPr>
              <w:t>embedded within the inline XBRL document.</w:t>
            </w:r>
          </w:p>
        </w:tc>
      </w:tr>
      <w:tr>
        <w:trPr>
          <w:trHeight w:val="23"/>
        </w:trPr>
        <w:tc>
          <w:tcPr>
            <w:tcW w:w="1220" w:type="dxa"/>
            <w:vAlign w:val="bottom"/>
          </w:tcPr>
          <w:p>
            <w:pPr>
              <w:spacing w:after="0"/>
              <w:rPr>
                <w:sz w:val="2"/>
                <w:szCs w:val="2"/>
                <w:color w:val="auto"/>
              </w:rPr>
            </w:pPr>
          </w:p>
        </w:tc>
        <w:tc>
          <w:tcPr>
            <w:tcW w:w="10140" w:type="dxa"/>
            <w:vAlign w:val="bottom"/>
          </w:tcPr>
          <w:p>
            <w:pPr>
              <w:spacing w:after="0"/>
              <w:rPr>
                <w:sz w:val="2"/>
                <w:szCs w:val="2"/>
                <w:color w:val="auto"/>
              </w:rPr>
            </w:pPr>
          </w:p>
        </w:tc>
      </w:tr>
      <w:tr>
        <w:trPr>
          <w:trHeight w:val="264"/>
        </w:trPr>
        <w:tc>
          <w:tcPr>
            <w:tcW w:w="1220" w:type="dxa"/>
            <w:vAlign w:val="bottom"/>
            <w:tcBorders>
              <w:bottom w:val="single" w:sz="8" w:color="CCEEFF"/>
            </w:tcBorders>
            <w:shd w:val="clear" w:color="auto" w:fill="CCEEFF"/>
          </w:tcPr>
          <w:p>
            <w:pPr>
              <w:jc w:val="center"/>
              <w:ind w:left="41"/>
              <w:spacing w:after="0"/>
              <w:rPr>
                <w:sz w:val="20"/>
                <w:szCs w:val="20"/>
                <w:color w:val="auto"/>
              </w:rPr>
            </w:pPr>
            <w:r>
              <w:rPr>
                <w:rFonts w:ascii="Arial" w:cs="Arial" w:eastAsia="Arial" w:hAnsi="Arial"/>
                <w:sz w:val="20"/>
                <w:szCs w:val="20"/>
                <w:color w:val="auto"/>
                <w:w w:val="88"/>
              </w:rPr>
              <w:t>101.SCH</w:t>
            </w:r>
          </w:p>
        </w:tc>
        <w:tc>
          <w:tcPr>
            <w:tcW w:w="10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XBRL Taxonomy Extension Schema Document.</w:t>
            </w:r>
          </w:p>
        </w:tc>
      </w:tr>
      <w:tr>
        <w:trPr>
          <w:trHeight w:val="261"/>
        </w:trPr>
        <w:tc>
          <w:tcPr>
            <w:tcW w:w="1220" w:type="dxa"/>
            <w:vAlign w:val="bottom"/>
          </w:tcPr>
          <w:p>
            <w:pPr>
              <w:jc w:val="center"/>
              <w:ind w:left="21"/>
              <w:spacing w:after="0"/>
              <w:rPr>
                <w:sz w:val="20"/>
                <w:szCs w:val="20"/>
                <w:color w:val="auto"/>
              </w:rPr>
            </w:pPr>
            <w:r>
              <w:rPr>
                <w:rFonts w:ascii="Arial" w:cs="Arial" w:eastAsia="Arial" w:hAnsi="Arial"/>
                <w:sz w:val="20"/>
                <w:szCs w:val="20"/>
                <w:color w:val="auto"/>
                <w:w w:val="95"/>
              </w:rPr>
              <w:t>101.CAL</w:t>
            </w:r>
          </w:p>
        </w:tc>
        <w:tc>
          <w:tcPr>
            <w:tcW w:w="10140" w:type="dxa"/>
            <w:vAlign w:val="bottom"/>
          </w:tcPr>
          <w:p>
            <w:pPr>
              <w:ind w:left="160"/>
              <w:spacing w:after="0"/>
              <w:rPr>
                <w:sz w:val="20"/>
                <w:szCs w:val="20"/>
                <w:color w:val="auto"/>
              </w:rPr>
            </w:pPr>
            <w:r>
              <w:rPr>
                <w:rFonts w:ascii="Arial" w:cs="Arial" w:eastAsia="Arial" w:hAnsi="Arial"/>
                <w:sz w:val="20"/>
                <w:szCs w:val="20"/>
                <w:color w:val="auto"/>
              </w:rPr>
              <w:t>XBRL Taxonomy Extension Calculation Linkbase Document.</w:t>
            </w:r>
          </w:p>
        </w:tc>
      </w:tr>
      <w:tr>
        <w:trPr>
          <w:trHeight w:val="23"/>
        </w:trPr>
        <w:tc>
          <w:tcPr>
            <w:tcW w:w="1220" w:type="dxa"/>
            <w:vAlign w:val="bottom"/>
          </w:tcPr>
          <w:p>
            <w:pPr>
              <w:spacing w:after="0"/>
              <w:rPr>
                <w:sz w:val="2"/>
                <w:szCs w:val="2"/>
                <w:color w:val="auto"/>
              </w:rPr>
            </w:pPr>
          </w:p>
        </w:tc>
        <w:tc>
          <w:tcPr>
            <w:tcW w:w="10140" w:type="dxa"/>
            <w:vAlign w:val="bottom"/>
          </w:tcPr>
          <w:p>
            <w:pPr>
              <w:spacing w:after="0"/>
              <w:rPr>
                <w:sz w:val="2"/>
                <w:szCs w:val="2"/>
                <w:color w:val="auto"/>
              </w:rPr>
            </w:pPr>
          </w:p>
        </w:tc>
      </w:tr>
      <w:tr>
        <w:trPr>
          <w:trHeight w:val="264"/>
        </w:trPr>
        <w:tc>
          <w:tcPr>
            <w:tcW w:w="1220" w:type="dxa"/>
            <w:vAlign w:val="bottom"/>
            <w:tcBorders>
              <w:bottom w:val="single" w:sz="8" w:color="CCEEFF"/>
            </w:tcBorders>
            <w:shd w:val="clear" w:color="auto" w:fill="CCEEFF"/>
          </w:tcPr>
          <w:p>
            <w:pPr>
              <w:jc w:val="center"/>
              <w:ind w:left="41"/>
              <w:spacing w:after="0"/>
              <w:rPr>
                <w:sz w:val="20"/>
                <w:szCs w:val="20"/>
                <w:color w:val="auto"/>
              </w:rPr>
            </w:pPr>
            <w:r>
              <w:rPr>
                <w:rFonts w:ascii="Arial" w:cs="Arial" w:eastAsia="Arial" w:hAnsi="Arial"/>
                <w:sz w:val="20"/>
                <w:szCs w:val="20"/>
                <w:color w:val="auto"/>
                <w:w w:val="91"/>
              </w:rPr>
              <w:t>101.DEF</w:t>
            </w:r>
          </w:p>
        </w:tc>
        <w:tc>
          <w:tcPr>
            <w:tcW w:w="10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XBRL Taxonomy Extension Definition Linkbase Document.</w:t>
            </w:r>
          </w:p>
        </w:tc>
      </w:tr>
      <w:tr>
        <w:trPr>
          <w:trHeight w:val="261"/>
        </w:trPr>
        <w:tc>
          <w:tcPr>
            <w:tcW w:w="1220" w:type="dxa"/>
            <w:vAlign w:val="bottom"/>
          </w:tcPr>
          <w:p>
            <w:pPr>
              <w:jc w:val="center"/>
              <w:ind w:left="21"/>
              <w:spacing w:after="0"/>
              <w:rPr>
                <w:sz w:val="20"/>
                <w:szCs w:val="20"/>
                <w:color w:val="auto"/>
              </w:rPr>
            </w:pPr>
            <w:r>
              <w:rPr>
                <w:rFonts w:ascii="Arial" w:cs="Arial" w:eastAsia="Arial" w:hAnsi="Arial"/>
                <w:sz w:val="20"/>
                <w:szCs w:val="20"/>
                <w:color w:val="auto"/>
                <w:w w:val="96"/>
              </w:rPr>
              <w:t>101.LAB</w:t>
            </w:r>
          </w:p>
        </w:tc>
        <w:tc>
          <w:tcPr>
            <w:tcW w:w="10140" w:type="dxa"/>
            <w:vAlign w:val="bottom"/>
          </w:tcPr>
          <w:p>
            <w:pPr>
              <w:ind w:left="160"/>
              <w:spacing w:after="0"/>
              <w:rPr>
                <w:sz w:val="20"/>
                <w:szCs w:val="20"/>
                <w:color w:val="auto"/>
              </w:rPr>
            </w:pPr>
            <w:r>
              <w:rPr>
                <w:rFonts w:ascii="Arial" w:cs="Arial" w:eastAsia="Arial" w:hAnsi="Arial"/>
                <w:sz w:val="20"/>
                <w:szCs w:val="20"/>
                <w:color w:val="auto"/>
              </w:rPr>
              <w:t>XBRL Taxonomy Extension Label Linkbase Document.</w:t>
            </w:r>
          </w:p>
        </w:tc>
      </w:tr>
      <w:tr>
        <w:trPr>
          <w:trHeight w:val="23"/>
        </w:trPr>
        <w:tc>
          <w:tcPr>
            <w:tcW w:w="1220" w:type="dxa"/>
            <w:vAlign w:val="bottom"/>
          </w:tcPr>
          <w:p>
            <w:pPr>
              <w:spacing w:after="0"/>
              <w:rPr>
                <w:sz w:val="2"/>
                <w:szCs w:val="2"/>
                <w:color w:val="auto"/>
              </w:rPr>
            </w:pPr>
          </w:p>
        </w:tc>
        <w:tc>
          <w:tcPr>
            <w:tcW w:w="10140" w:type="dxa"/>
            <w:vAlign w:val="bottom"/>
          </w:tcPr>
          <w:p>
            <w:pPr>
              <w:spacing w:after="0"/>
              <w:rPr>
                <w:sz w:val="2"/>
                <w:szCs w:val="2"/>
                <w:color w:val="auto"/>
              </w:rPr>
            </w:pPr>
          </w:p>
        </w:tc>
      </w:tr>
      <w:tr>
        <w:trPr>
          <w:trHeight w:val="261"/>
        </w:trPr>
        <w:tc>
          <w:tcPr>
            <w:tcW w:w="1220" w:type="dxa"/>
            <w:vAlign w:val="bottom"/>
            <w:shd w:val="clear" w:color="auto" w:fill="CCEEFF"/>
          </w:tcPr>
          <w:p>
            <w:pPr>
              <w:jc w:val="center"/>
              <w:ind w:left="41"/>
              <w:spacing w:after="0"/>
              <w:rPr>
                <w:sz w:val="20"/>
                <w:szCs w:val="20"/>
                <w:color w:val="auto"/>
              </w:rPr>
            </w:pPr>
            <w:r>
              <w:rPr>
                <w:rFonts w:ascii="Arial" w:cs="Arial" w:eastAsia="Arial" w:hAnsi="Arial"/>
                <w:sz w:val="20"/>
                <w:szCs w:val="20"/>
                <w:color w:val="auto"/>
                <w:w w:val="89"/>
              </w:rPr>
              <w:t>101.PRE</w:t>
            </w:r>
          </w:p>
        </w:tc>
        <w:tc>
          <w:tcPr>
            <w:tcW w:w="101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XBRL Taxonomy Extension Presentation Linkbase Document.</w:t>
            </w:r>
          </w:p>
        </w:tc>
      </w:tr>
      <w:tr>
        <w:trPr>
          <w:trHeight w:val="23"/>
        </w:trPr>
        <w:tc>
          <w:tcPr>
            <w:tcW w:w="1220" w:type="dxa"/>
            <w:vAlign w:val="bottom"/>
            <w:shd w:val="clear" w:color="auto" w:fill="CCEEFF"/>
          </w:tcPr>
          <w:p>
            <w:pPr>
              <w:spacing w:after="0"/>
              <w:rPr>
                <w:sz w:val="2"/>
                <w:szCs w:val="2"/>
                <w:color w:val="auto"/>
              </w:rPr>
            </w:pPr>
          </w:p>
        </w:tc>
        <w:tc>
          <w:tcPr>
            <w:tcW w:w="10140" w:type="dxa"/>
            <w:vAlign w:val="bottom"/>
            <w:shd w:val="clear" w:color="auto" w:fill="CCEEFF"/>
          </w:tcPr>
          <w:p>
            <w:pPr>
              <w:spacing w:after="0"/>
              <w:rPr>
                <w:sz w:val="2"/>
                <w:szCs w:val="2"/>
                <w:color w:val="auto"/>
              </w:rPr>
            </w:pPr>
          </w:p>
        </w:tc>
      </w:tr>
    </w:tbl>
    <w:p>
      <w:pPr>
        <w:spacing w:after="0" w:line="10" w:lineRule="exact"/>
        <w:rPr>
          <w:sz w:val="20"/>
          <w:szCs w:val="20"/>
          <w:color w:val="auto"/>
        </w:rPr>
      </w:pPr>
    </w:p>
    <w:p>
      <w:pPr>
        <w:ind w:left="1420" w:right="340" w:hanging="851"/>
        <w:spacing w:after="0" w:line="260" w:lineRule="auto"/>
        <w:tabs>
          <w:tab w:leader="none" w:pos="14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Cover page information from Portland General Electric Company’s Quarterly Report on Form 10-Q filed August 2, 2019, formatted in iXBRL (Inline Extensible Business Reporting Language).</w:t>
      </w:r>
    </w:p>
    <w:p>
      <w:pPr>
        <w:spacing w:after="0" w:line="217"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Certain instruments defining the rights of holders of other long-term debt of the Company are omitted pursuant to Item 601(b)(4)(iii)(A) of Regulation S-K because the total amount of securities authorized under each such omitted instrument does not exceed 10% of the total consolidated assets of the Company and its subsidiaries. The Company hereby agrees to furnish a copy of any such instrument to the SEC upon request.</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2" w:right="259" w:bottom="1440" w:gutter="0" w:footer="0" w:header="0"/>
        </w:sectPr>
      </w:pPr>
    </w:p>
    <w:bookmarkStart w:id="61" w:name="page62"/>
    <w:bookmarkEnd w:id="61"/>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SIGNATURE</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353" w:lineRule="exact"/>
        <w:rPr>
          <w:sz w:val="20"/>
          <w:szCs w:val="20"/>
          <w:color w:val="auto"/>
        </w:rPr>
      </w:pPr>
    </w:p>
    <w:p>
      <w:pPr>
        <w:jc w:val="center"/>
        <w:ind w:left="6480"/>
        <w:spacing w:after="0"/>
        <w:rPr>
          <w:sz w:val="20"/>
          <w:szCs w:val="20"/>
          <w:color w:val="auto"/>
        </w:rPr>
      </w:pPr>
      <w:r>
        <w:rPr>
          <w:rFonts w:ascii="Arial" w:cs="Arial" w:eastAsia="Arial" w:hAnsi="Arial"/>
          <w:sz w:val="20"/>
          <w:szCs w:val="20"/>
          <w:color w:val="auto"/>
        </w:rPr>
        <w:t>PORTLAND GENERAL ELECTRIC COMPANY</w:t>
      </w:r>
    </w:p>
    <w:p>
      <w:pPr>
        <w:spacing w:after="0" w:line="54" w:lineRule="exact"/>
        <w:rPr>
          <w:sz w:val="20"/>
          <w:szCs w:val="20"/>
          <w:color w:val="auto"/>
        </w:rPr>
      </w:pPr>
    </w:p>
    <w:p>
      <w:pPr>
        <w:jc w:val="center"/>
        <w:ind w:left="6460"/>
        <w:spacing w:after="0"/>
        <w:rPr>
          <w:sz w:val="20"/>
          <w:szCs w:val="20"/>
          <w:color w:val="auto"/>
        </w:rPr>
      </w:pPr>
      <w:r>
        <w:rPr>
          <w:rFonts w:ascii="Arial" w:cs="Arial" w:eastAsia="Arial" w:hAnsi="Arial"/>
          <w:sz w:val="20"/>
          <w:szCs w:val="20"/>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
        <w:spacing w:after="0"/>
        <w:tabs>
          <w:tab w:leader="none" w:pos="1100" w:val="left"/>
          <w:tab w:leader="none" w:pos="6920" w:val="left"/>
          <w:tab w:leader="none" w:pos="856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August 1, 2019</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James F. Lobdell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27305</wp:posOffset>
            </wp:positionV>
            <wp:extent cx="26073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2607310" cy="889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27305</wp:posOffset>
            </wp:positionV>
            <wp:extent cx="14579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47" w:lineRule="exact"/>
        <w:rPr>
          <w:sz w:val="20"/>
          <w:szCs w:val="20"/>
          <w:color w:val="auto"/>
        </w:rPr>
      </w:pPr>
    </w:p>
    <w:p>
      <w:pPr>
        <w:ind w:left="7340"/>
        <w:spacing w:after="0"/>
        <w:rPr>
          <w:sz w:val="20"/>
          <w:szCs w:val="20"/>
          <w:color w:val="auto"/>
        </w:rPr>
      </w:pPr>
      <w:r>
        <w:rPr>
          <w:rFonts w:ascii="Arial" w:cs="Arial" w:eastAsia="Arial" w:hAnsi="Arial"/>
          <w:sz w:val="20"/>
          <w:szCs w:val="20"/>
          <w:color w:val="auto"/>
        </w:rPr>
        <w:t>James F. Lobdell</w:t>
      </w:r>
    </w:p>
    <w:p>
      <w:pPr>
        <w:spacing w:after="0" w:line="54" w:lineRule="exact"/>
        <w:rPr>
          <w:sz w:val="20"/>
          <w:szCs w:val="20"/>
          <w:color w:val="auto"/>
        </w:rPr>
      </w:pPr>
    </w:p>
    <w:p>
      <w:pPr>
        <w:ind w:left="7340"/>
        <w:spacing w:after="0"/>
        <w:rPr>
          <w:sz w:val="20"/>
          <w:szCs w:val="20"/>
          <w:color w:val="auto"/>
        </w:rPr>
      </w:pPr>
      <w:r>
        <w:rPr>
          <w:rFonts w:ascii="Arial" w:cs="Arial" w:eastAsia="Arial" w:hAnsi="Arial"/>
          <w:sz w:val="20"/>
          <w:szCs w:val="20"/>
          <w:i w:val="1"/>
          <w:iCs w:val="1"/>
          <w:color w:val="auto"/>
        </w:rPr>
        <w:t>Senior Vice President of Finance,</w:t>
      </w:r>
    </w:p>
    <w:p>
      <w:pPr>
        <w:spacing w:after="0" w:line="16" w:lineRule="exact"/>
        <w:rPr>
          <w:sz w:val="20"/>
          <w:szCs w:val="20"/>
          <w:color w:val="auto"/>
        </w:rPr>
      </w:pPr>
    </w:p>
    <w:p>
      <w:pPr>
        <w:ind w:left="7340"/>
        <w:spacing w:after="0"/>
        <w:rPr>
          <w:sz w:val="20"/>
          <w:szCs w:val="20"/>
          <w:color w:val="auto"/>
        </w:rPr>
      </w:pPr>
      <w:r>
        <w:rPr>
          <w:rFonts w:ascii="Arial" w:cs="Arial" w:eastAsia="Arial" w:hAnsi="Arial"/>
          <w:sz w:val="20"/>
          <w:szCs w:val="20"/>
          <w:i w:val="1"/>
          <w:iCs w:val="1"/>
          <w:color w:val="auto"/>
        </w:rPr>
        <w:t>Chief Financial Officer and Treasurer</w:t>
      </w:r>
    </w:p>
    <w:p>
      <w:pPr>
        <w:spacing w:after="0" w:line="38" w:lineRule="exact"/>
        <w:rPr>
          <w:sz w:val="20"/>
          <w:szCs w:val="20"/>
          <w:color w:val="auto"/>
        </w:rPr>
      </w:pPr>
    </w:p>
    <w:p>
      <w:pPr>
        <w:ind w:left="7340"/>
        <w:spacing w:after="0"/>
        <w:rPr>
          <w:sz w:val="20"/>
          <w:szCs w:val="20"/>
          <w:color w:val="auto"/>
        </w:rPr>
      </w:pPr>
      <w:r>
        <w:rPr>
          <w:rFonts w:ascii="Arial" w:cs="Arial" w:eastAsia="Arial" w:hAnsi="Arial"/>
          <w:sz w:val="19"/>
          <w:szCs w:val="19"/>
          <w:color w:val="auto"/>
        </w:rPr>
        <w:t>(duly authorized officer and principal financial</w:t>
      </w:r>
    </w:p>
    <w:p>
      <w:pPr>
        <w:spacing w:after="0" w:line="27" w:lineRule="exact"/>
        <w:rPr>
          <w:sz w:val="20"/>
          <w:szCs w:val="20"/>
          <w:color w:val="auto"/>
        </w:rPr>
      </w:pPr>
    </w:p>
    <w:p>
      <w:pPr>
        <w:ind w:left="7340"/>
        <w:spacing w:after="0"/>
        <w:rPr>
          <w:sz w:val="20"/>
          <w:szCs w:val="20"/>
          <w:color w:val="auto"/>
        </w:rPr>
      </w:pPr>
      <w:r>
        <w:rPr>
          <w:rFonts w:ascii="Arial" w:cs="Arial" w:eastAsia="Arial" w:hAnsi="Arial"/>
          <w:sz w:val="20"/>
          <w:szCs w:val="20"/>
          <w:color w:val="auto"/>
        </w:rPr>
        <w:t>officer)</w:t>
      </w:r>
    </w:p>
    <w:p>
      <w:pPr>
        <w:spacing w:after="0" w:line="2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00"/>
          </w:cols>
          <w:pgMar w:left="240" w:top="122" w:right="359" w:bottom="1440" w:gutter="0" w:footer="0" w:header="0"/>
        </w:sectPr>
      </w:pPr>
    </w:p>
    <w:bookmarkStart w:id="62" w:name="page63"/>
    <w:bookmarkEnd w:id="62"/>
    <w:p>
      <w:pPr>
        <w:jc w:val="right"/>
        <w:spacing w:after="0"/>
        <w:rPr>
          <w:sz w:val="20"/>
          <w:szCs w:val="20"/>
          <w:color w:val="auto"/>
        </w:rPr>
      </w:pPr>
      <w:r>
        <w:rPr>
          <w:rFonts w:ascii="Arial" w:cs="Arial" w:eastAsia="Arial" w:hAnsi="Arial"/>
          <w:sz w:val="20"/>
          <w:szCs w:val="20"/>
          <w:b w:val="1"/>
          <w:bCs w:val="1"/>
          <w:color w:val="auto"/>
        </w:rPr>
        <w:t>Exhibit 31.1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 Maria M. Pope, certify that:</w:t>
      </w:r>
    </w:p>
    <w:p>
      <w:pPr>
        <w:spacing w:after="0" w:line="216"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Portland General Electric Company;</w:t>
      </w:r>
    </w:p>
    <w:p>
      <w:pPr>
        <w:spacing w:after="0" w:line="215" w:lineRule="exact"/>
        <w:rPr>
          <w:rFonts w:ascii="Arial" w:cs="Arial" w:eastAsia="Arial" w:hAnsi="Arial"/>
          <w:sz w:val="20"/>
          <w:szCs w:val="20"/>
          <w:color w:val="auto"/>
        </w:rPr>
      </w:pPr>
    </w:p>
    <w:p>
      <w:pPr>
        <w:ind w:left="660" w:right="20" w:hanging="328"/>
        <w:spacing w:after="0" w:line="250" w:lineRule="auto"/>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Arial" w:cs="Arial" w:eastAsia="Arial" w:hAnsi="Arial"/>
          <w:sz w:val="20"/>
          <w:szCs w:val="20"/>
          <w:color w:val="auto"/>
        </w:rPr>
      </w:pPr>
    </w:p>
    <w:p>
      <w:pPr>
        <w:jc w:val="both"/>
        <w:ind w:left="660" w:right="160" w:hanging="328"/>
        <w:spacing w:after="0" w:line="386"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83" w:lineRule="exact"/>
        <w:rPr>
          <w:rFonts w:ascii="Arial" w:cs="Arial" w:eastAsia="Arial" w:hAnsi="Arial"/>
          <w:sz w:val="16"/>
          <w:szCs w:val="16"/>
          <w:color w:val="auto"/>
        </w:rPr>
      </w:pPr>
    </w:p>
    <w:p>
      <w:pPr>
        <w:ind w:left="660" w:right="300" w:hanging="328"/>
        <w:spacing w:after="0" w:line="250" w:lineRule="auto"/>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6" w:lineRule="exact"/>
        <w:rPr>
          <w:rFonts w:ascii="Arial" w:cs="Arial" w:eastAsia="Arial" w:hAnsi="Arial"/>
          <w:sz w:val="20"/>
          <w:szCs w:val="20"/>
          <w:color w:val="auto"/>
        </w:rPr>
      </w:pPr>
    </w:p>
    <w:p>
      <w:pPr>
        <w:ind w:left="980" w:right="120" w:hanging="324"/>
        <w:spacing w:after="0" w:line="269" w:lineRule="auto"/>
        <w:tabs>
          <w:tab w:leader="none" w:pos="980" w:val="left"/>
        </w:tabs>
        <w:numPr>
          <w:ilvl w:val="1"/>
          <w:numId w:val="24"/>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9"/>
          <w:szCs w:val="19"/>
          <w:color w:val="auto"/>
        </w:rPr>
      </w:pPr>
    </w:p>
    <w:p>
      <w:pPr>
        <w:ind w:left="980" w:right="460" w:hanging="324"/>
        <w:spacing w:after="0" w:line="269" w:lineRule="auto"/>
        <w:tabs>
          <w:tab w:leader="none" w:pos="980" w:val="left"/>
        </w:tabs>
        <w:numPr>
          <w:ilvl w:val="1"/>
          <w:numId w:val="24"/>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9"/>
          <w:szCs w:val="19"/>
          <w:color w:val="auto"/>
        </w:rPr>
      </w:pPr>
    </w:p>
    <w:p>
      <w:pPr>
        <w:ind w:left="980" w:right="60" w:hanging="324"/>
        <w:spacing w:after="0" w:line="250" w:lineRule="auto"/>
        <w:tabs>
          <w:tab w:leader="none" w:pos="980" w:val="left"/>
        </w:tabs>
        <w:numPr>
          <w:ilvl w:val="1"/>
          <w:numId w:val="24"/>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rFonts w:ascii="Arial" w:cs="Arial" w:eastAsia="Arial" w:hAnsi="Arial"/>
          <w:sz w:val="20"/>
          <w:szCs w:val="20"/>
          <w:color w:val="auto"/>
        </w:rPr>
      </w:pPr>
    </w:p>
    <w:p>
      <w:pPr>
        <w:ind w:left="980" w:right="180" w:hanging="324"/>
        <w:spacing w:after="0" w:line="269" w:lineRule="auto"/>
        <w:tabs>
          <w:tab w:leader="none" w:pos="980" w:val="left"/>
        </w:tabs>
        <w:numPr>
          <w:ilvl w:val="1"/>
          <w:numId w:val="24"/>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9"/>
          <w:szCs w:val="19"/>
          <w:color w:val="auto"/>
        </w:rPr>
      </w:pPr>
    </w:p>
    <w:p>
      <w:pPr>
        <w:ind w:left="660" w:right="440" w:hanging="328"/>
        <w:spacing w:after="0" w:line="250" w:lineRule="auto"/>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6" w:lineRule="exact"/>
        <w:rPr>
          <w:rFonts w:ascii="Arial" w:cs="Arial" w:eastAsia="Arial" w:hAnsi="Arial"/>
          <w:sz w:val="20"/>
          <w:szCs w:val="20"/>
          <w:color w:val="auto"/>
        </w:rPr>
      </w:pPr>
    </w:p>
    <w:p>
      <w:pPr>
        <w:ind w:left="980" w:hanging="324"/>
        <w:spacing w:after="0" w:line="316"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0" w:lineRule="exact"/>
        <w:rPr>
          <w:rFonts w:ascii="Arial" w:cs="Arial" w:eastAsia="Arial" w:hAnsi="Arial"/>
          <w:sz w:val="18"/>
          <w:szCs w:val="18"/>
          <w:color w:val="auto"/>
        </w:rPr>
      </w:pPr>
    </w:p>
    <w:p>
      <w:pPr>
        <w:ind w:left="980" w:right="320" w:hanging="324"/>
        <w:spacing w:after="0" w:line="260" w:lineRule="auto"/>
        <w:tabs>
          <w:tab w:leader="none" w:pos="980" w:val="left"/>
        </w:tabs>
        <w:numPr>
          <w:ilvl w:val="1"/>
          <w:numId w:val="24"/>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39" w:lineRule="exact"/>
        <w:rPr>
          <w:sz w:val="20"/>
          <w:szCs w:val="20"/>
          <w:color w:val="auto"/>
        </w:rPr>
      </w:pPr>
    </w:p>
    <w:p>
      <w:pPr>
        <w:ind w:left="980"/>
        <w:spacing w:after="0"/>
        <w:tabs>
          <w:tab w:leader="none" w:pos="3340" w:val="left"/>
          <w:tab w:leader="none" w:pos="5820" w:val="left"/>
          <w:tab w:leader="none" w:pos="630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August 1, 2019</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Maria M. Pope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27305</wp:posOffset>
            </wp:positionV>
            <wp:extent cx="53086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5308600" cy="8890"/>
                    </a:xfrm>
                    <a:prstGeom prst="rect">
                      <a:avLst/>
                    </a:prstGeom>
                    <a:noFill/>
                  </pic:spPr>
                </pic:pic>
              </a:graphicData>
            </a:graphic>
          </wp:anchor>
        </w:drawing>
      </w:r>
    </w:p>
    <w:p>
      <w:pPr>
        <w:spacing w:after="0" w:line="47" w:lineRule="exact"/>
        <w:rPr>
          <w:sz w:val="20"/>
          <w:szCs w:val="20"/>
          <w:color w:val="auto"/>
        </w:rPr>
      </w:pPr>
    </w:p>
    <w:p>
      <w:pPr>
        <w:ind w:left="6320"/>
        <w:spacing w:after="0"/>
        <w:rPr>
          <w:sz w:val="20"/>
          <w:szCs w:val="20"/>
          <w:color w:val="auto"/>
        </w:rPr>
      </w:pPr>
      <w:r>
        <w:rPr>
          <w:rFonts w:ascii="Arial" w:cs="Arial" w:eastAsia="Arial" w:hAnsi="Arial"/>
          <w:sz w:val="20"/>
          <w:szCs w:val="20"/>
          <w:color w:val="auto"/>
        </w:rPr>
        <w:t>Maria M. Pope</w:t>
      </w:r>
    </w:p>
    <w:p>
      <w:pPr>
        <w:spacing w:after="0" w:line="283" w:lineRule="exact"/>
        <w:rPr>
          <w:sz w:val="20"/>
          <w:szCs w:val="20"/>
          <w:color w:val="auto"/>
        </w:rPr>
      </w:pPr>
    </w:p>
    <w:p>
      <w:pPr>
        <w:ind w:left="6320"/>
        <w:spacing w:after="0"/>
        <w:rPr>
          <w:sz w:val="20"/>
          <w:szCs w:val="20"/>
          <w:color w:val="auto"/>
        </w:rPr>
      </w:pPr>
      <w:r>
        <w:rPr>
          <w:rFonts w:ascii="Arial" w:cs="Arial" w:eastAsia="Arial" w:hAnsi="Arial"/>
          <w:sz w:val="20"/>
          <w:szCs w:val="20"/>
          <w:i w:val="1"/>
          <w:iCs w:val="1"/>
          <w:color w:val="auto"/>
        </w:rPr>
        <w:t>President and Chief Executive Officer</w:t>
      </w:r>
    </w:p>
    <w:p>
      <w:pPr>
        <w:sectPr>
          <w:pgSz w:w="11900" w:h="16838" w:orient="portrait"/>
          <w:cols w:equalWidth="0" w:num="1">
            <w:col w:w="11420"/>
          </w:cols>
          <w:pgMar w:left="240" w:top="576"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20"/>
          <w:szCs w:val="20"/>
          <w:b w:val="1"/>
          <w:bCs w:val="1"/>
          <w:color w:val="auto"/>
        </w:rPr>
        <w:t>Exhibit 31.2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 James F. Lobdell, certify that:</w:t>
      </w:r>
    </w:p>
    <w:p>
      <w:pPr>
        <w:spacing w:after="0" w:line="216"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Portland General Electric Company;</w:t>
      </w:r>
    </w:p>
    <w:p>
      <w:pPr>
        <w:spacing w:after="0" w:line="215" w:lineRule="exact"/>
        <w:rPr>
          <w:rFonts w:ascii="Arial" w:cs="Arial" w:eastAsia="Arial" w:hAnsi="Arial"/>
          <w:sz w:val="20"/>
          <w:szCs w:val="20"/>
          <w:color w:val="auto"/>
        </w:rPr>
      </w:pPr>
    </w:p>
    <w:p>
      <w:pPr>
        <w:ind w:left="660" w:right="20" w:hanging="328"/>
        <w:spacing w:after="0" w:line="250" w:lineRule="auto"/>
        <w:tabs>
          <w:tab w:leader="none" w:pos="6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Arial" w:cs="Arial" w:eastAsia="Arial" w:hAnsi="Arial"/>
          <w:sz w:val="20"/>
          <w:szCs w:val="20"/>
          <w:color w:val="auto"/>
        </w:rPr>
      </w:pPr>
    </w:p>
    <w:p>
      <w:pPr>
        <w:jc w:val="both"/>
        <w:ind w:left="660" w:right="160" w:hanging="328"/>
        <w:spacing w:after="0" w:line="386"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83" w:lineRule="exact"/>
        <w:rPr>
          <w:rFonts w:ascii="Arial" w:cs="Arial" w:eastAsia="Arial" w:hAnsi="Arial"/>
          <w:sz w:val="16"/>
          <w:szCs w:val="16"/>
          <w:color w:val="auto"/>
        </w:rPr>
      </w:pPr>
    </w:p>
    <w:p>
      <w:pPr>
        <w:ind w:left="660" w:right="300" w:hanging="328"/>
        <w:spacing w:after="0" w:line="250" w:lineRule="auto"/>
        <w:tabs>
          <w:tab w:leader="none" w:pos="6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6" w:lineRule="exact"/>
        <w:rPr>
          <w:rFonts w:ascii="Arial" w:cs="Arial" w:eastAsia="Arial" w:hAnsi="Arial"/>
          <w:sz w:val="20"/>
          <w:szCs w:val="20"/>
          <w:color w:val="auto"/>
        </w:rPr>
      </w:pPr>
    </w:p>
    <w:p>
      <w:pPr>
        <w:ind w:left="980" w:right="120" w:hanging="324"/>
        <w:spacing w:after="0" w:line="269" w:lineRule="auto"/>
        <w:tabs>
          <w:tab w:leader="none" w:pos="980" w:val="left"/>
        </w:tabs>
        <w:numPr>
          <w:ilvl w:val="1"/>
          <w:numId w:val="25"/>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9"/>
          <w:szCs w:val="19"/>
          <w:color w:val="auto"/>
        </w:rPr>
      </w:pPr>
    </w:p>
    <w:p>
      <w:pPr>
        <w:ind w:left="980" w:right="460" w:hanging="324"/>
        <w:spacing w:after="0" w:line="269" w:lineRule="auto"/>
        <w:tabs>
          <w:tab w:leader="none" w:pos="980" w:val="left"/>
        </w:tabs>
        <w:numPr>
          <w:ilvl w:val="1"/>
          <w:numId w:val="25"/>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9"/>
          <w:szCs w:val="19"/>
          <w:color w:val="auto"/>
        </w:rPr>
      </w:pPr>
    </w:p>
    <w:p>
      <w:pPr>
        <w:ind w:left="980" w:right="60" w:hanging="324"/>
        <w:spacing w:after="0" w:line="250" w:lineRule="auto"/>
        <w:tabs>
          <w:tab w:leader="none" w:pos="980" w:val="left"/>
        </w:tabs>
        <w:numPr>
          <w:ilvl w:val="1"/>
          <w:numId w:val="25"/>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rFonts w:ascii="Arial" w:cs="Arial" w:eastAsia="Arial" w:hAnsi="Arial"/>
          <w:sz w:val="20"/>
          <w:szCs w:val="20"/>
          <w:color w:val="auto"/>
        </w:rPr>
      </w:pPr>
    </w:p>
    <w:p>
      <w:pPr>
        <w:ind w:left="980" w:right="180" w:hanging="324"/>
        <w:spacing w:after="0" w:line="269" w:lineRule="auto"/>
        <w:tabs>
          <w:tab w:leader="none" w:pos="980" w:val="left"/>
        </w:tabs>
        <w:numPr>
          <w:ilvl w:val="1"/>
          <w:numId w:val="25"/>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9"/>
          <w:szCs w:val="19"/>
          <w:color w:val="auto"/>
        </w:rPr>
      </w:pPr>
    </w:p>
    <w:p>
      <w:pPr>
        <w:ind w:left="660" w:right="440" w:hanging="328"/>
        <w:spacing w:after="0" w:line="250" w:lineRule="auto"/>
        <w:tabs>
          <w:tab w:leader="none" w:pos="6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6" w:lineRule="exact"/>
        <w:rPr>
          <w:rFonts w:ascii="Arial" w:cs="Arial" w:eastAsia="Arial" w:hAnsi="Arial"/>
          <w:sz w:val="20"/>
          <w:szCs w:val="20"/>
          <w:color w:val="auto"/>
        </w:rPr>
      </w:pPr>
    </w:p>
    <w:p>
      <w:pPr>
        <w:ind w:left="980" w:hanging="324"/>
        <w:spacing w:after="0" w:line="316"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0" w:lineRule="exact"/>
        <w:rPr>
          <w:rFonts w:ascii="Arial" w:cs="Arial" w:eastAsia="Arial" w:hAnsi="Arial"/>
          <w:sz w:val="18"/>
          <w:szCs w:val="18"/>
          <w:color w:val="auto"/>
        </w:rPr>
      </w:pPr>
    </w:p>
    <w:p>
      <w:pPr>
        <w:ind w:left="980" w:right="320" w:hanging="324"/>
        <w:spacing w:after="0" w:line="260" w:lineRule="auto"/>
        <w:tabs>
          <w:tab w:leader="none" w:pos="980" w:val="left"/>
        </w:tabs>
        <w:numPr>
          <w:ilvl w:val="1"/>
          <w:numId w:val="25"/>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39" w:lineRule="exact"/>
        <w:rPr>
          <w:sz w:val="20"/>
          <w:szCs w:val="20"/>
          <w:color w:val="auto"/>
        </w:rPr>
      </w:pPr>
    </w:p>
    <w:p>
      <w:pPr>
        <w:ind w:left="40"/>
        <w:spacing w:after="0"/>
        <w:tabs>
          <w:tab w:leader="none" w:pos="2420" w:val="left"/>
          <w:tab w:leader="none" w:pos="5400" w:val="left"/>
          <w:tab w:leader="none" w:pos="584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August 1, 2019</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James F. Lobdell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27305</wp:posOffset>
            </wp:positionV>
            <wp:extent cx="68091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47"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James F. Lobdell</w:t>
      </w:r>
    </w:p>
    <w:p>
      <w:pPr>
        <w:spacing w:after="0" w:line="54" w:lineRule="exact"/>
        <w:rPr>
          <w:sz w:val="20"/>
          <w:szCs w:val="20"/>
          <w:color w:val="auto"/>
        </w:rPr>
      </w:pPr>
    </w:p>
    <w:p>
      <w:pPr>
        <w:ind w:left="5860"/>
        <w:spacing w:after="0"/>
        <w:rPr>
          <w:sz w:val="20"/>
          <w:szCs w:val="20"/>
          <w:color w:val="auto"/>
        </w:rPr>
      </w:pPr>
      <w:r>
        <w:rPr>
          <w:rFonts w:ascii="Arial" w:cs="Arial" w:eastAsia="Arial" w:hAnsi="Arial"/>
          <w:sz w:val="20"/>
          <w:szCs w:val="20"/>
          <w:i w:val="1"/>
          <w:iCs w:val="1"/>
          <w:color w:val="auto"/>
        </w:rPr>
        <w:t>Senior Vice President of Finance,</w:t>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20"/>
          <w:szCs w:val="20"/>
          <w:i w:val="1"/>
          <w:iCs w:val="1"/>
          <w:color w:val="auto"/>
        </w:rPr>
        <w:t>Chief Financial Officer and Treasurer</w:t>
      </w:r>
    </w:p>
    <w:p>
      <w:pPr>
        <w:sectPr>
          <w:pgSz w:w="11900" w:h="16838" w:orient="portrait"/>
          <w:cols w:equalWidth="0" w:num="1">
            <w:col w:w="11420"/>
          </w:cols>
          <w:pgMar w:left="240" w:top="576"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20"/>
          <w:szCs w:val="20"/>
          <w:b w:val="1"/>
          <w:bCs w:val="1"/>
          <w:color w:val="auto"/>
        </w:rPr>
        <w:t>Exhibit 32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 PURSUANT TO</w:t>
      </w:r>
    </w:p>
    <w:p>
      <w:pPr>
        <w:jc w:val="center"/>
        <w:spacing w:after="0"/>
        <w:rPr>
          <w:sz w:val="20"/>
          <w:szCs w:val="20"/>
          <w:color w:val="auto"/>
        </w:rPr>
      </w:pPr>
      <w:r>
        <w:rPr>
          <w:rFonts w:ascii="Arial" w:cs="Arial" w:eastAsia="Arial" w:hAnsi="Arial"/>
          <w:sz w:val="20"/>
          <w:szCs w:val="20"/>
          <w:b w:val="1"/>
          <w:bCs w:val="1"/>
          <w:color w:val="auto"/>
        </w:rPr>
        <w:t>18 U.S.C. SECTION 1350,</w:t>
      </w:r>
    </w:p>
    <w:p>
      <w:pPr>
        <w:jc w:val="center"/>
        <w:spacing w:after="0"/>
        <w:rPr>
          <w:sz w:val="20"/>
          <w:szCs w:val="20"/>
          <w:color w:val="auto"/>
        </w:rPr>
      </w:pPr>
      <w:r>
        <w:rPr>
          <w:rFonts w:ascii="Arial" w:cs="Arial" w:eastAsia="Arial" w:hAnsi="Arial"/>
          <w:sz w:val="20"/>
          <w:szCs w:val="20"/>
          <w:b w:val="1"/>
          <w:bCs w:val="1"/>
          <w:color w:val="auto"/>
        </w:rPr>
        <w:t>AS ADOPTED PURSUANT TO</w:t>
      </w: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00" w:lineRule="exact"/>
        <w:rPr>
          <w:sz w:val="20"/>
          <w:szCs w:val="20"/>
          <w:color w:val="auto"/>
        </w:rPr>
      </w:pPr>
    </w:p>
    <w:p>
      <w:pPr>
        <w:spacing w:after="0" w:line="216" w:lineRule="exact"/>
        <w:rPr>
          <w:sz w:val="20"/>
          <w:szCs w:val="20"/>
          <w:color w:val="auto"/>
        </w:rPr>
      </w:pPr>
    </w:p>
    <w:p>
      <w:pPr>
        <w:ind w:right="120"/>
        <w:spacing w:after="0" w:line="263" w:lineRule="auto"/>
        <w:rPr>
          <w:sz w:val="20"/>
          <w:szCs w:val="20"/>
          <w:color w:val="auto"/>
        </w:rPr>
      </w:pPr>
      <w:r>
        <w:rPr>
          <w:rFonts w:ascii="Arial" w:cs="Arial" w:eastAsia="Arial" w:hAnsi="Arial"/>
          <w:sz w:val="19"/>
          <w:szCs w:val="19"/>
          <w:color w:val="auto"/>
        </w:rPr>
        <w:t>We, Maria M. Pope, President and Chief Executive Officer, and James F. Lobdell, Senior Vice President of Finance, Chief Financial Officer and Treasurer, of Portland General Electric Company (the “Company”), hereby certify that the Company’s Quarterly Report on Form 10-Q for the quarterly period ended June 30, 2019, as filed with the Securities and Exchange Commission on August 2, 2019 pursuant to Section 13(a) of the Securities Exchange Act of 1934 (the “Report”), fully complies with the requirements of that section.</w:t>
      </w:r>
    </w:p>
    <w:p>
      <w:pPr>
        <w:spacing w:after="0" w:line="177" w:lineRule="exact"/>
        <w:rPr>
          <w:sz w:val="20"/>
          <w:szCs w:val="20"/>
          <w:color w:val="auto"/>
        </w:rPr>
      </w:pPr>
    </w:p>
    <w:p>
      <w:pPr>
        <w:ind w:right="420"/>
        <w:spacing w:after="0" w:line="260" w:lineRule="auto"/>
        <w:rPr>
          <w:sz w:val="20"/>
          <w:szCs w:val="20"/>
          <w:color w:val="auto"/>
        </w:rPr>
      </w:pPr>
      <w:r>
        <w:rPr>
          <w:rFonts w:ascii="Arial" w:cs="Arial" w:eastAsia="Arial" w:hAnsi="Arial"/>
          <w:sz w:val="20"/>
          <w:szCs w:val="20"/>
          <w:color w:val="auto"/>
        </w:rPr>
        <w:t>We further certify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5" w:lineRule="exact"/>
        <w:rPr>
          <w:sz w:val="20"/>
          <w:szCs w:val="20"/>
          <w:color w:val="auto"/>
        </w:rPr>
      </w:pPr>
    </w:p>
    <w:tbl>
      <w:tblPr>
        <w:tblLayout w:type="fixed"/>
        <w:tblInd w:w="820" w:type="dxa"/>
        <w:tblCellMar>
          <w:top w:w="0" w:type="dxa"/>
          <w:left w:w="0" w:type="dxa"/>
          <w:bottom w:w="0" w:type="dxa"/>
          <w:right w:w="0" w:type="dxa"/>
        </w:tblCellMar>
      </w:tblPr>
      <w:tr>
        <w:trPr>
          <w:trHeight w:val="250"/>
        </w:trPr>
        <w:tc>
          <w:tcPr>
            <w:tcW w:w="680" w:type="dxa"/>
            <w:vAlign w:val="bottom"/>
          </w:tcPr>
          <w:p>
            <w:pPr>
              <w:spacing w:after="0"/>
              <w:rPr>
                <w:sz w:val="21"/>
                <w:szCs w:val="21"/>
                <w:color w:val="auto"/>
              </w:rPr>
            </w:pPr>
          </w:p>
        </w:tc>
        <w:tc>
          <w:tcPr>
            <w:tcW w:w="3660" w:type="dxa"/>
            <w:vAlign w:val="bottom"/>
          </w:tcPr>
          <w:p>
            <w:pPr>
              <w:jc w:val="center"/>
              <w:ind w:right="581"/>
              <w:spacing w:after="0"/>
              <w:rPr>
                <w:sz w:val="20"/>
                <w:szCs w:val="20"/>
                <w:color w:val="auto"/>
              </w:rPr>
            </w:pPr>
            <w:r>
              <w:rPr>
                <w:rFonts w:ascii="Arial" w:cs="Arial" w:eastAsia="Arial" w:hAnsi="Arial"/>
                <w:sz w:val="20"/>
                <w:szCs w:val="20"/>
                <w:color w:val="auto"/>
                <w:w w:val="90"/>
              </w:rPr>
              <w:t>/s/ Maria M. Pope</w:t>
            </w:r>
          </w:p>
        </w:tc>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40" w:type="dxa"/>
            <w:vAlign w:val="bottom"/>
          </w:tcPr>
          <w:p>
            <w:pPr>
              <w:jc w:val="center"/>
              <w:ind w:right="561"/>
              <w:spacing w:after="0"/>
              <w:rPr>
                <w:sz w:val="20"/>
                <w:szCs w:val="20"/>
                <w:color w:val="auto"/>
              </w:rPr>
            </w:pPr>
            <w:r>
              <w:rPr>
                <w:rFonts w:ascii="Arial" w:cs="Arial" w:eastAsia="Arial" w:hAnsi="Arial"/>
                <w:sz w:val="20"/>
                <w:szCs w:val="20"/>
                <w:color w:val="auto"/>
                <w:w w:val="88"/>
              </w:rPr>
              <w:t>/s/ James F. Lobdell</w:t>
            </w:r>
          </w:p>
        </w:tc>
      </w:tr>
      <w:tr>
        <w:trPr>
          <w:trHeight w:val="23"/>
        </w:trPr>
        <w:tc>
          <w:tcPr>
            <w:tcW w:w="6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2"/>
                <w:szCs w:val="22"/>
                <w:color w:val="auto"/>
              </w:rPr>
            </w:pPr>
          </w:p>
        </w:tc>
        <w:tc>
          <w:tcPr>
            <w:tcW w:w="3660" w:type="dxa"/>
            <w:vAlign w:val="bottom"/>
          </w:tcPr>
          <w:p>
            <w:pPr>
              <w:jc w:val="center"/>
              <w:ind w:right="581"/>
              <w:spacing w:after="0"/>
              <w:rPr>
                <w:sz w:val="20"/>
                <w:szCs w:val="20"/>
                <w:color w:val="auto"/>
              </w:rPr>
            </w:pPr>
            <w:r>
              <w:rPr>
                <w:rFonts w:ascii="Arial" w:cs="Arial" w:eastAsia="Arial" w:hAnsi="Arial"/>
                <w:sz w:val="20"/>
                <w:szCs w:val="20"/>
                <w:color w:val="auto"/>
                <w:w w:val="90"/>
              </w:rPr>
              <w:t>Maria M. Pope</w:t>
            </w:r>
          </w:p>
        </w:tc>
        <w:tc>
          <w:tcPr>
            <w:tcW w:w="1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40" w:type="dxa"/>
            <w:vAlign w:val="bottom"/>
          </w:tcPr>
          <w:p>
            <w:pPr>
              <w:jc w:val="center"/>
              <w:ind w:right="561"/>
              <w:spacing w:after="0"/>
              <w:rPr>
                <w:sz w:val="20"/>
                <w:szCs w:val="20"/>
                <w:color w:val="auto"/>
              </w:rPr>
            </w:pPr>
            <w:r>
              <w:rPr>
                <w:rFonts w:ascii="Arial" w:cs="Arial" w:eastAsia="Arial" w:hAnsi="Arial"/>
                <w:sz w:val="20"/>
                <w:szCs w:val="20"/>
                <w:color w:val="auto"/>
                <w:w w:val="87"/>
              </w:rPr>
              <w:t>James F. Lobdell</w:t>
            </w:r>
          </w:p>
        </w:tc>
      </w:tr>
      <w:tr>
        <w:trPr>
          <w:trHeight w:val="263"/>
        </w:trPr>
        <w:tc>
          <w:tcPr>
            <w:tcW w:w="680" w:type="dxa"/>
            <w:vAlign w:val="bottom"/>
          </w:tcPr>
          <w:p>
            <w:pPr>
              <w:spacing w:after="0"/>
              <w:rPr>
                <w:sz w:val="22"/>
                <w:szCs w:val="22"/>
                <w:color w:val="auto"/>
              </w:rPr>
            </w:pPr>
          </w:p>
        </w:tc>
        <w:tc>
          <w:tcPr>
            <w:tcW w:w="3660" w:type="dxa"/>
            <w:vAlign w:val="bottom"/>
          </w:tcPr>
          <w:p>
            <w:pPr>
              <w:jc w:val="center"/>
              <w:ind w:right="581"/>
              <w:spacing w:after="0"/>
              <w:rPr>
                <w:sz w:val="20"/>
                <w:szCs w:val="20"/>
                <w:color w:val="auto"/>
              </w:rPr>
            </w:pPr>
            <w:r>
              <w:rPr>
                <w:rFonts w:ascii="Arial" w:cs="Arial" w:eastAsia="Arial" w:hAnsi="Arial"/>
                <w:sz w:val="20"/>
                <w:szCs w:val="20"/>
                <w:i w:val="1"/>
                <w:iCs w:val="1"/>
                <w:color w:val="auto"/>
                <w:w w:val="89"/>
              </w:rPr>
              <w:t>President and</w:t>
            </w:r>
          </w:p>
        </w:tc>
        <w:tc>
          <w:tcPr>
            <w:tcW w:w="1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40" w:type="dxa"/>
            <w:vAlign w:val="bottom"/>
          </w:tcPr>
          <w:p>
            <w:pPr>
              <w:jc w:val="center"/>
              <w:ind w:right="581"/>
              <w:spacing w:after="0"/>
              <w:rPr>
                <w:sz w:val="20"/>
                <w:szCs w:val="20"/>
                <w:color w:val="auto"/>
              </w:rPr>
            </w:pPr>
            <w:r>
              <w:rPr>
                <w:rFonts w:ascii="Arial" w:cs="Arial" w:eastAsia="Arial" w:hAnsi="Arial"/>
                <w:sz w:val="20"/>
                <w:szCs w:val="20"/>
                <w:i w:val="1"/>
                <w:iCs w:val="1"/>
                <w:color w:val="auto"/>
                <w:w w:val="88"/>
              </w:rPr>
              <w:t>Senior Vice President of Finance,</w:t>
            </w:r>
          </w:p>
        </w:tc>
      </w:tr>
      <w:tr>
        <w:trPr>
          <w:trHeight w:val="250"/>
        </w:trPr>
        <w:tc>
          <w:tcPr>
            <w:tcW w:w="680" w:type="dxa"/>
            <w:vAlign w:val="bottom"/>
          </w:tcPr>
          <w:p>
            <w:pPr>
              <w:spacing w:after="0"/>
              <w:rPr>
                <w:sz w:val="21"/>
                <w:szCs w:val="21"/>
                <w:color w:val="auto"/>
              </w:rPr>
            </w:pPr>
          </w:p>
        </w:tc>
        <w:tc>
          <w:tcPr>
            <w:tcW w:w="3660" w:type="dxa"/>
            <w:vAlign w:val="bottom"/>
          </w:tcPr>
          <w:p>
            <w:pPr>
              <w:jc w:val="center"/>
              <w:ind w:right="581"/>
              <w:spacing w:after="0"/>
              <w:rPr>
                <w:sz w:val="20"/>
                <w:szCs w:val="20"/>
                <w:color w:val="auto"/>
              </w:rPr>
            </w:pPr>
            <w:r>
              <w:rPr>
                <w:rFonts w:ascii="Arial" w:cs="Arial" w:eastAsia="Arial" w:hAnsi="Arial"/>
                <w:sz w:val="20"/>
                <w:szCs w:val="20"/>
                <w:i w:val="1"/>
                <w:iCs w:val="1"/>
                <w:color w:val="auto"/>
                <w:w w:val="91"/>
              </w:rPr>
              <w:t>Chief Executive Officer</w:t>
            </w:r>
          </w:p>
        </w:tc>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760" w:type="dxa"/>
            <w:vAlign w:val="bottom"/>
            <w:gridSpan w:val="2"/>
          </w:tcPr>
          <w:p>
            <w:pPr>
              <w:jc w:val="center"/>
              <w:ind w:right="441"/>
              <w:spacing w:after="0"/>
              <w:rPr>
                <w:sz w:val="20"/>
                <w:szCs w:val="20"/>
                <w:color w:val="auto"/>
              </w:rPr>
            </w:pPr>
            <w:r>
              <w:rPr>
                <w:rFonts w:ascii="Arial" w:cs="Arial" w:eastAsia="Arial" w:hAnsi="Arial"/>
                <w:sz w:val="20"/>
                <w:szCs w:val="20"/>
                <w:i w:val="1"/>
                <w:iCs w:val="1"/>
                <w:color w:val="auto"/>
                <w:w w:val="92"/>
              </w:rPr>
              <w:t>Chief Financial Officer and Treasurer</w:t>
            </w:r>
          </w:p>
        </w:tc>
      </w:tr>
      <w:tr>
        <w:trPr>
          <w:trHeight w:val="932"/>
        </w:trPr>
        <w:tc>
          <w:tcPr>
            <w:tcW w:w="680" w:type="dxa"/>
            <w:vAlign w:val="bottom"/>
          </w:tcPr>
          <w:p>
            <w:pPr>
              <w:ind w:left="20"/>
              <w:spacing w:after="0"/>
              <w:rPr>
                <w:sz w:val="20"/>
                <w:szCs w:val="20"/>
                <w:color w:val="auto"/>
              </w:rPr>
            </w:pPr>
            <w:r>
              <w:rPr>
                <w:rFonts w:ascii="Arial" w:cs="Arial" w:eastAsia="Arial" w:hAnsi="Arial"/>
                <w:sz w:val="20"/>
                <w:szCs w:val="20"/>
                <w:color w:val="auto"/>
              </w:rPr>
              <w:t>Date:</w:t>
            </w:r>
          </w:p>
        </w:tc>
        <w:tc>
          <w:tcPr>
            <w:tcW w:w="3660" w:type="dxa"/>
            <w:vAlign w:val="bottom"/>
          </w:tcPr>
          <w:p>
            <w:pPr>
              <w:ind w:left="1220"/>
              <w:spacing w:after="0"/>
              <w:rPr>
                <w:sz w:val="20"/>
                <w:szCs w:val="20"/>
                <w:color w:val="auto"/>
              </w:rPr>
            </w:pPr>
            <w:r>
              <w:rPr>
                <w:rFonts w:ascii="Arial" w:cs="Arial" w:eastAsia="Arial" w:hAnsi="Arial"/>
                <w:sz w:val="20"/>
                <w:szCs w:val="20"/>
                <w:color w:val="auto"/>
              </w:rPr>
              <w:t>August 1, 2019</w:t>
            </w:r>
          </w:p>
        </w:tc>
        <w:tc>
          <w:tcPr>
            <w:tcW w:w="114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Arial" w:cs="Arial" w:eastAsia="Arial" w:hAnsi="Arial"/>
                <w:sz w:val="20"/>
                <w:szCs w:val="20"/>
                <w:color w:val="auto"/>
              </w:rPr>
              <w:t>Date:</w:t>
            </w:r>
          </w:p>
        </w:tc>
        <w:tc>
          <w:tcPr>
            <w:tcW w:w="120" w:type="dxa"/>
            <w:vAlign w:val="bottom"/>
          </w:tcPr>
          <w:p>
            <w:pPr>
              <w:spacing w:after="0"/>
              <w:rPr>
                <w:sz w:val="24"/>
                <w:szCs w:val="24"/>
                <w:color w:val="auto"/>
              </w:rPr>
            </w:pPr>
          </w:p>
        </w:tc>
        <w:tc>
          <w:tcPr>
            <w:tcW w:w="3640" w:type="dxa"/>
            <w:vAlign w:val="bottom"/>
          </w:tcPr>
          <w:p>
            <w:pPr>
              <w:ind w:left="1220"/>
              <w:spacing w:after="0"/>
              <w:rPr>
                <w:sz w:val="20"/>
                <w:szCs w:val="20"/>
                <w:color w:val="auto"/>
              </w:rPr>
            </w:pPr>
            <w:r>
              <w:rPr>
                <w:rFonts w:ascii="Arial" w:cs="Arial" w:eastAsia="Arial" w:hAnsi="Arial"/>
                <w:sz w:val="20"/>
                <w:szCs w:val="20"/>
                <w:color w:val="auto"/>
              </w:rPr>
              <w:t>August 1, 2019</w:t>
            </w:r>
          </w:p>
        </w:tc>
      </w:tr>
      <w:tr>
        <w:trPr>
          <w:trHeight w:val="23"/>
        </w:trPr>
        <w:tc>
          <w:tcPr>
            <w:tcW w:w="68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decimal"/>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32"/>
    </w:lvl>
  </w:abstractNum>
  <w:abstractNum w:abstractNumId="22">
    <w:nsid w:val="75A2A8D4"/>
    <w:multiLevelType w:val="hybridMultilevel"/>
    <w:lvl w:ilvl="0">
      <w:lvlJc w:val="left"/>
      <w:lvlText w:val="%1"/>
      <w:numFmt w:val="decimal"/>
      <w:start w:val="104"/>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17" Type="http://schemas.openxmlformats.org/officeDocument/2006/relationships/hyperlink" Target="http://www.sec.gov/Archives/edgar/data/784977/000078497714000033/exhibit31.htm" TargetMode="External"/><Relationship Id="rId18" Type="http://schemas.openxmlformats.org/officeDocument/2006/relationships/hyperlink" Target="http://www.sec.gov/Archives/edgar/data/784977/000078497719000010/a201810-k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2019-12-28T09:18:42Z</dcterms:created>
  <dcterms:modified xsi:type="dcterms:W3CDTF">2019-12-28T09:18:42Z</dcterms:modified>
</cp:coreProperties>
</file>